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bookmarkStart w:id="10" w:name="introduction"/>
    <w:p>
      <w:pPr>
        <w:pStyle w:val="Heading1"/>
      </w:pPr>
      <w:r>
        <w:t xml:space="preserve">Introduction</w:t>
      </w:r>
    </w:p>
    <w:p>
      <w:pPr>
        <w:pStyle w:val="FirstParagraph"/>
      </w:pPr>
      <w:r>
        <w:t xml:space="preserve">Shifting from fossil fuel sources of energy to renewables is needed to mitigate climate change. Yet,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 Finally, the rhetoric and actions of President Trump since beginning his second term have focused on expanding fossil fuels and reducing renewables. Such actions by such a divisive political actor can serve as a partisan cue for the public.</w:t>
      </w:r>
    </w:p>
    <w:p>
      <w:pPr>
        <w:pStyle w:val="BodyText"/>
      </w:pPr>
      <w:r>
        <w:t xml:space="preserve">Cues have been shown to inform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Given the emphases of the second Trump administration regarding fossil fuels and renewables, it is possible that polarization among the public on energy sources may increase in response. In this paper, I explore how exposure to a Trump or climate cue, compared to no cue, influences how the US public prioritizes fossil fuels versus renewables as well as their willingness-to-pay (WTP) for those energy sources.</w:t>
      </w:r>
    </w:p>
    <w:p>
      <w:pPr>
        <w:pStyle w:val="BodyText"/>
      </w:pPr>
      <w:r>
        <w:t xml:space="preserve">As noted, the public is responsive to cues when forming their views on energy issues; however, less is known about how cues may impact the WTP of the public. 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p>
      <w:pPr>
        <w:pStyle w:val="BodyText"/>
      </w:pPr>
      <w:r>
        <w:t xml:space="preserve">In this study, I expand on current research by testing the impacts of a Trump cue versus a climate change cue on the prioritization of and WTP for fossil fuels and renewable sources of energy. Overall, I find that political beliefs shape energy source prioritization as conservative Republicans tend to prioritize and have a higher WTP for fossil fuels and liberal Democrats prioritize and have a higher WTP for renewables. The cues have some interaction effects as conservative Republicans in the Trump cue prioritize fossil fuels somewhat more, and liberal Democrats in the climate cue prioritize renewables more, with interactions significant at</w:t>
      </w:r>
      <w:r>
        <w:t xml:space="preserve"> </w:t>
      </w:r>
      <w:r>
        <w:rPr>
          <w:i/>
          <w:iCs/>
        </w:rPr>
        <w:t xml:space="preserve">p</w:t>
      </w:r>
      <w:r>
        <w:t xml:space="preserve">&lt;0.10. Finally, there were no cue or interaction effects on the WTP for either energy source.</w:t>
      </w:r>
    </w:p>
    <w:bookmarkEnd w:id="10"/>
    <w:bookmarkStart w:id="13" w:name="X414242f9dcb5de71fe60fdaf88dd8e9b91b80ad"/>
    <w:p>
      <w:pPr>
        <w:pStyle w:val="Heading1"/>
      </w:pPr>
      <w:r>
        <w:t xml:space="preserve">Cues, Public Opinion, and the Public’s Willingness-to-Pay for Energy</w:t>
      </w:r>
    </w:p>
    <w:p>
      <w:pPr>
        <w:pStyle w:val="FirstParagraph"/>
      </w:pPr>
      <w:r>
        <w:t xml:space="preserve">Partisan and elite cues shape public opinion on climate and energy issues, as the public tends to adopt the positions associated with their political party</w:t>
      </w:r>
      <w:r>
        <w:t xml:space="preserve"> </w:t>
      </w:r>
      <w:r>
        <w:t xml:space="preserve">(Ehret, Van Boven, and Sherman 2018; Merkley and Stecula 2021; Tesler 2018)</w:t>
      </w:r>
      <w:r>
        <w:t xml:space="preserve">. Cues provide an information heuristic, or shortcut, that allows the public to form opinions regarding a host of issues. Additionally, cues provide guides for motivated reasoning, as individuals apply reasoning in service to matching their views with those of their preferred party. Apart from partisan cues, connecting energy policies to the polarized issue of climate change can also shape and polarize public opinion. For example,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w:t>
      </w:r>
    </w:p>
    <w:p>
      <w:pPr>
        <w:pStyle w:val="BodyText"/>
      </w:pPr>
      <w:r>
        <w:t xml:space="preserve">In addition to beliefs and attitudes, partisanship is also likely to influence an individual’s WTP. For example, conservatives were less likely to purchase an energy-efficient light bulb when it was labeled with an environmental message, as opposed to no label</w:t>
      </w:r>
      <w:r>
        <w:t xml:space="preserve"> </w:t>
      </w:r>
      <w:r>
        <w:t xml:space="preserve">(Gromet, Kunreuther, and Larrick 2013)</w:t>
      </w:r>
      <w:r>
        <w:t xml:space="preserve">. A larger number of studies have examined stated WTP and political beliefs.</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beliefs about whether climate change is occurring.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Benegal and Green (2024)</w:t>
      </w:r>
      <w:r>
        <w:t xml:space="preserve"> </w:t>
      </w:r>
      <w:r>
        <w:t xml:space="preserve">found that partisan cue-taking, where respondents supported policies proposed by their party, outweighed sensitivity to the policy’s stated cost.</w:t>
      </w:r>
      <w:r>
        <w:t xml:space="preserve"> </w:t>
      </w:r>
      <w:r>
        <w:t xml:space="preserve">Scheuch (2026)</w:t>
      </w:r>
      <w:r>
        <w:t xml:space="preserve"> </w:t>
      </w:r>
      <w:r>
        <w:t xml:space="preserve">also found partisanship to be a significant predictor of WTP for local climate policy, alongside age and income. Overall, political beliefs seem to influence not just abstract support for climate and energy policy, but the dollar amounts people state that they are willing to pay.</w:t>
      </w:r>
    </w:p>
    <w:p>
      <w:pPr>
        <w:pStyle w:val="BodyText"/>
      </w:pPr>
      <w:r>
        <w:t xml:space="preserve">Looking to work that specifically examines public WTP for renewables and fossil fuels, several studies have found that the public is WTP more for renewables than other sources of energy. For example,</w:t>
      </w:r>
      <w:r>
        <w:t xml:space="preserve"> </w:t>
      </w:r>
      <w:r>
        <w:t xml:space="preserve">Nkansah and Collins (2019)</w:t>
      </w:r>
      <w:r>
        <w:t xml:space="preserve"> </w:t>
      </w:r>
      <w:r>
        <w:t xml:space="preserve">compared WTP for wind against natural gas generation specifically and found consumers willing to pay more for wind. Along similar lines,</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However,</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Finally,</w:t>
      </w:r>
      <w:r>
        <w:t xml:space="preserve"> </w:t>
      </w:r>
      <w:r>
        <w:t xml:space="preserve">Li et al. (2009)</w:t>
      </w:r>
      <w:r>
        <w:t xml:space="preserve"> </w:t>
      </w:r>
      <w:r>
        <w:t xml:space="preserve">estimated household WTP for a federal energy research and development fund aimed at reducing reliance on fossil fuels, and found broad support for that funding, suggesting that WTP responds to reducing fossil fuel use on its own without reference to another energy source.</w:t>
      </w:r>
      <w:r>
        <w:t xml:space="preserve"> </w:t>
      </w:r>
      <w:r>
        <w:rPr>
          <w:rStyle w:val="FootnoteReference"/>
        </w:rPr>
        <w:footnoteReference w:id="11"/>
      </w:r>
    </w:p>
    <w:bookmarkStart w:id="12" w:name="theoretical-expectations"/>
    <w:p>
      <w:pPr>
        <w:pStyle w:val="Heading2"/>
      </w:pPr>
      <w:r>
        <w:t xml:space="preserve">Theoretical Expectations</w:t>
      </w:r>
    </w:p>
    <w:p>
      <w:pPr>
        <w:pStyle w:val="FirstParagraph"/>
      </w:pPr>
      <w:r>
        <w:t xml:space="preserve">Previous research suggests that partisan cues are an important driver of energy preferences and that partisanship and environmental beliefs shape the WTP for energy sources. In this study, I use a survey experiment to examine the influence of a Trump cue and a climate change cue on preferences and the stated WTP for fossil fuels versus renewables.</w:t>
      </w:r>
    </w:p>
    <w:p>
      <w:pPr>
        <w:pStyle w:val="BodyText"/>
      </w:pPr>
      <w:r>
        <w:t xml:space="preserve">Overall, I expect that conservative Republicans will prefer and be WTP more for fossil fuels, and liberal Democrats will prefer and be WTP more for renewables. In addition, I expect there to be both general and partisan shifts in preferences and WTP based on the cues. Those who receive the Trump cue will prioritize fossil fuels and be willing to pay more for them, whereas those in the climate condition will prioritize renewable sources and be willing to pay more for them than those in the control condition. Finally, I expect the effects of the cues to depend on political beliefs. Specifically, conservative Republicans who receive the Trump cue will be more supportive of and WTP more for fossil fuels, whereas liberal Democrats who receive the climate cue will prefer and be WTP more for renewables. The comparison groups are those with other political beliefs and those in the control condition.</w:t>
      </w:r>
    </w:p>
    <w:bookmarkEnd w:id="12"/>
    <w:bookmarkEnd w:id="13"/>
    <w:bookmarkStart w:id="15" w:name="data-and-measures"/>
    <w:p>
      <w:pPr>
        <w:pStyle w:val="Heading1"/>
      </w:pPr>
      <w:r>
        <w:t xml:space="preserve">Data and Measures</w:t>
      </w:r>
    </w:p>
    <w:p>
      <w:pPr>
        <w:pStyle w:val="FirstParagraph"/>
      </w:pPr>
      <w:r>
        <w:t xml:space="preserve">To examine the importance of cues and political beliefs in energy preferences I use a survey experiment to examine respondents’ prioritization of fossil fuels versus renewables as well as their WTP for those sources to generate electricity in response to a Trump cue or a climate change cue. Respondents were recruited using Cloud Research, which provides a quota-based sample of US residents, with quotas for age, race, and gender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weight the sample based on political party affiliation.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control condition with no cue (n = 1051).</w:t>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control were shown</w:t>
      </w:r>
      <w:r>
        <w:t xml:space="preserve"> </w:t>
      </w:r>
      <w:r>
        <w:rPr>
          <w:i/>
          <w:iCs/>
        </w:rPr>
        <w:t xml:space="preserve">some have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(Gabor and Granger 1966)</w:t>
      </w:r>
      <w:r>
        <w:t xml:space="preserve">. With the Gabor-Granger method, respondents are shown a random dollar amount and if they are willing to pay that amount, they are next shown a higher amount, and if they are not, they are shown a smaller amount. This approach is a well-established survey-based technique for estimating WTP. It dates to early applications of iterative-bidding price experiments</w:t>
      </w:r>
      <w:r>
        <w:t xml:space="preserve"> </w:t>
      </w:r>
      <w:r>
        <w:t xml:space="preserve">(Jones 1975)</w:t>
      </w:r>
      <w:r>
        <w:t xml:space="preserve"> </w:t>
      </w:r>
      <w:r>
        <w:t xml:space="preserve">and was later formalized in marketing research</w:t>
      </w:r>
      <w:r>
        <w:t xml:space="preserve"> </w:t>
      </w:r>
      <w:r>
        <w:t xml:space="preserve">(Wedel and Leeflang 1998)</w:t>
      </w:r>
      <w:r>
        <w:t xml:space="preserve">. It remains one of the standard indirect approaches used to measure WTP</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and the sources were presented in random order. In the WTP for fossil fuels question, I noted that costs associated with renewable energy have decreased and, therefore they may need to pay more to use fossil fuels. For renewable sources respondents were told about the need to increase distribution. Specifically, respondents were shown:</w:t>
      </w:r>
    </w:p>
    <w:p>
      <w:pPr>
        <w:pStyle w:val="BlockText"/>
      </w:pPr>
      <w:r>
        <w:t xml:space="preserve">The cost of generating electricity from renewable sources has decreased in recent years. In many places, renewable energy sources are often more cost-effective than fossil fuels. Would you support the increased use of fossil fuels if your electricity bill were to increase by the following each month?</w:t>
      </w:r>
    </w:p>
    <w:p>
      <w:pPr>
        <w:pStyle w:val="BlockText"/>
      </w:pPr>
      <w:r>
        <w:t xml:space="preserve">Renewable sources have become cheaper in recent years; however, investments are needed to distribute the electricity they produce to homes and businesses. Would you support the increased use of renewable sources if your electricity bill were to increase by the following each month?</w:t>
      </w:r>
    </w:p>
    <w:p>
      <w:pPr>
        <w:pStyle w:val="FirstParagraph"/>
      </w:pPr>
      <w:r>
        <w:t xml:space="preserve">To estimate the maximum/minimum WTP, respondents were first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Respondents who indicated no at $1 were coded with a WTP of 0.</w:t>
      </w:r>
    </w:p>
    <w:p>
      <w:pPr>
        <w:pStyle w:val="BodyText"/>
      </w:pPr>
      <w:r>
        <w:t xml:space="preserve">In the following analysis, I examine the prioritization of fossil fuels vs. renewables and the WTP for those energy sources as a function of the cues and political beliefs. Political beliefs include conservative Republicans and liberal Democrats, with other political beliefs (moderate independents, conservative Democrats, liberal Republicans) as the excluded referents. The political belief measures were constructed based on responses to a self-reported, 7-point ideology scale (1 = very liberal, 2 = somewhat liberal, 3 = slightly liberal, 4 = middle of the road, 5 = slightly conservative, 6 = somewhat conservative, 7 = very conservative) and political party identification. Conservative Republican is coded 1 for respondents who identify as Republican and place themselves at 5, 6, or 7 on the ideology scale (slightly, somewhat, or very conservative), and liberal Democrat is coded 1 for respondents who identify as Democrat and place themselves at 1, 2, or 3 (slightly, somewhat, or very liberal).</w:t>
      </w:r>
    </w:p>
    <w:tbl>
      <w:tblPr>
        <w:tblStyle w:val="Table"/>
        <w:tblW w:type="pct" w:w="5000"/>
        <w:tblLayout w:type="fixed"/>
        <w:tblLook w:firstRow="0" w:lastRow="0" w:firstColumn="0" w:lastColumn="0" w:noHBand="0" w:noVBand="0" w:val="0000"/>
      </w:tblPr>
      <w:tblGrid>
        <w:gridCol w:w="7920"/>
      </w:tblGrid>
      <w:tr>
        <w:tc>
          <w:tcPr/>
          <w:bookmarkStart w:id="14" w:name="tbl-descriptives"/>
          <w:p>
            <w:pPr>
              <w:jc w:val="left"/>
            </w:pPr>
            <w:pPr>
              <w:jc w:val="left"/>
              <w:spacing w:before="200"/>
              <w:pStyle w:val="ImageCaption"/>
            </w:pPr>
            <w:r>
              <w:t xml:space="preserve">Table 1: Descriptive statistics for the energy-priority scale and political belief measures (survey-weighted means and standard deviations)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left"/>
                  </w:pPr>
                  <w:r>
                    <w:t xml:space="preserve">Variable</w:t>
                  </w:r>
                </w:p>
              </w:tc>
              <w:tc>
                <w:tcPr/>
                <w:p>
                  <w:pPr>
                    <w:pStyle w:val="Compact"/>
                    <w:jc w:val="left"/>
                    <w:jc w:val="left"/>
                  </w:pPr>
                  <w:r>
                    <w:t xml:space="preserve">Mean</w:t>
                  </w:r>
                </w:p>
              </w:tc>
              <w:tc>
                <w:tcPr/>
                <w:p>
                  <w:pPr>
                    <w:pStyle w:val="Compact"/>
                    <w:jc w:val="left"/>
                    <w:jc w:val="left"/>
                  </w:pPr>
                  <w:r>
                    <w:t xml:space="preserve">SD</w:t>
                  </w:r>
                </w:p>
              </w:tc>
              <w:tc>
                <w:tcPr/>
                <w:p>
                  <w:pPr>
                    <w:pStyle w:val="Compact"/>
                    <w:jc w:val="left"/>
                    <w:jc w:val="left"/>
                  </w:pPr>
                  <w:r>
                    <w:t xml:space="preserve">Min</w:t>
                  </w:r>
                </w:p>
              </w:tc>
              <w:tc>
                <w:tcPr/>
                <w:p>
                  <w:pPr>
                    <w:pStyle w:val="Compact"/>
                    <w:jc w:val="left"/>
                    <w:jc w:val="left"/>
                  </w:pPr>
                  <w:r>
                    <w:t xml:space="preserve">Max</w:t>
                  </w:r>
                </w:p>
              </w:tc>
            </w:tr>
            <w:tr>
              <w:tc>
                <w:tcPr/>
                <w:p>
                  <w:pPr>
                    <w:pStyle w:val="Compact"/>
                    <w:jc w:val="left"/>
                    <w:jc w:val="left"/>
                  </w:pPr>
                  <w:r>
                    <w:t xml:space="preserve">Energy-priority scale (1-7)</w:t>
                  </w:r>
                </w:p>
              </w:tc>
              <w:tc>
                <w:tcPr/>
                <w:p>
                  <w:pPr>
                    <w:pStyle w:val="Compact"/>
                    <w:jc w:val="left"/>
                    <w:jc w:val="left"/>
                  </w:pPr>
                  <w:r>
                    <w:t xml:space="preserve">5.17</w:t>
                  </w:r>
                </w:p>
              </w:tc>
              <w:tc>
                <w:tcPr/>
                <w:p>
                  <w:pPr>
                    <w:pStyle w:val="Compact"/>
                    <w:jc w:val="left"/>
                    <w:jc w:val="left"/>
                  </w:pPr>
                  <w:r>
                    <w:t xml:space="preserve">1.74</w:t>
                  </w:r>
                </w:p>
              </w:tc>
              <w:tc>
                <w:tcPr/>
                <w:p>
                  <w:pPr>
                    <w:pStyle w:val="Compact"/>
                    <w:jc w:val="left"/>
                    <w:jc w:val="left"/>
                  </w:pPr>
                  <w:r>
                    <w:t xml:space="preserve">1</w:t>
                  </w:r>
                </w:p>
              </w:tc>
              <w:tc>
                <w:tcPr/>
                <w:p>
                  <w:pPr>
                    <w:pStyle w:val="Compact"/>
                    <w:jc w:val="left"/>
                    <w:jc w:val="left"/>
                  </w:pPr>
                  <w:r>
                    <w:t xml:space="preserve">7</w:t>
                  </w:r>
                </w:p>
              </w:tc>
            </w:tr>
            <w:tr>
              <w:tc>
                <w:tcPr/>
                <w:p>
                  <w:pPr>
                    <w:pStyle w:val="Compact"/>
                    <w:jc w:val="left"/>
                    <w:jc w:val="left"/>
                  </w:pPr>
                  <w:r>
                    <w:t xml:space="preserve">Liberal Democrat</w:t>
                  </w:r>
                </w:p>
              </w:tc>
              <w:tc>
                <w:tcPr/>
                <w:p>
                  <w:pPr>
                    <w:pStyle w:val="Compact"/>
                    <w:jc w:val="left"/>
                    <w:jc w:val="left"/>
                  </w:pPr>
                  <w:r>
                    <w:t xml:space="preserve">0.37</w:t>
                  </w:r>
                </w:p>
              </w:tc>
              <w:tc>
                <w:tcPr/>
                <w:p>
                  <w:pPr>
                    <w:pStyle w:val="Compact"/>
                    <w:jc w:val="left"/>
                    <w:jc w:val="left"/>
                  </w:pPr>
                  <w:r>
                    <w:t xml:space="preserve">0.48</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Conservative Republican</w:t>
                  </w:r>
                </w:p>
              </w:tc>
              <w:tc>
                <w:tcPr/>
                <w:p>
                  <w:pPr>
                    <w:pStyle w:val="Compact"/>
                    <w:jc w:val="left"/>
                    <w:jc w:val="left"/>
                  </w:pPr>
                  <w:r>
                    <w:t xml:space="preserve">0.40</w:t>
                  </w:r>
                </w:p>
              </w:tc>
              <w:tc>
                <w:tcPr/>
                <w:p>
                  <w:pPr>
                    <w:pStyle w:val="Compact"/>
                    <w:jc w:val="left"/>
                    <w:jc w:val="left"/>
                  </w:pPr>
                  <w:r>
                    <w:t xml:space="preserve">0.49</w:t>
                  </w:r>
                </w:p>
              </w:tc>
              <w:tc>
                <w:tcPr/>
                <w:p>
                  <w:pPr>
                    <w:pStyle w:val="Compact"/>
                    <w:jc w:val="left"/>
                    <w:jc w:val="left"/>
                  </w:pPr>
                  <w:r>
                    <w:t xml:space="preserve">0</w:t>
                  </w:r>
                </w:p>
              </w:tc>
              <w:tc>
                <w:tcPr/>
                <w:p>
                  <w:pPr>
                    <w:pStyle w:val="Compact"/>
                    <w:jc w:val="left"/>
                    <w:jc w:val="left"/>
                  </w:pPr>
                  <w:r>
                    <w:t xml:space="preserve">1</w:t>
                  </w:r>
                </w:p>
              </w:tc>
            </w:tr>
          </w:tbl>
          <w:bookmarkEnd w:id="14"/>
          <w:p/>
        </w:tc>
      </w:tr>
    </w:tbl>
    <w:p>
      <w:pPr>
        <w:pStyle w:val="BodyText"/>
      </w:pPr>
      <w:r>
        <w:t xml:space="preserve">Descriptive statistics for the energy-priority scale and the political belief measures are shown in</w:t>
      </w:r>
      <w:r>
        <w:t xml:space="preserve"> </w:t>
      </w:r>
      <w:hyperlink w:anchor="tbl-descriptives">
        <w:r>
          <w:rPr>
            <w:rStyle w:val="Hyperlink"/>
          </w:rPr>
          <w:t xml:space="preserve">Table 1</w:t>
        </w:r>
      </w:hyperlink>
      <w:r>
        <w:t xml:space="preserve">. The mean on the energy-priority scale was 5.17 (SD = 1.74), which is above the midpoint of 4 and indicates that respondents, on average, leaned toward prioritizing renewables over fossil fuels. Regarding political beliefs, 37 percent of the weighted sample were liberal Democrats and 40 percent were conservative Republicans, with the remaining 23 percent holding other political beliefs.</w:t>
      </w:r>
    </w:p>
    <w:bookmarkEnd w:id="15"/>
    <w:bookmarkStart w:id="31" w:name="results"/>
    <w:p>
      <w:pPr>
        <w:pStyle w:val="Heading1"/>
      </w:pPr>
      <w:r>
        <w:t xml:space="preserve">Results</w:t>
      </w:r>
    </w:p>
    <w:p>
      <w:pPr>
        <w:pStyle w:val="FirstParagraph"/>
      </w:pPr>
      <w:r>
        <w:t xml:space="preserve">First, I use OLS to examine the prioritization respondents gave to fossil fuels versus renewables as a function of the cues, their political beliefs, and the interaction between cues and political beliefs. The results are shown in</w:t>
      </w:r>
      <w:r>
        <w:t xml:space="preserve"> </w:t>
      </w:r>
      <w:hyperlink w:anchor="tbl-priority-o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priority-ols"/>
          <w:p>
            <w:pPr>
              <w:jc w:val="left"/>
            </w:pPr>
            <w:pPr>
              <w:jc w:val="left"/>
              <w:spacing w:before="200"/>
              <w:pStyle w:val="ImageCaption"/>
            </w:pPr>
            <w:r>
              <w:t xml:space="preserve">Table 2: Effect of cue condition, political beliefs, and their interaction on the energy source-priority scale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left"/>
                    <w:jc w:val="left"/>
                  </w:pPr>
                  <w:r>
                    <w:t xml:space="preserve">Priority scale</w:t>
                  </w:r>
                </w:p>
              </w:tc>
            </w:tr>
            <w:tr>
              <w:tc>
                <w:tcPr/>
                <w:p>
                  <w:pPr>
                    <w:pStyle w:val="Compact"/>
                    <w:jc w:val="left"/>
                    <w:jc w:val="left"/>
                  </w:pPr>
                  <w:r>
                    <w:t xml:space="preserve">Trump cue</w:t>
                  </w:r>
                </w:p>
              </w:tc>
              <w:tc>
                <w:tcPr/>
                <w:p>
                  <w:pPr>
                    <w:pStyle w:val="Compact"/>
                    <w:jc w:val="left"/>
                    <w:jc w:val="left"/>
                  </w:pPr>
                  <w:r>
                    <w:t xml:space="preserve">-0.016</w:t>
                  </w:r>
                </w:p>
              </w:tc>
            </w:tr>
            <w:tr>
              <w:tc>
                <w:tcPr/>
                <w:p>
                  <w:pPr>
                    <w:pStyle w:val="Compact"/>
                  </w:pPr>
                </w:p>
              </w:tc>
              <w:tc>
                <w:tcPr/>
                <w:p>
                  <w:pPr>
                    <w:pStyle w:val="Compact"/>
                    <w:jc w:val="left"/>
                    <w:jc w:val="left"/>
                  </w:pPr>
                  <w:r>
                    <w:t xml:space="preserve">(0.159)</w:t>
                  </w:r>
                </w:p>
              </w:tc>
            </w:tr>
            <w:tr>
              <w:tc>
                <w:tcPr/>
                <w:p>
                  <w:pPr>
                    <w:pStyle w:val="Compact"/>
                    <w:jc w:val="left"/>
                    <w:jc w:val="left"/>
                  </w:pPr>
                  <w:r>
                    <w:t xml:space="preserve">Climate cue</w:t>
                  </w:r>
                </w:p>
              </w:tc>
              <w:tc>
                <w:tcPr/>
                <w:p>
                  <w:pPr>
                    <w:pStyle w:val="Compact"/>
                    <w:jc w:val="left"/>
                    <w:jc w:val="left"/>
                  </w:pPr>
                  <w:r>
                    <w:t xml:space="preserve">-0.137</w:t>
                  </w:r>
                </w:p>
              </w:tc>
            </w:tr>
            <w:tr>
              <w:tc>
                <w:tcPr/>
                <w:p>
                  <w:pPr>
                    <w:pStyle w:val="Compact"/>
                  </w:pPr>
                </w:p>
              </w:tc>
              <w:tc>
                <w:tcPr/>
                <w:p>
                  <w:pPr>
                    <w:pStyle w:val="Compact"/>
                    <w:jc w:val="left"/>
                    <w:jc w:val="left"/>
                  </w:pPr>
                  <w:r>
                    <w:t xml:space="preserve">(0.153)</w:t>
                  </w:r>
                </w:p>
              </w:tc>
            </w:tr>
            <w:tr>
              <w:tc>
                <w:tcPr/>
                <w:p>
                  <w:pPr>
                    <w:pStyle w:val="Compact"/>
                    <w:jc w:val="left"/>
                    <w:jc w:val="left"/>
                  </w:pPr>
                  <w:r>
                    <w:t xml:space="preserve">Liberal Democrat</w:t>
                  </w:r>
                </w:p>
              </w:tc>
              <w:tc>
                <w:tcPr/>
                <w:p>
                  <w:pPr>
                    <w:pStyle w:val="Compact"/>
                    <w:jc w:val="left"/>
                    <w:jc w:val="left"/>
                  </w:pPr>
                  <w:r>
                    <w:t xml:space="preserve">0.674**</w:t>
                  </w:r>
                </w:p>
              </w:tc>
            </w:tr>
            <w:tr>
              <w:tc>
                <w:tcPr/>
                <w:p>
                  <w:pPr>
                    <w:pStyle w:val="Compact"/>
                  </w:pPr>
                </w:p>
              </w:tc>
              <w:tc>
                <w:tcPr/>
                <w:p>
                  <w:pPr>
                    <w:pStyle w:val="Compact"/>
                    <w:jc w:val="left"/>
                    <w:jc w:val="left"/>
                  </w:pPr>
                  <w:r>
                    <w:t xml:space="preserve">(0.126)</w:t>
                  </w:r>
                </w:p>
              </w:tc>
            </w:tr>
            <w:tr>
              <w:tc>
                <w:tcPr/>
                <w:p>
                  <w:pPr>
                    <w:pStyle w:val="Compact"/>
                    <w:jc w:val="left"/>
                    <w:jc w:val="left"/>
                  </w:pPr>
                  <w:r>
                    <w:t xml:space="preserve">Conservative Republican</w:t>
                  </w:r>
                </w:p>
              </w:tc>
              <w:tc>
                <w:tcPr/>
                <w:p>
                  <w:pPr>
                    <w:pStyle w:val="Compact"/>
                    <w:jc w:val="left"/>
                    <w:jc w:val="left"/>
                  </w:pPr>
                  <w:r>
                    <w:t xml:space="preserve">-1.236**</w:t>
                  </w:r>
                </w:p>
              </w:tc>
            </w:tr>
            <w:tr>
              <w:tc>
                <w:tcPr/>
                <w:p>
                  <w:pPr>
                    <w:pStyle w:val="Compact"/>
                  </w:pPr>
                </w:p>
              </w:tc>
              <w:tc>
                <w:tcPr/>
                <w:p>
                  <w:pPr>
                    <w:pStyle w:val="Compact"/>
                    <w:jc w:val="left"/>
                    <w:jc w:val="left"/>
                  </w:pPr>
                  <w:r>
                    <w:t xml:space="preserve">(0.150)</w:t>
                  </w:r>
                </w:p>
              </w:tc>
            </w:tr>
            <w:tr>
              <w:tc>
                <w:tcPr/>
                <w:p>
                  <w:pPr>
                    <w:pStyle w:val="Compact"/>
                    <w:jc w:val="left"/>
                    <w:jc w:val="left"/>
                  </w:pPr>
                  <w:r>
                    <w:t xml:space="preserve">Trump cue × Liberal Democrat</w:t>
                  </w:r>
                </w:p>
              </w:tc>
              <w:tc>
                <w:tcPr/>
                <w:p>
                  <w:pPr>
                    <w:pStyle w:val="Compact"/>
                    <w:jc w:val="left"/>
                    <w:jc w:val="left"/>
                  </w:pPr>
                  <w:r>
                    <w:t xml:space="preserve">0.137</w:t>
                  </w:r>
                </w:p>
              </w:tc>
            </w:tr>
            <w:tr>
              <w:tc>
                <w:tcPr/>
                <w:p>
                  <w:pPr>
                    <w:pStyle w:val="Compact"/>
                  </w:pPr>
                </w:p>
              </w:tc>
              <w:tc>
                <w:tcPr/>
                <w:p>
                  <w:pPr>
                    <w:pStyle w:val="Compact"/>
                    <w:jc w:val="left"/>
                    <w:jc w:val="left"/>
                  </w:pPr>
                  <w:r>
                    <w:t xml:space="preserve">(0.184)</w:t>
                  </w:r>
                </w:p>
              </w:tc>
            </w:tr>
            <w:tr>
              <w:tc>
                <w:tcPr/>
                <w:p>
                  <w:pPr>
                    <w:pStyle w:val="Compact"/>
                    <w:jc w:val="left"/>
                    <w:jc w:val="left"/>
                  </w:pPr>
                  <w:r>
                    <w:t xml:space="preserve">Climate cue × Liberal Democrat</w:t>
                  </w:r>
                </w:p>
              </w:tc>
              <w:tc>
                <w:tcPr/>
                <w:p>
                  <w:pPr>
                    <w:pStyle w:val="Compact"/>
                    <w:jc w:val="left"/>
                    <w:jc w:val="left"/>
                  </w:pPr>
                  <w:r>
                    <w:t xml:space="preserve">0.341†</w:t>
                  </w:r>
                </w:p>
              </w:tc>
            </w:tr>
            <w:tr>
              <w:tc>
                <w:tcPr/>
                <w:p>
                  <w:pPr>
                    <w:pStyle w:val="Compact"/>
                  </w:pPr>
                </w:p>
              </w:tc>
              <w:tc>
                <w:tcPr/>
                <w:p>
                  <w:pPr>
                    <w:pStyle w:val="Compact"/>
                    <w:jc w:val="left"/>
                    <w:jc w:val="left"/>
                  </w:pPr>
                  <w:r>
                    <w:t xml:space="preserve">(0.174)</w:t>
                  </w:r>
                </w:p>
              </w:tc>
            </w:tr>
            <w:tr>
              <w:tc>
                <w:tcPr/>
                <w:p>
                  <w:pPr>
                    <w:pStyle w:val="Compact"/>
                    <w:jc w:val="left"/>
                    <w:jc w:val="left"/>
                  </w:pPr>
                  <w:r>
                    <w:t xml:space="preserve">Trump cue × Conservative Republican</w:t>
                  </w:r>
                </w:p>
              </w:tc>
              <w:tc>
                <w:tcPr/>
                <w:p>
                  <w:pPr>
                    <w:pStyle w:val="Compact"/>
                    <w:jc w:val="left"/>
                    <w:jc w:val="left"/>
                  </w:pPr>
                  <w:r>
                    <w:t xml:space="preserve">-0.438†</w:t>
                  </w:r>
                </w:p>
              </w:tc>
            </w:tr>
            <w:tr>
              <w:tc>
                <w:tcPr/>
                <w:p>
                  <w:pPr>
                    <w:pStyle w:val="Compact"/>
                  </w:pPr>
                </w:p>
              </w:tc>
              <w:tc>
                <w:tcPr/>
                <w:p>
                  <w:pPr>
                    <w:pStyle w:val="Compact"/>
                    <w:jc w:val="left"/>
                    <w:jc w:val="left"/>
                  </w:pPr>
                  <w:r>
                    <w:t xml:space="preserve">(0.235)</w:t>
                  </w:r>
                </w:p>
              </w:tc>
            </w:tr>
            <w:tr>
              <w:tc>
                <w:tcPr/>
                <w:p>
                  <w:pPr>
                    <w:pStyle w:val="Compact"/>
                    <w:jc w:val="left"/>
                    <w:jc w:val="left"/>
                  </w:pPr>
                  <w:r>
                    <w:t xml:space="preserve">Climate cue × Conservative Republican</w:t>
                  </w:r>
                </w:p>
              </w:tc>
              <w:tc>
                <w:tcPr/>
                <w:p>
                  <w:pPr>
                    <w:pStyle w:val="Compact"/>
                    <w:jc w:val="left"/>
                    <w:jc w:val="left"/>
                  </w:pPr>
                  <w:r>
                    <w:t xml:space="preserve">0.079</w:t>
                  </w:r>
                </w:p>
              </w:tc>
            </w:tr>
            <w:tr>
              <w:tc>
                <w:tcPr/>
                <w:p>
                  <w:pPr>
                    <w:pStyle w:val="Compact"/>
                  </w:pPr>
                </w:p>
              </w:tc>
              <w:tc>
                <w:tcPr/>
                <w:p>
                  <w:pPr>
                    <w:pStyle w:val="Compact"/>
                    <w:jc w:val="left"/>
                    <w:jc w:val="left"/>
                  </w:pPr>
                  <w:r>
                    <w:t xml:space="preserve">(0.221)</w:t>
                  </w:r>
                </w:p>
              </w:tc>
            </w:tr>
            <w:tr>
              <w:tc>
                <w:tcPr/>
                <w:p>
                  <w:pPr>
                    <w:pStyle w:val="Compact"/>
                    <w:jc w:val="left"/>
                    <w:jc w:val="left"/>
                  </w:pPr>
                  <w:r>
                    <w:t xml:space="preserve">(Intercept)</w:t>
                  </w:r>
                </w:p>
              </w:tc>
              <w:tc>
                <w:tcPr/>
                <w:p>
                  <w:pPr>
                    <w:pStyle w:val="Compact"/>
                    <w:jc w:val="left"/>
                    <w:jc w:val="left"/>
                  </w:pPr>
                  <w:r>
                    <w:t xml:space="preserve">5.443**</w:t>
                  </w:r>
                </w:p>
              </w:tc>
            </w:tr>
            <w:tr>
              <w:tc>
                <w:tcPr/>
                <w:p>
                  <w:pPr>
                    <w:pStyle w:val="Compact"/>
                  </w:pPr>
                </w:p>
              </w:tc>
              <w:tc>
                <w:tcPr/>
                <w:p>
                  <w:pPr>
                    <w:pStyle w:val="Compact"/>
                    <w:jc w:val="left"/>
                    <w:jc w:val="left"/>
                  </w:pPr>
                  <w:r>
                    <w:t xml:space="preserve">(0.109)</w:t>
                  </w:r>
                </w:p>
              </w:tc>
            </w:tr>
            <w:tr>
              <w:tc>
                <w:tcPr/>
                <w:p>
                  <w:pPr>
                    <w:pStyle w:val="Compact"/>
                    <w:jc w:val="left"/>
                    <w:jc w:val="left"/>
                  </w:pPr>
                  <w:r>
                    <w:t xml:space="preserve">Num.Obs.</w:t>
                  </w:r>
                </w:p>
              </w:tc>
              <w:tc>
                <w:tcPr/>
                <w:p>
                  <w:pPr>
                    <w:pStyle w:val="Compact"/>
                    <w:jc w:val="left"/>
                    <w:jc w:val="left"/>
                  </w:pPr>
                  <w:r>
                    <w:t xml:space="preserve">3113</w:t>
                  </w:r>
                </w:p>
              </w:tc>
            </w:tr>
            <w:tr>
              <w:tc>
                <w:tcPr/>
                <w:p>
                  <w:pPr>
                    <w:pStyle w:val="Compact"/>
                    <w:jc w:val="left"/>
                    <w:jc w:val="left"/>
                  </w:pPr>
                  <w:r>
                    <w:t xml:space="preserve">Adj. R2</w:t>
                  </w:r>
                </w:p>
              </w:tc>
              <w:tc>
                <w:tcPr/>
                <w:p>
                  <w:pPr>
                    <w:pStyle w:val="Compact"/>
                    <w:jc w:val="left"/>
                    <w:jc w:val="left"/>
                  </w:pPr>
                  <w:r>
                    <w:t xml:space="preserve">0.313</w:t>
                  </w:r>
                </w:p>
              </w:tc>
            </w:tr>
            <w:tr>
              <w:tc>
                <w:tcPr>
                  <w:gridSpan w:val="2"/>
                </w:tcPr>
                <w:p>
                  <w:pPr>
                    <w:pStyle w:val="Compact"/>
                    <w:jc w:val="left"/>
                    <w:jc w:val="left"/>
                  </w:pPr>
                  <w:r>
                    <w:t xml:space="preserve">† p &lt; 0.1, * p &lt; 0.05, ** p &lt; 0.01</w:t>
                  </w:r>
                </w:p>
              </w:tc>
            </w:tr>
          </w:tbl>
          <w:bookmarkEnd w:id="16"/>
          <w:p/>
        </w:tc>
      </w:tr>
    </w:tbl>
    <w:tbl>
      <w:tblPr>
        <w:tblStyle w:val="Table"/>
        <w:tblW w:type="pct" w:w="5000"/>
        <w:tblLayout w:type="fixed"/>
        <w:tblLook w:firstRow="0" w:lastRow="0" w:firstColumn="0" w:lastColumn="0" w:noHBand="0" w:noVBand="0" w:val="0000"/>
      </w:tblPr>
      <w:tblGrid>
        <w:gridCol w:w="7920"/>
      </w:tblGrid>
      <w:tr>
        <w:tc>
          <w:tcPr/>
          <w:bookmarkStart w:id="20" w:name="fig-priority-predicted"/>
          <w:p>
            <w:pPr>
              <w:jc w:val="center"/>
            </w:pPr>
            <w:pPr>
              <w:jc w:val="left"/>
              <w:spacing w:before="200"/>
              <w:pStyle w:val="ImageCaption"/>
            </w:pPr>
            <w:r>
              <w:t xml:space="preserve">Figure 1: Predicted energy source-priority scale (1-7) by cue condition and political identity (survey-weighted OLS predictions with 95% CIs)</w:t>
            </w:r>
          </w:p>
          <w:p>
            <w:pPr>
              <w:pStyle w:val="Compact"/>
              <w:jc w:val="center"/>
            </w:pPr>
            <w:r>
              <w:drawing>
                <wp:inline>
                  <wp:extent cx="5334000" cy="4267200"/>
                  <wp:effectExtent b="0" l="0" r="0" t="0"/>
                  <wp:docPr descr="" title="" id="18" name="Picture"/>
                  <a:graphic>
                    <a:graphicData uri="http://schemas.openxmlformats.org/drawingml/2006/picture">
                      <pic:pic>
                        <pic:nvPicPr>
                          <pic:cNvPr descr="cue-WTP_files/figure-docx/fig-priority-predicted-1.png" id="19" name="Picture"/>
                          <pic:cNvPicPr>
                            <a:picLocks noChangeArrowheads="1" noChangeAspect="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bookmarkEnd w:id="20"/>
        </w:tc>
      </w:tr>
    </w:tbl>
    <w:p>
      <w:pPr>
        <w:pStyle w:val="BodyText"/>
      </w:pPr>
      <w:r>
        <w:t xml:space="preserve">As expected, conservative Republicans were more likely to prioritize fossil fuels than renewables, with an estimated coefficient of -1.24 on the 1 to 7 scale, and liberal Democrats prioritized renewables at 0.67. In terms of the interactions, conservative Republicans who received the Trump cue were more likely to prioritize fossil fuels (b = -0.44,</w:t>
      </w:r>
      <w:r>
        <w:t xml:space="preserve"> </w:t>
      </w:r>
      <w:r>
        <w:rPr>
          <w:i/>
          <w:iCs/>
        </w:rPr>
        <w:t xml:space="preserve">p</w:t>
      </w:r>
      <w:r>
        <w:t xml:space="preserve"> </w:t>
      </w:r>
      <w:r>
        <w:t xml:space="preserve">= 0.062), whereas liberal Democrats in the climate condition were more likely to prioritize renewables (b = 0.34). Overall, the predicted value on the 1 to 7 scale for conservative Republicans in the control group was 4.21, indicating a split roughly evenly between fossil fuels and renewables, and it was 3.75 for those receiving the Trump cue, indicating a significant shift toward prioritizing fossil fuels (difference = -0.45,</w:t>
      </w:r>
      <w:r>
        <w:t xml:space="preserve"> </w:t>
      </w:r>
      <w:r>
        <w:rPr>
          <w:i/>
          <w:iCs/>
        </w:rPr>
        <w:t xml:space="preserve">p</w:t>
      </w:r>
      <w:r>
        <w:t xml:space="preserve"> </w:t>
      </w:r>
      <w:r>
        <w:t xml:space="preserve">= 0.009). For liberal Democrats the predicted value was 6.12, indicating a priority for renewables, and the value was 6.32 in the climate condition (difference = 0.20,</w:t>
      </w:r>
      <w:r>
        <w:t xml:space="preserve"> </w:t>
      </w:r>
      <w:r>
        <w:rPr>
          <w:i/>
          <w:iCs/>
        </w:rPr>
        <w:t xml:space="preserve">p</w:t>
      </w:r>
      <w:r>
        <w:t xml:space="preserve"> </w:t>
      </w:r>
      <w:r>
        <w:t xml:space="preserve">= 0.015). The interactions of cue x political beliefs were significant at</w:t>
      </w:r>
      <w:r>
        <w:t xml:space="preserve"> </w:t>
      </w:r>
      <w:r>
        <w:rPr>
          <w:i/>
          <w:iCs/>
        </w:rPr>
        <w:t xml:space="preserve">p</w:t>
      </w:r>
      <w:r>
        <w:t xml:space="preserve">&lt;0.10; however, the cues themselves had no effect, on average, on energy source priority compared to the control condition.</w:t>
      </w:r>
    </w:p>
    <w:p>
      <w:pPr>
        <w:pStyle w:val="BodyText"/>
      </w:pPr>
      <w:r>
        <w:t xml:space="preserve">Next, I examine the percent of respondents at each possible dollar amount of the WTP measure for each source. Those results are in</w:t>
      </w:r>
      <w:r>
        <w:t xml:space="preserve"> </w:t>
      </w:r>
      <w:hyperlink w:anchor="tbl-wtp-dist">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wtp-dist"/>
          <w:p>
            <w:pPr>
              <w:jc w:val="left"/>
            </w:pPr>
            <w:pPr>
              <w:jc w:val="left"/>
              <w:spacing w:before="200"/>
              <w:pStyle w:val="ImageCaption"/>
            </w:pPr>
            <w:r>
              <w:t xml:space="preserve">Table 3: Distribution of willingness-to-pay for fossil fuel and renewable electricity (weighted percent of respondents choosing each dollar amount)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WTP ($)</w:t>
                  </w:r>
                </w:p>
              </w:tc>
              <w:tc>
                <w:tcPr/>
                <w:p>
                  <w:pPr>
                    <w:pStyle w:val="Compact"/>
                    <w:jc w:val="left"/>
                    <w:jc w:val="left"/>
                  </w:pPr>
                  <w:r>
                    <w:t xml:space="preserve">Fossil fuels (%)</w:t>
                  </w:r>
                </w:p>
              </w:tc>
              <w:tc>
                <w:tcPr/>
                <w:p>
                  <w:pPr>
                    <w:pStyle w:val="Compact"/>
                    <w:jc w:val="left"/>
                    <w:jc w:val="left"/>
                  </w:pPr>
                  <w:r>
                    <w:t xml:space="preserve">Renewables (%)</w:t>
                  </w:r>
                </w:p>
              </w:tc>
            </w:tr>
            <w:tr>
              <w:tc>
                <w:tcPr/>
                <w:p>
                  <w:pPr>
                    <w:pStyle w:val="Compact"/>
                    <w:jc w:val="left"/>
                    <w:jc w:val="left"/>
                  </w:pPr>
                  <w:r>
                    <w:t xml:space="preserve">0</w:t>
                  </w:r>
                </w:p>
              </w:tc>
              <w:tc>
                <w:tcPr/>
                <w:p>
                  <w:pPr>
                    <w:pStyle w:val="Compact"/>
                    <w:jc w:val="left"/>
                    <w:jc w:val="left"/>
                  </w:pPr>
                  <w:r>
                    <w:t xml:space="preserve">47.0</w:t>
                  </w:r>
                </w:p>
              </w:tc>
              <w:tc>
                <w:tcPr/>
                <w:p>
                  <w:pPr>
                    <w:pStyle w:val="Compact"/>
                    <w:jc w:val="left"/>
                    <w:jc w:val="left"/>
                  </w:pPr>
                  <w:r>
                    <w:t xml:space="preserve">14.0</w:t>
                  </w:r>
                </w:p>
              </w:tc>
            </w:tr>
            <w:tr>
              <w:tc>
                <w:tcPr/>
                <w:p>
                  <w:pPr>
                    <w:pStyle w:val="Compact"/>
                    <w:jc w:val="left"/>
                    <w:jc w:val="left"/>
                  </w:pPr>
                  <w:r>
                    <w:t xml:space="preserve">1</w:t>
                  </w:r>
                </w:p>
              </w:tc>
              <w:tc>
                <w:tcPr/>
                <w:p>
                  <w:pPr>
                    <w:pStyle w:val="Compact"/>
                    <w:jc w:val="left"/>
                    <w:jc w:val="left"/>
                  </w:pPr>
                  <w:r>
                    <w:t xml:space="preserve">14.7</w:t>
                  </w:r>
                </w:p>
              </w:tc>
              <w:tc>
                <w:tcPr/>
                <w:p>
                  <w:pPr>
                    <w:pStyle w:val="Compact"/>
                    <w:jc w:val="left"/>
                    <w:jc w:val="left"/>
                  </w:pPr>
                  <w:r>
                    <w:t xml:space="preserve">15.6</w:t>
                  </w:r>
                </w:p>
              </w:tc>
            </w:tr>
            <w:tr>
              <w:tc>
                <w:tcPr/>
                <w:p>
                  <w:pPr>
                    <w:pStyle w:val="Compact"/>
                    <w:jc w:val="left"/>
                    <w:jc w:val="left"/>
                  </w:pPr>
                  <w:r>
                    <w:t xml:space="preserve">6</w:t>
                  </w:r>
                </w:p>
              </w:tc>
              <w:tc>
                <w:tcPr/>
                <w:p>
                  <w:pPr>
                    <w:pStyle w:val="Compact"/>
                    <w:jc w:val="left"/>
                    <w:jc w:val="left"/>
                  </w:pPr>
                  <w:r>
                    <w:t xml:space="preserve">10.6</w:t>
                  </w:r>
                </w:p>
              </w:tc>
              <w:tc>
                <w:tcPr/>
                <w:p>
                  <w:pPr>
                    <w:pStyle w:val="Compact"/>
                    <w:jc w:val="left"/>
                    <w:jc w:val="left"/>
                  </w:pPr>
                  <w:r>
                    <w:t xml:space="preserve">14.0</w:t>
                  </w:r>
                </w:p>
              </w:tc>
            </w:tr>
            <w:tr>
              <w:tc>
                <w:tcPr/>
                <w:p>
                  <w:pPr>
                    <w:pStyle w:val="Compact"/>
                    <w:jc w:val="left"/>
                    <w:jc w:val="left"/>
                  </w:pPr>
                  <w:r>
                    <w:t xml:space="preserve">11</w:t>
                  </w:r>
                </w:p>
              </w:tc>
              <w:tc>
                <w:tcPr/>
                <w:p>
                  <w:pPr>
                    <w:pStyle w:val="Compact"/>
                    <w:jc w:val="left"/>
                    <w:jc w:val="left"/>
                  </w:pPr>
                  <w:r>
                    <w:t xml:space="preserve">5.6</w:t>
                  </w:r>
                </w:p>
              </w:tc>
              <w:tc>
                <w:tcPr/>
                <w:p>
                  <w:pPr>
                    <w:pStyle w:val="Compact"/>
                    <w:jc w:val="left"/>
                    <w:jc w:val="left"/>
                  </w:pPr>
                  <w:r>
                    <w:t xml:space="preserve">9.1</w:t>
                  </w:r>
                </w:p>
              </w:tc>
            </w:tr>
            <w:tr>
              <w:tc>
                <w:tcPr/>
                <w:p>
                  <w:pPr>
                    <w:pStyle w:val="Compact"/>
                    <w:jc w:val="left"/>
                    <w:jc w:val="left"/>
                  </w:pPr>
                  <w:r>
                    <w:t xml:space="preserve">16</w:t>
                  </w:r>
                </w:p>
              </w:tc>
              <w:tc>
                <w:tcPr/>
                <w:p>
                  <w:pPr>
                    <w:pStyle w:val="Compact"/>
                    <w:jc w:val="left"/>
                    <w:jc w:val="left"/>
                  </w:pPr>
                  <w:r>
                    <w:t xml:space="preserve">4.9</w:t>
                  </w:r>
                </w:p>
              </w:tc>
              <w:tc>
                <w:tcPr/>
                <w:p>
                  <w:pPr>
                    <w:pStyle w:val="Compact"/>
                    <w:jc w:val="left"/>
                    <w:jc w:val="left"/>
                  </w:pPr>
                  <w:r>
                    <w:t xml:space="preserve">7.3</w:t>
                  </w:r>
                </w:p>
              </w:tc>
            </w:tr>
            <w:tr>
              <w:tc>
                <w:tcPr/>
                <w:p>
                  <w:pPr>
                    <w:pStyle w:val="Compact"/>
                    <w:jc w:val="left"/>
                    <w:jc w:val="left"/>
                  </w:pPr>
                  <w:r>
                    <w:t xml:space="preserve">21</w:t>
                  </w:r>
                </w:p>
              </w:tc>
              <w:tc>
                <w:tcPr/>
                <w:p>
                  <w:pPr>
                    <w:pStyle w:val="Compact"/>
                    <w:jc w:val="left"/>
                    <w:jc w:val="left"/>
                  </w:pPr>
                  <w:r>
                    <w:t xml:space="preserve">2.7</w:t>
                  </w:r>
                </w:p>
              </w:tc>
              <w:tc>
                <w:tcPr/>
                <w:p>
                  <w:pPr>
                    <w:pStyle w:val="Compact"/>
                    <w:jc w:val="left"/>
                    <w:jc w:val="left"/>
                  </w:pPr>
                  <w:r>
                    <w:t xml:space="preserve">4.3</w:t>
                  </w:r>
                </w:p>
              </w:tc>
            </w:tr>
            <w:tr>
              <w:tc>
                <w:tcPr/>
                <w:p>
                  <w:pPr>
                    <w:pStyle w:val="Compact"/>
                    <w:jc w:val="left"/>
                    <w:jc w:val="left"/>
                  </w:pPr>
                  <w:r>
                    <w:t xml:space="preserve">26</w:t>
                  </w:r>
                </w:p>
              </w:tc>
              <w:tc>
                <w:tcPr/>
                <w:p>
                  <w:pPr>
                    <w:pStyle w:val="Compact"/>
                    <w:jc w:val="left"/>
                    <w:jc w:val="left"/>
                  </w:pPr>
                  <w:r>
                    <w:t xml:space="preserve">2.9</w:t>
                  </w:r>
                </w:p>
              </w:tc>
              <w:tc>
                <w:tcPr/>
                <w:p>
                  <w:pPr>
                    <w:pStyle w:val="Compact"/>
                    <w:jc w:val="left"/>
                    <w:jc w:val="left"/>
                  </w:pPr>
                  <w:r>
                    <w:t xml:space="preserve">5.8</w:t>
                  </w:r>
                </w:p>
              </w:tc>
            </w:tr>
            <w:tr>
              <w:tc>
                <w:tcPr/>
                <w:p>
                  <w:pPr>
                    <w:pStyle w:val="Compact"/>
                    <w:jc w:val="left"/>
                    <w:jc w:val="left"/>
                  </w:pPr>
                  <w:r>
                    <w:t xml:space="preserve">31</w:t>
                  </w:r>
                </w:p>
              </w:tc>
              <w:tc>
                <w:tcPr/>
                <w:p>
                  <w:pPr>
                    <w:pStyle w:val="Compact"/>
                    <w:jc w:val="left"/>
                    <w:jc w:val="left"/>
                  </w:pPr>
                  <w:r>
                    <w:t xml:space="preserve">1.2</w:t>
                  </w:r>
                </w:p>
              </w:tc>
              <w:tc>
                <w:tcPr/>
                <w:p>
                  <w:pPr>
                    <w:pStyle w:val="Compact"/>
                    <w:jc w:val="left"/>
                    <w:jc w:val="left"/>
                  </w:pPr>
                  <w:r>
                    <w:t xml:space="preserve">3.2</w:t>
                  </w:r>
                </w:p>
              </w:tc>
            </w:tr>
            <w:tr>
              <w:tc>
                <w:tcPr/>
                <w:p>
                  <w:pPr>
                    <w:pStyle w:val="Compact"/>
                    <w:jc w:val="left"/>
                    <w:jc w:val="left"/>
                  </w:pPr>
                  <w:r>
                    <w:t xml:space="preserve">36</w:t>
                  </w:r>
                </w:p>
              </w:tc>
              <w:tc>
                <w:tcPr/>
                <w:p>
                  <w:pPr>
                    <w:pStyle w:val="Compact"/>
                    <w:jc w:val="left"/>
                    <w:jc w:val="left"/>
                  </w:pPr>
                  <w:r>
                    <w:t xml:space="preserve">2.1</w:t>
                  </w:r>
                </w:p>
              </w:tc>
              <w:tc>
                <w:tcPr/>
                <w:p>
                  <w:pPr>
                    <w:pStyle w:val="Compact"/>
                    <w:jc w:val="left"/>
                    <w:jc w:val="left"/>
                  </w:pPr>
                  <w:r>
                    <w:t xml:space="preserve">4.7</w:t>
                  </w:r>
                </w:p>
              </w:tc>
            </w:tr>
            <w:tr>
              <w:tc>
                <w:tcPr/>
                <w:p>
                  <w:pPr>
                    <w:pStyle w:val="Compact"/>
                    <w:jc w:val="left"/>
                    <w:jc w:val="left"/>
                  </w:pPr>
                  <w:r>
                    <w:t xml:space="preserve">41</w:t>
                  </w:r>
                </w:p>
              </w:tc>
              <w:tc>
                <w:tcPr/>
                <w:p>
                  <w:pPr>
                    <w:pStyle w:val="Compact"/>
                    <w:jc w:val="left"/>
                    <w:jc w:val="left"/>
                  </w:pPr>
                  <w:r>
                    <w:t xml:space="preserve">1.9</w:t>
                  </w:r>
                </w:p>
              </w:tc>
              <w:tc>
                <w:tcPr/>
                <w:p>
                  <w:pPr>
                    <w:pStyle w:val="Compact"/>
                    <w:jc w:val="left"/>
                    <w:jc w:val="left"/>
                  </w:pPr>
                  <w:r>
                    <w:t xml:space="preserve">3.8</w:t>
                  </w:r>
                </w:p>
              </w:tc>
            </w:tr>
            <w:tr>
              <w:tc>
                <w:tcPr/>
                <w:p>
                  <w:pPr>
                    <w:pStyle w:val="Compact"/>
                    <w:jc w:val="left"/>
                    <w:jc w:val="left"/>
                  </w:pPr>
                  <w:r>
                    <w:t xml:space="preserve">46</w:t>
                  </w:r>
                </w:p>
              </w:tc>
              <w:tc>
                <w:tcPr/>
                <w:p>
                  <w:pPr>
                    <w:pStyle w:val="Compact"/>
                    <w:jc w:val="left"/>
                    <w:jc w:val="left"/>
                  </w:pPr>
                  <w:r>
                    <w:t xml:space="preserve">6.3</w:t>
                  </w:r>
                </w:p>
              </w:tc>
              <w:tc>
                <w:tcPr/>
                <w:p>
                  <w:pPr>
                    <w:pStyle w:val="Compact"/>
                    <w:jc w:val="left"/>
                    <w:jc w:val="left"/>
                  </w:pPr>
                  <w:r>
                    <w:t xml:space="preserve">18.3</w:t>
                  </w:r>
                </w:p>
              </w:tc>
            </w:tr>
          </w:tbl>
          <w:bookmarkEnd w:id="21"/>
          <w:p/>
        </w:tc>
      </w:tr>
    </w:tbl>
    <w:p>
      <w:pPr>
        <w:pStyle w:val="BodyText"/>
      </w:pPr>
      <w:r>
        <w:t xml:space="preserve">As shown, nearly half of respondents, 47 percent, were not willing to pay any additional amount for fossil fuels, whereas 18.3 percent were willing to pay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w:t>
      </w:r>
    </w:p>
    <w:p>
      <w:pPr>
        <w:pStyle w:val="BodyText"/>
      </w:pPr>
      <w:r>
        <w:t xml:space="preserve">Given the large percentage of respondents with a WTP = $0 for fossil fuels, I model the WTP for fossil fuels in two parts. First, I use a logit model to see whether a respondent has any positive WTP. Next, using OLS, I examine the WTP for fossil fuels, among those who are WTP &gt;0, and for renewables. The results of all three models are shown in</w:t>
      </w:r>
      <w:r>
        <w:t xml:space="preserve"> </w:t>
      </w:r>
      <w:hyperlink w:anchor="tbl-wtp-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wtp-models"/>
          <w:p>
            <w:pPr>
              <w:jc w:val="left"/>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left"/>
                    <w:jc w:val="left"/>
                  </w:pPr>
                  <w:r>
                    <w:t xml:space="preserve">Fossil fuels: Any WTP (logit)</w:t>
                  </w:r>
                </w:p>
              </w:tc>
              <w:tc>
                <w:tcPr/>
                <w:p>
                  <w:pPr>
                    <w:pStyle w:val="Compact"/>
                    <w:jc w:val="left"/>
                    <w:jc w:val="left"/>
                  </w:pPr>
                  <w:r>
                    <w:t xml:space="preserve">Fossil fuels: Amount, if WTP &gt; $0 (OLS)</w:t>
                  </w:r>
                </w:p>
              </w:tc>
              <w:tc>
                <w:tcPr/>
                <w:p>
                  <w:pPr>
                    <w:pStyle w:val="Compact"/>
                    <w:jc w:val="left"/>
                    <w:jc w:val="left"/>
                  </w:pPr>
                  <w:r>
                    <w:t xml:space="preserve">Renewables: Amount (OLS)</w:t>
                  </w:r>
                </w:p>
              </w:tc>
            </w:tr>
            <w:tr>
              <w:tc>
                <w:tcPr/>
                <w:p>
                  <w:pPr>
                    <w:pStyle w:val="Compact"/>
                    <w:jc w:val="left"/>
                    <w:jc w:val="left"/>
                  </w:pPr>
                  <w:r>
                    <w:t xml:space="preserve">Trump cue</w:t>
                  </w:r>
                </w:p>
              </w:tc>
              <w:tc>
                <w:tcPr/>
                <w:p>
                  <w:pPr>
                    <w:pStyle w:val="Compact"/>
                    <w:jc w:val="left"/>
                    <w:jc w:val="left"/>
                  </w:pPr>
                  <w:r>
                    <w:t xml:space="preserve">-0.263</w:t>
                  </w:r>
                </w:p>
              </w:tc>
              <w:tc>
                <w:tcPr/>
                <w:p>
                  <w:pPr>
                    <w:pStyle w:val="Compact"/>
                    <w:jc w:val="left"/>
                    <w:jc w:val="left"/>
                  </w:pPr>
                  <w:r>
                    <w:t xml:space="preserve">-3.607</w:t>
                  </w:r>
                </w:p>
              </w:tc>
              <w:tc>
                <w:tcPr/>
                <w:p>
                  <w:pPr>
                    <w:pStyle w:val="Compact"/>
                    <w:jc w:val="left"/>
                    <w:jc w:val="left"/>
                  </w:pPr>
                  <w:r>
                    <w:t xml:space="preserve">-1.495</w:t>
                  </w:r>
                </w:p>
              </w:tc>
            </w:tr>
            <w:tr>
              <w:tc>
                <w:tcPr/>
                <w:p>
                  <w:pPr>
                    <w:pStyle w:val="Compact"/>
                  </w:pPr>
                </w:p>
              </w:tc>
              <w:tc>
                <w:tcPr/>
                <w:p>
                  <w:pPr>
                    <w:pStyle w:val="Compact"/>
                    <w:jc w:val="left"/>
                    <w:jc w:val="left"/>
                  </w:pPr>
                  <w:r>
                    <w:t xml:space="preserve">(0.204)</w:t>
                  </w:r>
                </w:p>
              </w:tc>
              <w:tc>
                <w:tcPr/>
                <w:p>
                  <w:pPr>
                    <w:pStyle w:val="Compact"/>
                    <w:jc w:val="left"/>
                    <w:jc w:val="left"/>
                  </w:pPr>
                  <w:r>
                    <w:t xml:space="preserve">(2.265)</w:t>
                  </w:r>
                </w:p>
              </w:tc>
              <w:tc>
                <w:tcPr/>
                <w:p>
                  <w:pPr>
                    <w:pStyle w:val="Compact"/>
                    <w:jc w:val="left"/>
                    <w:jc w:val="left"/>
                  </w:pPr>
                  <w:r>
                    <w:t xml:space="preserve">(1.828)</w:t>
                  </w:r>
                </w:p>
              </w:tc>
            </w:tr>
            <w:tr>
              <w:tc>
                <w:tcPr/>
                <w:p>
                  <w:pPr>
                    <w:pStyle w:val="Compact"/>
                    <w:jc w:val="left"/>
                    <w:jc w:val="left"/>
                  </w:pPr>
                  <w:r>
                    <w:t xml:space="preserve">Climate cue</w:t>
                  </w:r>
                </w:p>
              </w:tc>
              <w:tc>
                <w:tcPr/>
                <w:p>
                  <w:pPr>
                    <w:pStyle w:val="Compact"/>
                    <w:jc w:val="left"/>
                    <w:jc w:val="left"/>
                  </w:pPr>
                  <w:r>
                    <w:t xml:space="preserve">0.100</w:t>
                  </w:r>
                </w:p>
              </w:tc>
              <w:tc>
                <w:tcPr/>
                <w:p>
                  <w:pPr>
                    <w:pStyle w:val="Compact"/>
                    <w:jc w:val="left"/>
                    <w:jc w:val="left"/>
                  </w:pPr>
                  <w:r>
                    <w:t xml:space="preserve">-1.509</w:t>
                  </w:r>
                </w:p>
              </w:tc>
              <w:tc>
                <w:tcPr/>
                <w:p>
                  <w:pPr>
                    <w:pStyle w:val="Compact"/>
                    <w:jc w:val="left"/>
                    <w:jc w:val="left"/>
                  </w:pPr>
                  <w:r>
                    <w:t xml:space="preserve">-1.604</w:t>
                  </w:r>
                </w:p>
              </w:tc>
            </w:tr>
            <w:tr>
              <w:tc>
                <w:tcPr/>
                <w:p>
                  <w:pPr>
                    <w:pStyle w:val="Compact"/>
                  </w:pPr>
                </w:p>
              </w:tc>
              <w:tc>
                <w:tcPr/>
                <w:p>
                  <w:pPr>
                    <w:pStyle w:val="Compact"/>
                    <w:jc w:val="left"/>
                    <w:jc w:val="left"/>
                  </w:pPr>
                  <w:r>
                    <w:t xml:space="preserve">(0.206)</w:t>
                  </w:r>
                </w:p>
              </w:tc>
              <w:tc>
                <w:tcPr/>
                <w:p>
                  <w:pPr>
                    <w:pStyle w:val="Compact"/>
                    <w:jc w:val="left"/>
                    <w:jc w:val="left"/>
                  </w:pPr>
                  <w:r>
                    <w:t xml:space="preserve">(2.250)</w:t>
                  </w:r>
                </w:p>
              </w:tc>
              <w:tc>
                <w:tcPr/>
                <w:p>
                  <w:pPr>
                    <w:pStyle w:val="Compact"/>
                    <w:jc w:val="left"/>
                    <w:jc w:val="left"/>
                  </w:pPr>
                  <w:r>
                    <w:t xml:space="preserve">(1.741)</w:t>
                  </w:r>
                </w:p>
              </w:tc>
            </w:tr>
            <w:tr>
              <w:tc>
                <w:tcPr/>
                <w:p>
                  <w:pPr>
                    <w:pStyle w:val="Compact"/>
                    <w:jc w:val="left"/>
                    <w:jc w:val="left"/>
                  </w:pPr>
                  <w:r>
                    <w:t xml:space="preserve">Liberal Democrat</w:t>
                  </w:r>
                </w:p>
              </w:tc>
              <w:tc>
                <w:tcPr/>
                <w:p>
                  <w:pPr>
                    <w:pStyle w:val="Compact"/>
                    <w:jc w:val="left"/>
                    <w:jc w:val="left"/>
                  </w:pPr>
                  <w:r>
                    <w:t xml:space="preserve">-0.413*</w:t>
                  </w:r>
                </w:p>
              </w:tc>
              <w:tc>
                <w:tcPr/>
                <w:p>
                  <w:pPr>
                    <w:pStyle w:val="Compact"/>
                    <w:jc w:val="left"/>
                    <w:jc w:val="left"/>
                  </w:pPr>
                  <w:r>
                    <w:t xml:space="preserve">-0.075</w:t>
                  </w:r>
                </w:p>
              </w:tc>
              <w:tc>
                <w:tcPr/>
                <w:p>
                  <w:pPr>
                    <w:pStyle w:val="Compact"/>
                    <w:jc w:val="left"/>
                    <w:jc w:val="left"/>
                  </w:pPr>
                  <w:r>
                    <w:t xml:space="preserve">5.703**</w:t>
                  </w:r>
                </w:p>
              </w:tc>
            </w:tr>
            <w:tr>
              <w:tc>
                <w:tcPr/>
                <w:p>
                  <w:pPr>
                    <w:pStyle w:val="Compact"/>
                  </w:pPr>
                </w:p>
              </w:tc>
              <w:tc>
                <w:tcPr/>
                <w:p>
                  <w:pPr>
                    <w:pStyle w:val="Compact"/>
                    <w:jc w:val="left"/>
                    <w:jc w:val="left"/>
                  </w:pPr>
                  <w:r>
                    <w:t xml:space="preserve">(0.182)</w:t>
                  </w:r>
                </w:p>
              </w:tc>
              <w:tc>
                <w:tcPr/>
                <w:p>
                  <w:pPr>
                    <w:pStyle w:val="Compact"/>
                    <w:jc w:val="left"/>
                    <w:jc w:val="left"/>
                  </w:pPr>
                  <w:r>
                    <w:t xml:space="preserve">(2.130)</w:t>
                  </w:r>
                </w:p>
              </w:tc>
              <w:tc>
                <w:tcPr/>
                <w:p>
                  <w:pPr>
                    <w:pStyle w:val="Compact"/>
                    <w:jc w:val="left"/>
                    <w:jc w:val="left"/>
                  </w:pPr>
                  <w:r>
                    <w:t xml:space="preserve">(1.569)</w:t>
                  </w:r>
                </w:p>
              </w:tc>
            </w:tr>
            <w:tr>
              <w:tc>
                <w:tcPr/>
                <w:p>
                  <w:pPr>
                    <w:pStyle w:val="Compact"/>
                    <w:jc w:val="left"/>
                    <w:jc w:val="left"/>
                  </w:pPr>
                  <w:r>
                    <w:t xml:space="preserve">Conservative Republican</w:t>
                  </w:r>
                </w:p>
              </w:tc>
              <w:tc>
                <w:tcPr/>
                <w:p>
                  <w:pPr>
                    <w:pStyle w:val="Compact"/>
                    <w:jc w:val="left"/>
                    <w:jc w:val="left"/>
                  </w:pPr>
                  <w:r>
                    <w:t xml:space="preserve">0.704**</w:t>
                  </w:r>
                </w:p>
              </w:tc>
              <w:tc>
                <w:tcPr/>
                <w:p>
                  <w:pPr>
                    <w:pStyle w:val="Compact"/>
                    <w:jc w:val="left"/>
                    <w:jc w:val="left"/>
                  </w:pPr>
                  <w:r>
                    <w:t xml:space="preserve">-3.275</w:t>
                  </w:r>
                </w:p>
              </w:tc>
              <w:tc>
                <w:tcPr/>
                <w:p>
                  <w:pPr>
                    <w:pStyle w:val="Compact"/>
                    <w:jc w:val="left"/>
                    <w:jc w:val="left"/>
                  </w:pPr>
                  <w:r>
                    <w:t xml:space="preserve">-6.620**</w:t>
                  </w:r>
                </w:p>
              </w:tc>
            </w:tr>
            <w:tr>
              <w:tc>
                <w:tcPr/>
                <w:p>
                  <w:pPr>
                    <w:pStyle w:val="Compact"/>
                  </w:pPr>
                </w:p>
              </w:tc>
              <w:tc>
                <w:tcPr/>
                <w:p>
                  <w:pPr>
                    <w:pStyle w:val="Compact"/>
                    <w:jc w:val="left"/>
                    <w:jc w:val="left"/>
                  </w:pPr>
                  <w:r>
                    <w:t xml:space="preserve">(0.205)</w:t>
                  </w:r>
                </w:p>
              </w:tc>
              <w:tc>
                <w:tcPr/>
                <w:p>
                  <w:pPr>
                    <w:pStyle w:val="Compact"/>
                    <w:jc w:val="left"/>
                    <w:jc w:val="left"/>
                  </w:pPr>
                  <w:r>
                    <w:t xml:space="preserve">(2.092)</w:t>
                  </w:r>
                </w:p>
              </w:tc>
              <w:tc>
                <w:tcPr/>
                <w:p>
                  <w:pPr>
                    <w:pStyle w:val="Compact"/>
                    <w:jc w:val="left"/>
                    <w:jc w:val="left"/>
                  </w:pPr>
                  <w:r>
                    <w:t xml:space="preserve">(1.626)</w:t>
                  </w:r>
                </w:p>
              </w:tc>
            </w:tr>
            <w:tr>
              <w:tc>
                <w:tcPr/>
                <w:p>
                  <w:pPr>
                    <w:pStyle w:val="Compact"/>
                    <w:jc w:val="left"/>
                    <w:jc w:val="left"/>
                  </w:pPr>
                  <w:r>
                    <w:t xml:space="preserve">Trump cue × Liberal Democrat</w:t>
                  </w:r>
                </w:p>
              </w:tc>
              <w:tc>
                <w:tcPr/>
                <w:p>
                  <w:pPr>
                    <w:pStyle w:val="Compact"/>
                    <w:jc w:val="left"/>
                    <w:jc w:val="left"/>
                  </w:pPr>
                  <w:r>
                    <w:t xml:space="preserve">0.007</w:t>
                  </w:r>
                </w:p>
              </w:tc>
              <w:tc>
                <w:tcPr/>
                <w:p>
                  <w:pPr>
                    <w:pStyle w:val="Compact"/>
                    <w:jc w:val="left"/>
                    <w:jc w:val="left"/>
                  </w:pPr>
                  <w:r>
                    <w:t xml:space="preserve">3.124</w:t>
                  </w:r>
                </w:p>
              </w:tc>
              <w:tc>
                <w:tcPr/>
                <w:p>
                  <w:pPr>
                    <w:pStyle w:val="Compact"/>
                    <w:jc w:val="left"/>
                    <w:jc w:val="left"/>
                  </w:pPr>
                  <w:r>
                    <w:t xml:space="preserve">1.656</w:t>
                  </w:r>
                </w:p>
              </w:tc>
            </w:tr>
            <w:tr>
              <w:tc>
                <w:tcPr/>
                <w:p>
                  <w:pPr>
                    <w:pStyle w:val="Compact"/>
                  </w:pPr>
                </w:p>
              </w:tc>
              <w:tc>
                <w:tcPr/>
                <w:p>
                  <w:pPr>
                    <w:pStyle w:val="Compact"/>
                    <w:jc w:val="left"/>
                    <w:jc w:val="left"/>
                  </w:pPr>
                  <w:r>
                    <w:t xml:space="preserve">(0.257)</w:t>
                  </w:r>
                </w:p>
              </w:tc>
              <w:tc>
                <w:tcPr/>
                <w:p>
                  <w:pPr>
                    <w:pStyle w:val="Compact"/>
                    <w:jc w:val="left"/>
                    <w:jc w:val="left"/>
                  </w:pPr>
                  <w:r>
                    <w:t xml:space="preserve">(2.871)</w:t>
                  </w:r>
                </w:p>
              </w:tc>
              <w:tc>
                <w:tcPr/>
                <w:p>
                  <w:pPr>
                    <w:pStyle w:val="Compact"/>
                    <w:jc w:val="left"/>
                    <w:jc w:val="left"/>
                  </w:pPr>
                  <w:r>
                    <w:t xml:space="preserve">(2.234)</w:t>
                  </w:r>
                </w:p>
              </w:tc>
            </w:tr>
            <w:tr>
              <w:tc>
                <w:tcPr/>
                <w:p>
                  <w:pPr>
                    <w:pStyle w:val="Compact"/>
                    <w:jc w:val="left"/>
                    <w:jc w:val="left"/>
                  </w:pPr>
                  <w:r>
                    <w:t xml:space="preserve">Climate cue × Liberal Democrat</w:t>
                  </w:r>
                </w:p>
              </w:tc>
              <w:tc>
                <w:tcPr/>
                <w:p>
                  <w:pPr>
                    <w:pStyle w:val="Compact"/>
                    <w:jc w:val="left"/>
                    <w:jc w:val="left"/>
                  </w:pPr>
                  <w:r>
                    <w:t xml:space="preserve">-0.270</w:t>
                  </w:r>
                </w:p>
              </w:tc>
              <w:tc>
                <w:tcPr/>
                <w:p>
                  <w:pPr>
                    <w:pStyle w:val="Compact"/>
                    <w:jc w:val="left"/>
                    <w:jc w:val="left"/>
                  </w:pPr>
                  <w:r>
                    <w:t xml:space="preserve">1.507</w:t>
                  </w:r>
                </w:p>
              </w:tc>
              <w:tc>
                <w:tcPr/>
                <w:p>
                  <w:pPr>
                    <w:pStyle w:val="Compact"/>
                    <w:jc w:val="left"/>
                    <w:jc w:val="left"/>
                  </w:pPr>
                  <w:r>
                    <w:t xml:space="preserve">3.136</w:t>
                  </w:r>
                </w:p>
              </w:tc>
            </w:tr>
            <w:tr>
              <w:tc>
                <w:tcPr/>
                <w:p>
                  <w:pPr>
                    <w:pStyle w:val="Compact"/>
                  </w:pPr>
                </w:p>
              </w:tc>
              <w:tc>
                <w:tcPr/>
                <w:p>
                  <w:pPr>
                    <w:pStyle w:val="Compact"/>
                    <w:jc w:val="left"/>
                    <w:jc w:val="left"/>
                  </w:pPr>
                  <w:r>
                    <w:t xml:space="preserve">(0.259)</w:t>
                  </w:r>
                </w:p>
              </w:tc>
              <w:tc>
                <w:tcPr/>
                <w:p>
                  <w:pPr>
                    <w:pStyle w:val="Compact"/>
                    <w:jc w:val="left"/>
                    <w:jc w:val="left"/>
                  </w:pPr>
                  <w:r>
                    <w:t xml:space="preserve">(3.026)</w:t>
                  </w:r>
                </w:p>
              </w:tc>
              <w:tc>
                <w:tcPr/>
                <w:p>
                  <w:pPr>
                    <w:pStyle w:val="Compact"/>
                    <w:jc w:val="left"/>
                    <w:jc w:val="left"/>
                  </w:pPr>
                  <w:r>
                    <w:t xml:space="preserve">(2.167)</w:t>
                  </w:r>
                </w:p>
              </w:tc>
            </w:tr>
            <w:tr>
              <w:tc>
                <w:tcPr/>
                <w:p>
                  <w:pPr>
                    <w:pStyle w:val="Compact"/>
                    <w:jc w:val="left"/>
                    <w:jc w:val="left"/>
                  </w:pPr>
                  <w:r>
                    <w:t xml:space="preserve">Trump cue × Conservative Republican</w:t>
                  </w:r>
                </w:p>
              </w:tc>
              <w:tc>
                <w:tcPr/>
                <w:p>
                  <w:pPr>
                    <w:pStyle w:val="Compact"/>
                    <w:jc w:val="left"/>
                    <w:jc w:val="left"/>
                  </w:pPr>
                  <w:r>
                    <w:t xml:space="preserve">0.423</w:t>
                  </w:r>
                </w:p>
              </w:tc>
              <w:tc>
                <w:tcPr/>
                <w:p>
                  <w:pPr>
                    <w:pStyle w:val="Compact"/>
                    <w:jc w:val="left"/>
                    <w:jc w:val="left"/>
                  </w:pPr>
                  <w:r>
                    <w:t xml:space="preserve">3.919</w:t>
                  </w:r>
                </w:p>
              </w:tc>
              <w:tc>
                <w:tcPr/>
                <w:p>
                  <w:pPr>
                    <w:pStyle w:val="Compact"/>
                    <w:jc w:val="left"/>
                    <w:jc w:val="left"/>
                  </w:pPr>
                  <w:r>
                    <w:t xml:space="preserve">0.320</w:t>
                  </w:r>
                </w:p>
              </w:tc>
            </w:tr>
            <w:tr>
              <w:tc>
                <w:tcPr/>
                <w:p>
                  <w:pPr>
                    <w:pStyle w:val="Compact"/>
                  </w:pPr>
                </w:p>
              </w:tc>
              <w:tc>
                <w:tcPr/>
                <w:p>
                  <w:pPr>
                    <w:pStyle w:val="Compact"/>
                    <w:jc w:val="left"/>
                    <w:jc w:val="left"/>
                  </w:pPr>
                  <w:r>
                    <w:t xml:space="preserve">(0.299)</w:t>
                  </w:r>
                </w:p>
              </w:tc>
              <w:tc>
                <w:tcPr/>
                <w:p>
                  <w:pPr>
                    <w:pStyle w:val="Compact"/>
                    <w:jc w:val="left"/>
                    <w:jc w:val="left"/>
                  </w:pPr>
                  <w:r>
                    <w:t xml:space="preserve">(2.964)</w:t>
                  </w:r>
                </w:p>
              </w:tc>
              <w:tc>
                <w:tcPr/>
                <w:p>
                  <w:pPr>
                    <w:pStyle w:val="Compact"/>
                    <w:jc w:val="left"/>
                    <w:jc w:val="left"/>
                  </w:pPr>
                  <w:r>
                    <w:t xml:space="preserve">(2.337)</w:t>
                  </w:r>
                </w:p>
              </w:tc>
            </w:tr>
            <w:tr>
              <w:tc>
                <w:tcPr/>
                <w:p>
                  <w:pPr>
                    <w:pStyle w:val="Compact"/>
                    <w:jc w:val="left"/>
                    <w:jc w:val="left"/>
                  </w:pPr>
                  <w:r>
                    <w:t xml:space="preserve">Climate cue × Conservative Republican</w:t>
                  </w:r>
                </w:p>
              </w:tc>
              <w:tc>
                <w:tcPr/>
                <w:p>
                  <w:pPr>
                    <w:pStyle w:val="Compact"/>
                    <w:jc w:val="left"/>
                    <w:jc w:val="left"/>
                  </w:pPr>
                  <w:r>
                    <w:t xml:space="preserve">-0.042</w:t>
                  </w:r>
                </w:p>
              </w:tc>
              <w:tc>
                <w:tcPr/>
                <w:p>
                  <w:pPr>
                    <w:pStyle w:val="Compact"/>
                    <w:jc w:val="left"/>
                    <w:jc w:val="left"/>
                  </w:pPr>
                  <w:r>
                    <w:t xml:space="preserve">3.665</w:t>
                  </w:r>
                </w:p>
              </w:tc>
              <w:tc>
                <w:tcPr/>
                <w:p>
                  <w:pPr>
                    <w:pStyle w:val="Compact"/>
                    <w:jc w:val="left"/>
                    <w:jc w:val="left"/>
                  </w:pPr>
                  <w:r>
                    <w:t xml:space="preserve">2.935</w:t>
                  </w:r>
                </w:p>
              </w:tc>
            </w:tr>
            <w:tr>
              <w:tc>
                <w:tcPr/>
                <w:p>
                  <w:pPr>
                    <w:pStyle w:val="Compact"/>
                  </w:pPr>
                </w:p>
              </w:tc>
              <w:tc>
                <w:tcPr/>
                <w:p>
                  <w:pPr>
                    <w:pStyle w:val="Compact"/>
                    <w:jc w:val="left"/>
                    <w:jc w:val="left"/>
                  </w:pPr>
                  <w:r>
                    <w:t xml:space="preserve">(0.293)</w:t>
                  </w:r>
                </w:p>
              </w:tc>
              <w:tc>
                <w:tcPr/>
                <w:p>
                  <w:pPr>
                    <w:pStyle w:val="Compact"/>
                    <w:jc w:val="left"/>
                    <w:jc w:val="left"/>
                  </w:pPr>
                  <w:r>
                    <w:t xml:space="preserve">(2.917)</w:t>
                  </w:r>
                </w:p>
              </w:tc>
              <w:tc>
                <w:tcPr/>
                <w:p>
                  <w:pPr>
                    <w:pStyle w:val="Compact"/>
                    <w:jc w:val="left"/>
                    <w:jc w:val="left"/>
                  </w:pPr>
                  <w:r>
                    <w:t xml:space="preserve">(2.311)</w:t>
                  </w:r>
                </w:p>
              </w:tc>
            </w:tr>
            <w:tr>
              <w:tc>
                <w:tcPr/>
                <w:p>
                  <w:pPr>
                    <w:pStyle w:val="Compact"/>
                    <w:jc w:val="left"/>
                    <w:jc w:val="left"/>
                  </w:pPr>
                  <w:r>
                    <w:t xml:space="preserve">(Intercept)</w:t>
                  </w:r>
                </w:p>
              </w:tc>
              <w:tc>
                <w:tcPr/>
                <w:p>
                  <w:pPr>
                    <w:pStyle w:val="Compact"/>
                    <w:jc w:val="left"/>
                    <w:jc w:val="left"/>
                  </w:pPr>
                  <w:r>
                    <w:t xml:space="preserve">0.048</w:t>
                  </w:r>
                </w:p>
              </w:tc>
              <w:tc>
                <w:tcPr/>
                <w:p>
                  <w:pPr>
                    <w:pStyle w:val="Compact"/>
                    <w:jc w:val="left"/>
                    <w:jc w:val="left"/>
                  </w:pPr>
                  <w:r>
                    <w:t xml:space="preserve">17.374**</w:t>
                  </w:r>
                </w:p>
              </w:tc>
              <w:tc>
                <w:tcPr/>
                <w:p>
                  <w:pPr>
                    <w:pStyle w:val="Compact"/>
                    <w:jc w:val="left"/>
                    <w:jc w:val="left"/>
                  </w:pPr>
                  <w:r>
                    <w:t xml:space="preserve">18.665**</w:t>
                  </w:r>
                </w:p>
              </w:tc>
            </w:tr>
            <w:tr>
              <w:tc>
                <w:tcPr/>
                <w:p>
                  <w:pPr>
                    <w:pStyle w:val="Compact"/>
                  </w:pPr>
                </w:p>
              </w:tc>
              <w:tc>
                <w:tcPr/>
                <w:p>
                  <w:pPr>
                    <w:pStyle w:val="Compact"/>
                    <w:jc w:val="left"/>
                    <w:jc w:val="left"/>
                  </w:pPr>
                  <w:r>
                    <w:t xml:space="preserve">(0.145)</w:t>
                  </w:r>
                </w:p>
              </w:tc>
              <w:tc>
                <w:tcPr/>
                <w:p>
                  <w:pPr>
                    <w:pStyle w:val="Compact"/>
                    <w:jc w:val="left"/>
                    <w:jc w:val="left"/>
                  </w:pPr>
                  <w:r>
                    <w:t xml:space="preserve">(1.712)</w:t>
                  </w:r>
                </w:p>
              </w:tc>
              <w:tc>
                <w:tcPr/>
                <w:p>
                  <w:pPr>
                    <w:pStyle w:val="Compact"/>
                    <w:jc w:val="left"/>
                    <w:jc w:val="left"/>
                  </w:pPr>
                  <w:r>
                    <w:t xml:space="preserve">(1.271)</w:t>
                  </w:r>
                </w:p>
              </w:tc>
            </w:tr>
            <w:tr>
              <w:tc>
                <w:tcPr/>
                <w:p>
                  <w:pPr>
                    <w:pStyle w:val="Compact"/>
                    <w:jc w:val="left"/>
                    <w:jc w:val="left"/>
                  </w:pPr>
                  <w:r>
                    <w:t xml:space="preserve">Num.Obs.</w:t>
                  </w:r>
                </w:p>
              </w:tc>
              <w:tc>
                <w:tcPr/>
                <w:p>
                  <w:pPr>
                    <w:pStyle w:val="Compact"/>
                    <w:jc w:val="left"/>
                    <w:jc w:val="left"/>
                  </w:pPr>
                  <w:r>
                    <w:t xml:space="preserve">3113</w:t>
                  </w:r>
                </w:p>
              </w:tc>
              <w:tc>
                <w:tcPr/>
                <w:p>
                  <w:pPr>
                    <w:pStyle w:val="Compact"/>
                    <w:jc w:val="left"/>
                    <w:jc w:val="left"/>
                  </w:pPr>
                  <w:r>
                    <w:t xml:space="preserve">1433</w:t>
                  </w:r>
                </w:p>
              </w:tc>
              <w:tc>
                <w:tcPr/>
                <w:p>
                  <w:pPr>
                    <w:pStyle w:val="Compact"/>
                    <w:jc w:val="left"/>
                    <w:jc w:val="left"/>
                  </w:pPr>
                  <w:r>
                    <w:t xml:space="preserve">3113</w:t>
                  </w:r>
                </w:p>
              </w:tc>
            </w:tr>
            <w:tr>
              <w:tc>
                <w:tcPr/>
                <w:p>
                  <w:pPr>
                    <w:pStyle w:val="Compact"/>
                    <w:jc w:val="left"/>
                    <w:jc w:val="left"/>
                  </w:pPr>
                  <w:r>
                    <w:t xml:space="preserve">Adj. R2</w:t>
                  </w:r>
                </w:p>
              </w:tc>
              <w:tc>
                <w:tcPr/>
                <w:p>
                  <w:pPr>
                    <w:pStyle w:val="Compact"/>
                  </w:pPr>
                </w:p>
              </w:tc>
              <w:tc>
                <w:tcPr/>
                <w:p>
                  <w:pPr>
                    <w:pStyle w:val="Compact"/>
                    <w:jc w:val="left"/>
                    <w:jc w:val="left"/>
                  </w:pPr>
                  <w:r>
                    <w:t xml:space="preserve">0.002</w:t>
                  </w:r>
                </w:p>
              </w:tc>
              <w:tc>
                <w:tcPr/>
                <w:p>
                  <w:pPr>
                    <w:pStyle w:val="Compact"/>
                    <w:jc w:val="left"/>
                    <w:jc w:val="left"/>
                  </w:pPr>
                  <w:r>
                    <w:t xml:space="preserve">0.104</w:t>
                  </w:r>
                </w:p>
              </w:tc>
            </w:tr>
            <w:tr>
              <w:tc>
                <w:tcPr/>
                <w:p>
                  <w:pPr>
                    <w:pStyle w:val="Compact"/>
                    <w:jc w:val="left"/>
                    <w:jc w:val="left"/>
                  </w:pPr>
                  <w:r>
                    <w:t xml:space="preserve">McFadden’s pseudo R2</w:t>
                  </w:r>
                </w:p>
              </w:tc>
              <w:tc>
                <w:tcPr/>
                <w:p>
                  <w:pPr>
                    <w:pStyle w:val="Compact"/>
                    <w:jc w:val="left"/>
                    <w:jc w:val="left"/>
                  </w:pPr>
                  <w:r>
                    <w:t xml:space="preserve">0.061</w:t>
                  </w:r>
                </w:p>
              </w:tc>
              <w:tc>
                <w:tcPr/>
                <w:p>
                  <w:pPr>
                    <w:pStyle w:val="Compact"/>
                  </w:pPr>
                </w:p>
              </w:tc>
              <w:tc>
                <w:tcPr/>
                <w:p>
                  <w:pPr>
                    <w:pStyle w:val="Compact"/>
                  </w:pPr>
                </w:p>
              </w:tc>
            </w:tr>
            <w:tr>
              <w:tc>
                <w:tcPr>
                  <w:gridSpan w:val="4"/>
                </w:tcPr>
                <w:p>
                  <w:pPr>
                    <w:pStyle w:val="Compact"/>
                    <w:jc w:val="left"/>
                    <w:jc w:val="left"/>
                  </w:pPr>
                  <w:r>
                    <w:t xml:space="preserve">† p &lt; 0.1, * p &lt; 0.05, ** p &lt; 0.01</w:t>
                  </w:r>
                </w:p>
              </w:tc>
            </w:tr>
          </w:tbl>
          <w:bookmarkEnd w:id="22"/>
          <w:p/>
        </w:tc>
      </w:tr>
    </w:tbl>
    <w:p>
      <w:pPr>
        <w:pStyle w:val="BodyText"/>
      </w:pPr>
      <w:r>
        <w:t xml:space="preserve">For fossil fuels, conservative Republicans were significantly more likely than the reference group to have any positive WTP (b = 0.70, log-odds scale), predicted at 68.0% in the control condition compared to 41.0% for liberal Democrats (b = -0.41,</w:t>
      </w:r>
      <w:r>
        <w:t xml:space="preserve"> </w:t>
      </w:r>
      <w:r>
        <w:rPr>
          <w:i/>
          <w:iCs/>
        </w:rPr>
        <w:t xml:space="preserve">p</w:t>
      </w:r>
      <w:r>
        <w:t xml:space="preserve"> </w:t>
      </w:r>
      <w:r>
        <w:t xml:space="preserve">= 0.023). However, the cues were not significant nor were the interactions between the cues and political beliefs.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wtp-fossil-predicted"/>
          <w:p>
            <w:pPr>
              <w:jc w:val="center"/>
            </w:pPr>
            <w:pPr>
              <w:jc w:val="left"/>
              <w:spacing w:before="200"/>
              <w:pStyle w:val="ImageCaption"/>
            </w:pPr>
            <w:r>
              <w:t xml:space="preserve">Figure 2: Predicted willingness-to-pay for fossil fuels, among respondents with any positive WTP, by cue condition and political identity (survey-weighted OLS predictions with 95% CIs)</w:t>
            </w:r>
          </w:p>
          <w:p>
            <w:pPr>
              <w:pStyle w:val="Compact"/>
              <w:jc w:val="center"/>
            </w:pPr>
            <w:r>
              <w:drawing>
                <wp:inline>
                  <wp:extent cx="5334000" cy="4267200"/>
                  <wp:effectExtent b="0" l="0" r="0" t="0"/>
                  <wp:docPr descr="" title="" id="24" name="Picture"/>
                  <a:graphic>
                    <a:graphicData uri="http://schemas.openxmlformats.org/drawingml/2006/picture">
                      <pic:pic>
                        <pic:nvPicPr>
                          <pic:cNvPr descr="cue-WTP_files/figure-docx/fig-wtp-fossil-predicted-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wtp-renewable-predicted"/>
          <w:p>
            <w:pPr>
              <w:jc w:val="center"/>
            </w:pPr>
            <w:pPr>
              <w:jc w:val="left"/>
              <w:spacing w:before="200"/>
              <w:pStyle w:val="ImageCaption"/>
            </w:pPr>
            <w:r>
              <w:t xml:space="preserve">Figure 3: Predicted willingness-to-pay for renewables by cue condition and political identity (survey-weighted OLS predictions with 95% CIs)</w:t>
            </w:r>
          </w:p>
          <w:p>
            <w:pPr>
              <w:pStyle w:val="Compact"/>
              <w:jc w:val="center"/>
            </w:pPr>
            <w:r>
              <w:drawing>
                <wp:inline>
                  <wp:extent cx="5334000" cy="4267200"/>
                  <wp:effectExtent b="0" l="0" r="0" t="0"/>
                  <wp:docPr descr="" title="" id="28" name="Picture"/>
                  <a:graphic>
                    <a:graphicData uri="http://schemas.openxmlformats.org/drawingml/2006/picture">
                      <pic:pic>
                        <pic:nvPicPr>
                          <pic:cNvPr descr="cue-WTP_files/figure-docx/fig-wtp-renewable-predicted-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bookmarkEnd w:id="30"/>
        </w:tc>
      </w:tr>
    </w:tbl>
    <w:p>
      <w:pPr>
        <w:pStyle w:val="BodyText"/>
      </w:pPr>
      <w:r>
        <w:t xml:space="preserve">For fossil fuels, neither the Trump cue nor its interaction with conservative Republican identity significantly predicted a WTP &gt; $0 or, among those with positive WTP, the dollar amount. Overall, the predicted WTP &gt; $0 for conservative Republicans was 68.0% in the control condition versus 71.3% in the Trump cue, and the predicted amount conditional on paying something was $14.10 versus $14.41.</w:t>
      </w:r>
    </w:p>
    <w:p>
      <w:pPr>
        <w:pStyle w:val="BodyText"/>
      </w:pPr>
      <w:r>
        <w:t xml:space="preserve">Looking to renewables, liberal Democrats were willing to pay $5.70 more, on average, and for those in the climate condition the amount increased further by $3.14 (</w:t>
      </w:r>
      <w:r>
        <w:rPr>
          <w:i/>
          <w:iCs/>
        </w:rPr>
        <w:t xml:space="preserve">p</w:t>
      </w:r>
      <w:r>
        <w:t xml:space="preserve"> </w:t>
      </w:r>
      <w:r>
        <w:t xml:space="preserve">= 0.148), for a total predicted willingness to pay of $25.90 for renewables. Conservative Republicans, however, were willing to pay $6.62 less for renewables, for a predicted total of $12.04.</w:t>
      </w:r>
    </w:p>
    <w:p>
      <w:pPr>
        <w:pStyle w:val="BodyText"/>
      </w:pPr>
      <w:r>
        <w:t xml:space="preserve">Overall, a Trump cue made conservative Republicans more supportive of fossil fuels and a climate cue made liberal Democrats more supportive of renewables. However, respondents were, on average, more supportive of renewables in terms of both priority and WTP. Even conservative Republicans in the Trump cue had a WTP higher for renewables, $10.87, than fossil fuels, at $10.28.</w:t>
      </w:r>
    </w:p>
    <w:p>
      <w:pPr>
        <w:pStyle w:val="BodyText"/>
      </w:pPr>
      <w:r>
        <w:t xml:space="preserve">Comparing the results to the expectations, the support is mixed. As expected, political beliefs shaped both preferences and WTP. Conservative Republicans prioritized fossil fuels more than those with other political beliefs, were more likely to have any positive WTP for fossil fuels, and were WTP less for renewables. Liberal Democrats, in contrast, prioritized renewables, were less likely to have any positive WTP for fossil fuels, and were WTP more for renewables. However, among those WTP something for fossil fuels, conservative Republicans were not WTP more than others. The expectation that the cues would shift preferences and WTP in general was not supported, as neither the Trump cue nor the climate cue significantly changed energy priority or WTP for either source compared to the control condition. Finally, the expectation that the effects of the cues would depend on political beliefs received partial support. Conservative Republicans in the Trump cue shifted their priority toward fossil fuels (</w:t>
      </w:r>
      <w:r>
        <w:rPr>
          <w:i/>
          <w:iCs/>
        </w:rPr>
        <w:t xml:space="preserve">p</w:t>
      </w:r>
      <w:r>
        <w:t xml:space="preserve"> </w:t>
      </w:r>
      <w:r>
        <w:t xml:space="preserve">= 0.062) and liberal Democrats in the climate cue shifted their priority toward renewables (</w:t>
      </w:r>
      <w:r>
        <w:rPr>
          <w:i/>
          <w:iCs/>
        </w:rPr>
        <w:t xml:space="preserve">p</w:t>
      </w:r>
      <w:r>
        <w:t xml:space="preserve"> </w:t>
      </w:r>
      <w:r>
        <w:t xml:space="preserve">= 0.051), though both interactions were only marginally significant, at</w:t>
      </w:r>
      <w:r>
        <w:t xml:space="preserve"> </w:t>
      </w:r>
      <w:r>
        <w:rPr>
          <w:i/>
          <w:iCs/>
        </w:rPr>
        <w:t xml:space="preserve">p</w:t>
      </w:r>
      <w:r>
        <w:t xml:space="preserve">&lt;0.10. Yet, these shifts did not carry over to WTP, as none of the interactions between the cues and political beliefs significantly predicted WTP for fossil fuels or renewables. These results suggest that cues are likely more effective at moving the priority the public gives to energy sources than the amount they are willing to pay.</w:t>
      </w:r>
    </w:p>
    <w:bookmarkEnd w:id="31"/>
    <w:bookmarkStart w:id="33" w:name="discussion-and-conclusion"/>
    <w:p>
      <w:pPr>
        <w:pStyle w:val="Heading1"/>
      </w:pPr>
      <w:r>
        <w:t xml:space="preserve">Discussion and Conclusion</w:t>
      </w:r>
    </w:p>
    <w:p>
      <w:pPr>
        <w:pStyle w:val="FirstParagraph"/>
      </w:pPr>
      <w:r>
        <w:t xml:space="preserve">A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electricity, and how these responses are shaped by political beliefs. The results show that support for energy sources is polarized along partisan lines, both in how respondents prioritized fossil fuels against renewables and in the dollar amounts they were willing to pay, and that a Trump cue pushed conservative Republicans further toward fossil fuels while a climate cue pushed liberal Democrats further toward renewables. However, respondents were, on average, more supportive of renewables than fossil fuels on both measures, and even conservative Republicans exposed to the Trump cue reported a higher WTP for renewables than for fossil fuels. Together, these findings suggest that cues may further exacerbate existing partisan divisions.</w:t>
      </w:r>
    </w:p>
    <w:p>
      <w:pPr>
        <w:pStyle w:val="BodyText"/>
      </w:pPr>
      <w:r>
        <w:t xml:space="preserve">The cue effects were also uneven across the two outcomes. Political beliefs conditioned the effect of the cues on prioritization, but not on WTP. For example, the Trump cue did not significantly change WTP for fossil fuels among conservative Republicans. This may be because a single cue is a weaker treatment than the sustained rhetoric respondents may encounter. In addition, a cue about a political figure may be too diffuse to move WTP, especially in times of concern about rising energy costs.</w:t>
      </w:r>
      <w:r>
        <w:rPr>
          <w:rStyle w:val="FootnoteReference"/>
        </w:rPr>
        <w:footnoteReference w:id="32"/>
      </w:r>
      <w:r>
        <w:t xml:space="preserve"> </w:t>
      </w:r>
      <w:r>
        <w:t xml:space="preserve">The climate cue, by contrast, was associated with a larger, though not statistically significant, increase in WTP for renewables among liberal Democrats, consistent with the idea that a cue tied to a scientific rationale for renewables resonates most with those already predisposed toward that position.</w:t>
      </w:r>
    </w:p>
    <w:p>
      <w:pPr>
        <w:pStyle w:val="BodyText"/>
      </w:pPr>
      <w:r>
        <w:t xml:space="preserve">These results carry several implications for climate and energy policy. First, respondents across the political spectrum reported some positive WTP for renewables, and even conservative Republicans exposed to the Trump cue were WTP more for renewables than for fossil fuels. This suggests that renewable energy investment likely has general public support even in a polarized environment. Second, the responsiveness of conservative Republicans and liberal Democrats to identity-congruent cues indicates that elite rhetoric, including rhetoric tied to a single prominent figure, has the capacity to widen the partisan gap in energy preferences further, which is a risk for policymakers seeking durable, bipartisan support for energy policy. Third, because the cues shifted prioritization among conservative Republicans and liberal Democrats rather than the sample overall, and did not shift WTP,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w:t>
      </w:r>
    </w:p>
    <w:p>
      <w:pPr>
        <w:pStyle w:val="BodyText"/>
      </w:pPr>
      <w:r>
        <w:t xml:space="preserve">This study has some limitations. The WTP measure relies on a hypothetical, stated-preference elicitation, and stated WTP does not always translate into WTP once a real price change is introduced. The cues were also each delivered once, in a single survey context, and their effects may not persist or generalize to the repeated, cumulative exposure people experience outside of a survey. Future research should examine whether repeated exposure to partisan cues over time widens the WTP gap identified here, and whether the gap closes when respondents are asked to pay the stated amount rather than simply report it.</w:t>
      </w:r>
    </w:p>
    <w:p>
      <w:r>
        <w:br w:type="page"/>
      </w:r>
    </w:p>
    <w:bookmarkEnd w:id="33"/>
    <w:bookmarkStart w:id="61" w:name="references"/>
    <w:p>
      <w:pPr>
        <w:pStyle w:val="Heading1"/>
      </w:pPr>
      <w:r>
        <w:t xml:space="preserve">References</w:t>
      </w:r>
    </w:p>
    <w:bookmarkStart w:id="60" w:name="refs"/>
    <w:bookmarkStart w:id="34"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4"/>
    <w:bookmarkStart w:id="35"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5"/>
    <w:bookmarkStart w:id="36"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6"/>
    <w:bookmarkStart w:id="37"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37"/>
    <w:bookmarkStart w:id="38"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Willingness-to-Pay</w:t>
      </w:r>
      <w:r>
        <w:t xml:space="preserve">.”</w:t>
      </w:r>
      <w:r>
        <w:t xml:space="preserve"> </w:t>
      </w:r>
      <w:r>
        <w:rPr>
          <w:i/>
          <w:iCs/>
        </w:rPr>
        <w:t xml:space="preserve">Innovative Marketing</w:t>
      </w:r>
      <w:r>
        <w:t xml:space="preserve"> </w:t>
      </w:r>
      <w:r>
        <w:t xml:space="preserve">2(4): 8–32.</w:t>
      </w:r>
    </w:p>
    <w:bookmarkEnd w:id="38"/>
    <w:bookmarkStart w:id="39"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39"/>
    <w:bookmarkStart w:id="40" w:name="Xd021f1bc7383e3e1df188ec6ac9fbfebe3f9b3a"/>
    <w:p>
      <w:pPr>
        <w:pStyle w:val="Bibliography"/>
      </w:pPr>
      <w:r>
        <w:t xml:space="preserve">Ehret, Phillip J., Leaf Van Boven, and David K. Sherman. 2018.</w:t>
      </w:r>
      <w:r>
        <w:t xml:space="preserve"> </w:t>
      </w:r>
      <w:r>
        <w:t xml:space="preserve">“Partisan</w:t>
      </w:r>
      <w:r>
        <w:t xml:space="preserve"> </w:t>
      </w:r>
      <w:r>
        <w:t xml:space="preserve">Barriers</w:t>
      </w:r>
      <w:r>
        <w:t xml:space="preserve"> </w:t>
      </w:r>
      <w:r>
        <w:t xml:space="preserve">to</w:t>
      </w:r>
      <w:r>
        <w:t xml:space="preserve"> </w:t>
      </w:r>
      <w:r>
        <w:t xml:space="preserve">Bipartisanship</w:t>
      </w:r>
      <w:r>
        <w:t xml:space="preserve">:</w:t>
      </w:r>
      <w:r>
        <w:t xml:space="preserve"> </w:t>
      </w:r>
      <w:r>
        <w:t xml:space="preserve">Understanding Climate Policy Polarization</w:t>
      </w:r>
      <w:r>
        <w:t xml:space="preserve">.”</w:t>
      </w:r>
      <w:r>
        <w:t xml:space="preserve"> </w:t>
      </w:r>
      <w:r>
        <w:rPr>
          <w:i/>
          <w:iCs/>
        </w:rPr>
        <w:t xml:space="preserve">Social Psychological and Personality Science</w:t>
      </w:r>
      <w:r>
        <w:t xml:space="preserve"> </w:t>
      </w:r>
      <w:r>
        <w:t xml:space="preserve">9(3): 308–18.</w:t>
      </w:r>
    </w:p>
    <w:bookmarkEnd w:id="40"/>
    <w:bookmarkStart w:id="41"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1"/>
    <w:bookmarkStart w:id="42"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42"/>
    <w:bookmarkStart w:id="43" w:name="ref-grometPoliticalIdeologyAffects2013"/>
    <w:p>
      <w:pPr>
        <w:pStyle w:val="Bibliography"/>
      </w:pPr>
      <w:r>
        <w:t xml:space="preserve">Gromet, Dena M., Howard Kunreuther, and Richard P. Larrick. 2013.</w:t>
      </w:r>
      <w:r>
        <w:t xml:space="preserve"> </w:t>
      </w:r>
      <w:r>
        <w:t xml:space="preserve">“Political</w:t>
      </w:r>
      <w:r>
        <w:t xml:space="preserve"> </w:t>
      </w:r>
      <w:r>
        <w:t xml:space="preserve">Ideology Affects Energy-Efficiency Attitudes</w:t>
      </w:r>
      <w:r>
        <w:t xml:space="preserve"> </w:t>
      </w:r>
      <w:r>
        <w:t xml:space="preserve">and</w:t>
      </w:r>
      <w:r>
        <w:t xml:space="preserve"> </w:t>
      </w:r>
      <w:r>
        <w:t xml:space="preserve">Choices</w:t>
      </w:r>
      <w:r>
        <w:t xml:space="preserve">.”</w:t>
      </w:r>
      <w:r>
        <w:t xml:space="preserve"> </w:t>
      </w:r>
      <w:r>
        <w:rPr>
          <w:i/>
          <w:iCs/>
        </w:rPr>
        <w:t xml:space="preserve">Proceedings of the National Academy of Sciences</w:t>
      </w:r>
      <w:r>
        <w:t xml:space="preserve"> </w:t>
      </w:r>
      <w:r>
        <w:t xml:space="preserve">110(23): 9314–19.</w:t>
      </w:r>
    </w:p>
    <w:bookmarkEnd w:id="43"/>
    <w:bookmarkStart w:id="44"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44"/>
    <w:bookmarkStart w:id="45"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45"/>
    <w:bookmarkStart w:id="46"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46"/>
    <w:bookmarkStart w:id="47"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47"/>
    <w:bookmarkStart w:id="48"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48"/>
    <w:bookmarkStart w:id="49"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49"/>
    <w:bookmarkStart w:id="50"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50"/>
    <w:bookmarkStart w:id="51"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51"/>
    <w:bookmarkStart w:id="52"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52"/>
    <w:bookmarkStart w:id="53"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3"/>
    <w:bookmarkStart w:id="54"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54"/>
    <w:bookmarkStart w:id="55"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55"/>
    <w:bookmarkStart w:id="56"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56"/>
    <w:bookmarkStart w:id="57"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57"/>
    <w:bookmarkStart w:id="58"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58"/>
    <w:bookmarkStart w:id="59"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1">
    <w:p>
      <w:pPr>
        <w:pStyle w:val="FootnoteText"/>
      </w:pPr>
      <w:r>
        <w:rPr>
          <w:rStyle w:val="FootnoteReference"/>
        </w:rPr>
        <w:footnoteRef/>
      </w:r>
      <w:r>
        <w:t xml:space="preserve"> </w:t>
      </w:r>
      <w:r>
        <w:t xml:space="preserve">It should be noted that WTP for energy is not just a function of partisanship or environmental beliefs.</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how the standard was structured, in addition to the respondents’ political affiliations.</w:t>
      </w:r>
    </w:p>
  </w:footnote>
  <w:footnote w:id="32">
    <w:p>
      <w:pPr>
        <w:pStyle w:val="FootnoteText"/>
      </w:pPr>
      <w:r>
        <w:rPr>
          <w:rStyle w:val="FootnoteReference"/>
        </w:rPr>
        <w:footnoteRef/>
      </w:r>
      <w:r>
        <w:t xml:space="preserve"> </w:t>
      </w:r>
      <w:r>
        <w:t xml:space="preserve">I ran a robustness check that included a measure of the respondent’s concern about the cost of energy. The results are similar to what is reported here, and are shown in the supplemental material.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2026-09-30T13:48:49Z</dcterms:created>
  <dcterms:modified xsi:type="dcterms:W3CDTF">2026-09-30T13:48:49Z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