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Cues, Partisanship, and Willingness-to-Pay for Energy</w:t>
      </w:r>
    </w:p>
    <w:p>
      <w:pPr>
        <w:pStyle w:val="Author"/>
      </w:pPr>
      <w:r>
        <w:t xml:space="preserve">Matthew C. Nowlin</w:t>
      </w:r>
      <w:r>
        <w:rPr>
          <w:rStyle w:val="FootnoteReference"/>
        </w:rPr>
        <w:footnoteReference w:id="9"/>
      </w:r>
    </w:p>
    <w:bookmarkStart w:id="10" w:name="introduction"/>
    <w:p>
      <w:pPr>
        <w:pStyle w:val="Heading1"/>
      </w:pPr>
      <w:r>
        <w:t xml:space="preserve">Introduction</w:t>
      </w:r>
    </w:p>
    <w:p>
      <w:pPr>
        <w:pStyle w:val="FirstParagraph"/>
      </w:pPr>
      <w:r>
        <w:t xml:space="preserve">Shifting from fossil fuels sources of energy to renewables is needed to mitigate climate change, and such a shift requires the commitment and support of the public. In general, the US public seems to support using more renewable sources, yet there are partisan differences in the degree of that support with Republicans tending to be more supportive of fossil fuels and Democrats tending to be more supportive of renewables</w:t>
      </w:r>
      <w:r>
        <w:t xml:space="preserve"> </w:t>
      </w:r>
      <w:r>
        <w:t xml:space="preserve">(Bergquist, Konisky, and Kotcher 2020; Hamilton et al. 2018; Hawes and Nowlin 2022)</w:t>
      </w:r>
      <w:r>
        <w:t xml:space="preserve">. Additionally, in the last several years, Republicans have become more supportive of fossil fuels and less supportive of renewables</w:t>
      </w:r>
      <w:r>
        <w:t xml:space="preserve"> </w:t>
      </w:r>
      <w:r>
        <w:t xml:space="preserve">(Kennedy and Kikuchi 2026)</w:t>
      </w:r>
      <w:r>
        <w:t xml:space="preserve">.</w:t>
      </w:r>
    </w:p>
    <w:p>
      <w:pPr>
        <w:pStyle w:val="BodyText"/>
      </w:pPr>
      <w:r>
        <w:t xml:space="preserve">Cues have been shown to drive public opinion on climate change and energy preferences. For example, partisan and elite cues played a significant role in shaping opinion on climate change</w:t>
      </w:r>
      <w:r>
        <w:t xml:space="preserve"> </w:t>
      </w:r>
      <w:r>
        <w:t xml:space="preserve">(Merkley and Stecula 2021; Tesler 2018)</w:t>
      </w:r>
      <w:r>
        <w:t xml:space="preserve">, and a climate change cue, or frame, can influence energy preferences</w:t>
      </w:r>
      <w:r>
        <w:t xml:space="preserve"> </w:t>
      </w:r>
      <w:r>
        <w:t xml:space="preserve">(Feldman and Hart 2018)</w:t>
      </w:r>
      <w:r>
        <w:t xml:space="preserve">. In light of recent rhetoric and actions on the part of the second Trump regarding fossil and renewables, it is possible that polarization among the public on energy sources may increase in response. Here, I explore how exposure to a Trump or climate cue, compared to no cue, influences how the US public prioritizes fossil fuels versus renewables as well as their willingness-to-pay (WTP) for those energy sources.</w:t>
      </w:r>
    </w:p>
    <w:p>
      <w:pPr>
        <w:pStyle w:val="BodyText"/>
      </w:pPr>
      <w:r>
        <w:t xml:space="preserve">In brief, the literature on WTP for energy finds that the public is responsive to price volatility for both fossil fuels and renewables</w:t>
      </w:r>
      <w:r>
        <w:t xml:space="preserve"> </w:t>
      </w:r>
      <w:r>
        <w:t xml:space="preserve">(Cardella, Ewing, and Williams 2017)</w:t>
      </w:r>
      <w:r>
        <w:t xml:space="preserve">, but in general are willing to pay more for renewable sources</w:t>
      </w:r>
      <w:r>
        <w:t xml:space="preserve"> </w:t>
      </w:r>
      <w:r>
        <w:t xml:space="preserve">(Borchers, Duke, and Parsons 2007; Nkansah and Collins 2019)</w:t>
      </w:r>
      <w:r>
        <w:t xml:space="preserve"> </w:t>
      </w:r>
      <w:r>
        <w:t xml:space="preserve">and is WTP for research and development by the federal government aimed at reducing the use of fossil fuels</w:t>
      </w:r>
      <w:r>
        <w:t xml:space="preserve"> </w:t>
      </w:r>
      <w:r>
        <w:t xml:space="preserve">(Li et al. 2009)</w:t>
      </w:r>
      <w:r>
        <w:t xml:space="preserve">. However, concern about the environmental impacts of energy</w:t>
      </w:r>
      <w:r>
        <w:t xml:space="preserve"> </w:t>
      </w:r>
      <w:r>
        <w:t xml:space="preserve">(Knapp et al. 2020)</w:t>
      </w:r>
      <w:r>
        <w:t xml:space="preserve"> </w:t>
      </w:r>
      <w:r>
        <w:t xml:space="preserve">and political beliefs</w:t>
      </w:r>
      <w:r>
        <w:t xml:space="preserve"> </w:t>
      </w:r>
      <w:r>
        <w:t xml:space="preserve">(Aldy, Kotchen, and Leiserowitz 2012)</w:t>
      </w:r>
      <w:r>
        <w:t xml:space="preserve"> </w:t>
      </w:r>
      <w:r>
        <w:t xml:space="preserve">can shape the WTP for energy.</w:t>
      </w:r>
    </w:p>
    <w:bookmarkEnd w:id="10"/>
    <w:bookmarkStart w:id="11" w:name="cues-and-public-opinion"/>
    <w:p>
      <w:pPr>
        <w:pStyle w:val="Heading1"/>
      </w:pPr>
      <w:r>
        <w:t xml:space="preserve">Cues and Public Opinion</w:t>
      </w:r>
    </w:p>
    <w:p>
      <w:pPr>
        <w:pStyle w:val="FirstParagraph"/>
      </w:pPr>
      <w:r>
        <w:t xml:space="preserve">Cues shape public opinion on climate and energy issues, often independent of a policy’s substantive content. Partisan and elite cues are a particularly strong driver of this process, as citizens frequently adopt the position associated with their party’s leaders rather than evaluate a policy on its own terms</w:t>
      </w:r>
      <w:r>
        <w:t xml:space="preserve"> </w:t>
      </w:r>
      <w:r>
        <w:t xml:space="preserve">(Merkley and Stecula 2021; Tesler 2018)</w:t>
      </w:r>
      <w:r>
        <w:t xml:space="preserve">.</w:t>
      </w:r>
      <w:r>
        <w:t xml:space="preserve"> </w:t>
      </w:r>
      <w:r>
        <w:t xml:space="preserve">Feldman and Hart (2018)</w:t>
      </w:r>
      <w:r>
        <w:t xml:space="preserve"> </w:t>
      </w:r>
      <w:r>
        <w:t xml:space="preserve">found that framing a low-carbon energy policy as a climate change solution, rather than as an air pollution or energy security measure, reduced support for that policy among Republicans specifically, and argued the pattern reflects motivated reasoning rather than a simple heuristic response to the word climate. This distinction matters here because a climate cue and a cue tied to a specific political figure likely activate different cognitive processes, and so may not move opinion in parallel ways.</w:t>
      </w:r>
    </w:p>
    <w:p>
      <w:pPr>
        <w:pStyle w:val="BodyText"/>
      </w:pPr>
      <w:r>
        <w:t xml:space="preserve">Partisanship’s influence likely extends beyond stated policy support to WTP.</w:t>
      </w:r>
      <w:r>
        <w:t xml:space="preserve"> </w:t>
      </w:r>
      <w:r>
        <w:t xml:space="preserve">Kotchen, Boyle, and Leiserowitz (2013)</w:t>
      </w:r>
      <w:r>
        <w:t xml:space="preserve"> </w:t>
      </w:r>
      <w:r>
        <w:t xml:space="preserve">found that Republicans reported lower WTP for a national climate policy than Democrats and independents, but that this partisan gap was largely explained by differences in belief that climate change is occurring, suggesting that cues capable of shifting climate beliefs could narrow WTP differences across party lines. Using a similar national WTP measure,</w:t>
      </w:r>
      <w:r>
        <w:t xml:space="preserve"> </w:t>
      </w:r>
      <w:r>
        <w:t xml:space="preserve">Kotchen, Turk, and Leiserowitz (2017)</w:t>
      </w:r>
      <w:r>
        <w:t xml:space="preserve"> </w:t>
      </w:r>
      <w:r>
        <w:t xml:space="preserve">estimated an average household WTP of $177 per year for a carbon tax, with respondents favoring that the revenue be spent on clean energy investment over other uses. More recently,</w:t>
      </w:r>
      <w:r>
        <w:t xml:space="preserve"> </w:t>
      </w:r>
      <w:r>
        <w:t xml:space="preserve">Mayer and Smith (2023)</w:t>
      </w:r>
      <w:r>
        <w:t xml:space="preserve"> </w:t>
      </w:r>
      <w:r>
        <w:t xml:space="preserve">argued that partisanship’s effect on climate policy support is conditional on the strength of both in-group identification and out-group threat, and</w:t>
      </w:r>
      <w:r>
        <w:t xml:space="preserve"> </w:t>
      </w:r>
      <w:r>
        <w:t xml:space="preserve">Benegal and Green (2024)</w:t>
      </w:r>
      <w:r>
        <w:t xml:space="preserve"> </w:t>
      </w:r>
      <w:r>
        <w:t xml:space="preserve">found that partisan cue-taking, meaning support that tracks which party proposed a policy, outweighed sensitivity to the policy’s stated cost.</w:t>
      </w:r>
      <w:r>
        <w:t xml:space="preserve"> </w:t>
      </w:r>
      <w:r>
        <w:t xml:space="preserve">Scheuch (2026)</w:t>
      </w:r>
      <w:r>
        <w:t xml:space="preserve"> </w:t>
      </w:r>
      <w:r>
        <w:t xml:space="preserve">similarly found partisanship to be among the strongest predictors of WTP for local climate policy, alongside age and income. As expected from this literature, political identity likely conditions not just abstract support for climate and energy policy, but the concrete dollar amounts people report they are willing to pay.</w:t>
      </w:r>
    </w:p>
    <w:bookmarkEnd w:id="11"/>
    <w:bookmarkStart w:id="12" w:name="Xdeb16094afeb5fb9798d0db0f9fa6a26cea0f88"/>
    <w:p>
      <w:pPr>
        <w:pStyle w:val="Heading1"/>
      </w:pPr>
      <w:r>
        <w:t xml:space="preserve">The Public’s Willingness-to-Pay for Energy</w:t>
      </w:r>
    </w:p>
    <w:p>
      <w:pPr>
        <w:pStyle w:val="FirstParagraph"/>
      </w:pPr>
      <w:r>
        <w:t xml:space="preserve">A separate body of work estimates public WTP for renewable relative to fossil fuel electricity directly, generally without a partisan or climate framing manipulation.</w:t>
      </w:r>
      <w:r>
        <w:t xml:space="preserve"> </w:t>
      </w:r>
      <w:r>
        <w:t xml:space="preserve">Borchers, Duke, and Parsons (2007)</w:t>
      </w:r>
      <w:r>
        <w:t xml:space="preserve"> </w:t>
      </w:r>
      <w:r>
        <w:t xml:space="preserve">found that WTP for green energy differs depending on the renewable source being offered, and</w:t>
      </w:r>
      <w:r>
        <w:t xml:space="preserve"> </w:t>
      </w:r>
      <w:r>
        <w:t xml:space="preserve">Nkansah and Collins (2019)</w:t>
      </w:r>
      <w:r>
        <w:t xml:space="preserve"> </w:t>
      </w:r>
      <w:r>
        <w:t xml:space="preserve">compared WTP for wind against natural gas generation specifically and found consumers willing to pay a premium for wind.</w:t>
      </w:r>
      <w:r>
        <w:t xml:space="preserve"> </w:t>
      </w:r>
      <w:r>
        <w:t xml:space="preserve">Murakami et al. (2015)</w:t>
      </w:r>
      <w:r>
        <w:t xml:space="preserve"> </w:t>
      </w:r>
      <w:r>
        <w:t xml:space="preserve">placed fossil fuels, renewables, and nuclear power on the same WTP scale in the US and Japan, and found that respondents in both countries expressed positive WTP for increased renewable generation but negative WTP for increased nuclear generation, with US respondents expressing a stronger preference for renewables than Japanese respondents did.</w:t>
      </w:r>
    </w:p>
    <w:p>
      <w:pPr>
        <w:pStyle w:val="BodyText"/>
      </w:pPr>
      <w:r>
        <w:t xml:space="preserve">A smaller number of studies benchmark WTP for renewables directly against WTP for a fossil fuel alternative, and both likely point toward the identity-conditional pattern examined here.</w:t>
      </w:r>
      <w:r>
        <w:t xml:space="preserve"> </w:t>
      </w:r>
      <w:r>
        <w:t xml:space="preserve">Bakkensen and Schuler (2020)</w:t>
      </w:r>
      <w:r>
        <w:t xml:space="preserve"> </w:t>
      </w:r>
      <w:r>
        <w:t xml:space="preserve">found that Vietnamese households were willing to pay 95 percent more on their monthly electricity bill for reliable renewable power, but were also willing to pay 62 percent more for reliable coal power, and argued that citizens default to supporting fossil fuels unless a renewable alternative is explicitly offered to them.</w:t>
      </w:r>
      <w:r>
        <w:t xml:space="preserve"> </w:t>
      </w:r>
      <w:r>
        <w:t xml:space="preserve">Walter, Thacher, and Chermak (2023)</w:t>
      </w:r>
      <w:r>
        <w:t xml:space="preserve"> </w:t>
      </w:r>
      <w:r>
        <w:t xml:space="preserve">found that US respondents’ preferences over fossil versus renewable energy futures depended on their geographic proximity to fossil fuel production and their opinion about anthropogenic climate change, with the impact of these factors asymmetric across respondent groups. This is among the few sets of studies to compare WTP for multiple energy sources within a single design, an approach extended here to fossil fuels and renewables under experimentally manipulated cues.</w:t>
      </w:r>
    </w:p>
    <w:p>
      <w:pPr>
        <w:pStyle w:val="BodyText"/>
      </w:pPr>
      <w:r>
        <w:t xml:space="preserve">Li et al. (2009)</w:t>
      </w:r>
      <w:r>
        <w:t xml:space="preserve"> </w:t>
      </w:r>
      <w:r>
        <w:t xml:space="preserve">estimated household WTP for a federal energy research and development fund aimed at reducing reliance on fossil fuels, and found broad support for that funding even though the policy did not name renewables specifically, suggesting that WTP responds to reducing fossil fuel use as a goal in itself. However, WTP for energy is not solely a function of environmental preference.</w:t>
      </w:r>
      <w:r>
        <w:t xml:space="preserve"> </w:t>
      </w:r>
      <w:r>
        <w:t xml:space="preserve">Cardella, Ewing, and Williams (2017)</w:t>
      </w:r>
      <w:r>
        <w:t xml:space="preserve"> </w:t>
      </w:r>
      <w:r>
        <w:t xml:space="preserve">found that price volatility, not just price level, shapes residential customers’ generation-source decisions, and</w:t>
      </w:r>
      <w:r>
        <w:t xml:space="preserve"> </w:t>
      </w:r>
      <w:r>
        <w:t xml:space="preserve">Knapp et al. (2020)</w:t>
      </w:r>
      <w:r>
        <w:t xml:space="preserve"> </w:t>
      </w:r>
      <w:r>
        <w:t xml:space="preserve">found that stated WTP for green electricity programs does not consistently translate into enrollment once a real premium is offered.</w:t>
      </w:r>
      <w:r>
        <w:t xml:space="preserve"> </w:t>
      </w:r>
      <w:r>
        <w:t xml:space="preserve">Aldy, Kotchen, and Leiserowitz (2012)</w:t>
      </w:r>
      <w:r>
        <w:t xml:space="preserve"> </w:t>
      </w:r>
      <w:r>
        <w:t xml:space="preserve">likewise found that WTP for a national clean energy standard depended on respondents’ political affiliation as well as on how the standard was structured. Taken together, this literature establishes that the public likely pays a premium for renewable electricity on average, but that the size of that premium, and whether it survives contact with real costs, depends on the source being compared, the framing of the request, and the respondent’s political identity, three factors that remain largely unexamined together within a single experimental design.</w:t>
      </w:r>
    </w:p>
    <w:bookmarkEnd w:id="12"/>
    <w:bookmarkStart w:id="13" w:name="methodology-and-data"/>
    <w:p>
      <w:pPr>
        <w:pStyle w:val="Heading1"/>
      </w:pPr>
      <w:r>
        <w:t xml:space="preserve">Methodology and Data</w:t>
      </w:r>
    </w:p>
    <w:p>
      <w:pPr>
        <w:pStyle w:val="FirstParagraph"/>
      </w:pPr>
      <w:r>
        <w:t xml:space="preserve">Given the importance of cues and political beliefs in energy preferences, here I use a survey experiment to examine respondents’ prioritization of fossil fuels versus renewables as well as their willingness-to-pay (WTP) for those sources to generate electricity in response to a Trump cue or a climate change cue. Specifically, I surveyed 3113 US residents in April 2026, who were randomly assigned to receive one of three treatments, including a cue about Trump’s critique’s of renewable energy and his support for fossil fuels (n = 1049), a climate change cue that stated scientists recommend moving away from fossil fuels to renewables to address climate change (n = 1013), or a control condition with no cue (n = 1051).</w:t>
      </w:r>
    </w:p>
    <w:p>
      <w:pPr>
        <w:pStyle w:val="BodyText"/>
      </w:pPr>
      <w:r>
        <w:t xml:space="preserve">Overall, I expect there to be both general and partisan shifts in preferences based on the cues. In general, those who receive the Trump cue will prioritize fossil and fuels and be willing to pay more, whereas those in the climate condition will prioritize renewable sources and be willing to pay more than those in the other conditions. For political beliefs, I expect conservative Republicans to be responsive to the Trump cue and liberal Democrats to be responsive to the climate cue in their energy preferences.</w:t>
      </w:r>
    </w:p>
    <w:p>
      <w:pPr>
        <w:pStyle w:val="BodyText"/>
      </w:pPr>
      <w:r>
        <w:t xml:space="preserve">I first examine how respondents chose to prioritize fossil fuels versus renewables. After receiving the cues, respondents were asked, on a 1 to 7 scale, if fossil fuels should be prioritized (= 1), fossil fuels and renewables should be prioritized equally (= 4), or renewable sources should be prioritized (= 7). The mean on the energy-priority scale was 5.17, indicating that respondents, on average, prioritized renewables. Next, I use OLS to examine the prioritization respondents gave to fossil fuels versus renewables as a function of the cue, their political beliefs, and the interaction between cues and political beliefs. Energy affordability was a salient concern during the time data was collected: in the survey respondents were asked, on a 0 to 10 scale, their overall concern about the cost of electricity, and the mean was 7.88, indicating a fair amount of concern. Demographic characteristics could also confound the relationship between cues, political beliefs, and these outcomes, so I re-estimate every model below controlling for age, male, white, education, and income, and separately controlling for those demographics plus concern about energy cost; both specifications are reported in the Supplemental Materials. The coefficients, significance, and substantive conclusions are consistent across all three specifications.</w:t>
      </w:r>
    </w:p>
    <w:bookmarkEnd w:id="13"/>
    <w:bookmarkStart w:id="29" w:name="results-and-discussion"/>
    <w:p>
      <w:pPr>
        <w:pStyle w:val="Heading1"/>
      </w:pPr>
      <w:r>
        <w:t xml:space="preserve">Results and Discussion</w:t>
      </w:r>
    </w:p>
    <w:p>
      <w:pPr>
        <w:pStyle w:val="FirstParagraph"/>
      </w:pPr>
      <w:r>
        <w:t xml:space="preserve">The results are shown in</w:t>
      </w:r>
      <w:r>
        <w:t xml:space="preserve"> </w:t>
      </w:r>
      <w:hyperlink w:anchor="tbl-priority-o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priority-ols"/>
          <w:p>
            <w:pPr>
              <w:jc w:val="center"/>
            </w:pPr>
            <w:pPr>
              <w:jc w:val="left"/>
              <w:spacing w:before="200"/>
              <w:pStyle w:val="ImageCaption"/>
            </w:pPr>
            <w:r>
              <w:t xml:space="preserve">Table 1: Effect of cue condition, political beliefs, and their interaction on the energy source-priority scale (survey-weighted OLS; control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-0.016</w:t>
                  </w:r>
                </w:p>
              </w:tc>
            </w:tr>
            <w:tr>
              <w:tc>
                <w:tcPr/>
                <w:p>
                  <w:pPr>
                    <w:pStyle w:val="Compact"/>
                  </w:pPr>
                </w:p>
              </w:tc>
              <w:tc>
                <w:tcPr/>
                <w:p>
                  <w:pPr>
                    <w:pStyle w:val="Compact"/>
                    <w:jc w:val="center"/>
                  </w:pPr>
                  <w:r>
                    <w:t xml:space="preserve">(0.159)</w:t>
                  </w:r>
                </w:p>
              </w:tc>
            </w:tr>
            <w:tr>
              <w:tc>
                <w:tcPr/>
                <w:p>
                  <w:pPr>
                    <w:pStyle w:val="Compact"/>
                    <w:jc w:val="center"/>
                  </w:pPr>
                  <w:r>
                    <w:t xml:space="preserve">Climate cue</w:t>
                  </w:r>
                </w:p>
              </w:tc>
              <w:tc>
                <w:tcPr/>
                <w:p>
                  <w:pPr>
                    <w:pStyle w:val="Compact"/>
                    <w:jc w:val="center"/>
                  </w:pPr>
                  <w:r>
                    <w:t xml:space="preserve">-0.137</w:t>
                  </w:r>
                </w:p>
              </w:tc>
            </w:tr>
            <w:tr>
              <w:tc>
                <w:tcPr/>
                <w:p>
                  <w:pPr>
                    <w:pStyle w:val="Compact"/>
                  </w:pPr>
                </w:p>
              </w:tc>
              <w:tc>
                <w:tcPr/>
                <w:p>
                  <w:pPr>
                    <w:pStyle w:val="Compact"/>
                    <w:jc w:val="center"/>
                  </w:pPr>
                  <w:r>
                    <w:t xml:space="preserve">(0.153)</w:t>
                  </w:r>
                </w:p>
              </w:tc>
            </w:tr>
            <w:tr>
              <w:tc>
                <w:tcPr/>
                <w:p>
                  <w:pPr>
                    <w:pStyle w:val="Compact"/>
                    <w:jc w:val="center"/>
                  </w:pPr>
                  <w:r>
                    <w:t xml:space="preserve">Liberal Democrat</w:t>
                  </w:r>
                </w:p>
              </w:tc>
              <w:tc>
                <w:tcPr/>
                <w:p>
                  <w:pPr>
                    <w:pStyle w:val="Compact"/>
                    <w:jc w:val="center"/>
                  </w:pPr>
                  <w:r>
                    <w:t xml:space="preserve">0.674***</w:t>
                  </w:r>
                </w:p>
              </w:tc>
            </w:tr>
            <w:tr>
              <w:tc>
                <w:tcPr/>
                <w:p>
                  <w:pPr>
                    <w:pStyle w:val="Compact"/>
                  </w:pPr>
                </w:p>
              </w:tc>
              <w:tc>
                <w:tcPr/>
                <w:p>
                  <w:pPr>
                    <w:pStyle w:val="Compact"/>
                    <w:jc w:val="center"/>
                  </w:pPr>
                  <w:r>
                    <w:t xml:space="preserve">(0.126)</w:t>
                  </w:r>
                </w:p>
              </w:tc>
            </w:tr>
            <w:tr>
              <w:tc>
                <w:tcPr/>
                <w:p>
                  <w:pPr>
                    <w:pStyle w:val="Compact"/>
                    <w:jc w:val="center"/>
                  </w:pPr>
                  <w:r>
                    <w:t xml:space="preserve">Conservative Republican</w:t>
                  </w:r>
                </w:p>
              </w:tc>
              <w:tc>
                <w:tcPr/>
                <w:p>
                  <w:pPr>
                    <w:pStyle w:val="Compact"/>
                    <w:jc w:val="center"/>
                  </w:pPr>
                  <w:r>
                    <w:t xml:space="preserve">-1.236***</w:t>
                  </w:r>
                </w:p>
              </w:tc>
            </w:tr>
            <w:tr>
              <w:tc>
                <w:tcPr/>
                <w:p>
                  <w:pPr>
                    <w:pStyle w:val="Compact"/>
                  </w:pPr>
                </w:p>
              </w:tc>
              <w:tc>
                <w:tcPr/>
                <w:p>
                  <w:pPr>
                    <w:pStyle w:val="Compact"/>
                    <w:jc w:val="center"/>
                  </w:pPr>
                  <w:r>
                    <w:t xml:space="preserve">(0.150)</w:t>
                  </w:r>
                </w:p>
              </w:tc>
            </w:tr>
            <w:tr>
              <w:tc>
                <w:tcPr/>
                <w:p>
                  <w:pPr>
                    <w:pStyle w:val="Compact"/>
                    <w:jc w:val="center"/>
                  </w:pPr>
                  <w:r>
                    <w:t xml:space="preserve">Trump cue × Liberal Democrat</w:t>
                  </w:r>
                </w:p>
              </w:tc>
              <w:tc>
                <w:tcPr/>
                <w:p>
                  <w:pPr>
                    <w:pStyle w:val="Compact"/>
                    <w:jc w:val="center"/>
                  </w:pPr>
                  <w:r>
                    <w:t xml:space="preserve">0.137</w:t>
                  </w:r>
                </w:p>
              </w:tc>
            </w:tr>
            <w:tr>
              <w:tc>
                <w:tcPr/>
                <w:p>
                  <w:pPr>
                    <w:pStyle w:val="Compact"/>
                  </w:pPr>
                </w:p>
              </w:tc>
              <w:tc>
                <w:tcPr/>
                <w:p>
                  <w:pPr>
                    <w:pStyle w:val="Compact"/>
                    <w:jc w:val="center"/>
                  </w:pPr>
                  <w:r>
                    <w:t xml:space="preserve">(0.184)</w:t>
                  </w:r>
                </w:p>
              </w:tc>
            </w:tr>
            <w:tr>
              <w:tc>
                <w:tcPr/>
                <w:p>
                  <w:pPr>
                    <w:pStyle w:val="Compact"/>
                    <w:jc w:val="center"/>
                  </w:pPr>
                  <w:r>
                    <w:t xml:space="preserve">Climate cue × Liberal Democrat</w:t>
                  </w:r>
                </w:p>
              </w:tc>
              <w:tc>
                <w:tcPr/>
                <w:p>
                  <w:pPr>
                    <w:pStyle w:val="Compact"/>
                    <w:jc w:val="center"/>
                  </w:pPr>
                  <w:r>
                    <w:t xml:space="preserve">0.341*</w:t>
                  </w:r>
                </w:p>
              </w:tc>
            </w:tr>
            <w:tr>
              <w:tc>
                <w:tcPr/>
                <w:p>
                  <w:pPr>
                    <w:pStyle w:val="Compact"/>
                  </w:pPr>
                </w:p>
              </w:tc>
              <w:tc>
                <w:tcPr/>
                <w:p>
                  <w:pPr>
                    <w:pStyle w:val="Compact"/>
                    <w:jc w:val="center"/>
                  </w:pPr>
                  <w:r>
                    <w:t xml:space="preserve">(0.174)</w:t>
                  </w:r>
                </w:p>
              </w:tc>
            </w:tr>
            <w:tr>
              <w:tc>
                <w:tcPr/>
                <w:p>
                  <w:pPr>
                    <w:pStyle w:val="Compact"/>
                    <w:jc w:val="center"/>
                  </w:pPr>
                  <w:r>
                    <w:t xml:space="preserve">Trump cue × Conservative Republican</w:t>
                  </w:r>
                </w:p>
              </w:tc>
              <w:tc>
                <w:tcPr/>
                <w:p>
                  <w:pPr>
                    <w:pStyle w:val="Compact"/>
                    <w:jc w:val="center"/>
                  </w:pPr>
                  <w:r>
                    <w:t xml:space="preserve">-0.438*</w:t>
                  </w:r>
                </w:p>
              </w:tc>
            </w:tr>
            <w:tr>
              <w:tc>
                <w:tcPr/>
                <w:p>
                  <w:pPr>
                    <w:pStyle w:val="Compact"/>
                  </w:pPr>
                </w:p>
              </w:tc>
              <w:tc>
                <w:tcPr/>
                <w:p>
                  <w:pPr>
                    <w:pStyle w:val="Compact"/>
                    <w:jc w:val="center"/>
                  </w:pPr>
                  <w:r>
                    <w:t xml:space="preserve">(0.235)</w:t>
                  </w:r>
                </w:p>
              </w:tc>
            </w:tr>
            <w:tr>
              <w:tc>
                <w:tcPr/>
                <w:p>
                  <w:pPr>
                    <w:pStyle w:val="Compact"/>
                    <w:jc w:val="center"/>
                  </w:pPr>
                  <w:r>
                    <w:t xml:space="preserve">Climate cue × Conservative Republican</w:t>
                  </w:r>
                </w:p>
              </w:tc>
              <w:tc>
                <w:tcPr/>
                <w:p>
                  <w:pPr>
                    <w:pStyle w:val="Compact"/>
                    <w:jc w:val="center"/>
                  </w:pPr>
                  <w:r>
                    <w:t xml:space="preserve">0.079</w:t>
                  </w:r>
                </w:p>
              </w:tc>
            </w:tr>
            <w:tr>
              <w:tc>
                <w:tcPr/>
                <w:p>
                  <w:pPr>
                    <w:pStyle w:val="Compact"/>
                  </w:pPr>
                </w:p>
              </w:tc>
              <w:tc>
                <w:tcPr/>
                <w:p>
                  <w:pPr>
                    <w:pStyle w:val="Compact"/>
                    <w:jc w:val="center"/>
                  </w:pPr>
                  <w:r>
                    <w:t xml:space="preserve">(0.221)</w:t>
                  </w:r>
                </w:p>
              </w:tc>
            </w:tr>
            <w:tr>
              <w:tc>
                <w:tcPr/>
                <w:p>
                  <w:pPr>
                    <w:pStyle w:val="Compact"/>
                    <w:jc w:val="center"/>
                  </w:pPr>
                  <w:r>
                    <w:t xml:space="preserve">(Intercept)</w:t>
                  </w:r>
                </w:p>
              </w:tc>
              <w:tc>
                <w:tcPr/>
                <w:p>
                  <w:pPr>
                    <w:pStyle w:val="Compact"/>
                    <w:jc w:val="center"/>
                  </w:pPr>
                  <w:r>
                    <w:t xml:space="preserve">5.443***</w:t>
                  </w:r>
                </w:p>
              </w:tc>
            </w:tr>
            <w:tr>
              <w:tc>
                <w:tcPr/>
                <w:p>
                  <w:pPr>
                    <w:pStyle w:val="Compact"/>
                  </w:pPr>
                </w:p>
              </w:tc>
              <w:tc>
                <w:tcPr/>
                <w:p>
                  <w:pPr>
                    <w:pStyle w:val="Compact"/>
                    <w:jc w:val="center"/>
                  </w:pPr>
                  <w:r>
                    <w:t xml:space="preserve">(0.109)</w:t>
                  </w:r>
                </w:p>
              </w:tc>
            </w:tr>
            <w:tr>
              <w:tc>
                <w:tcPr/>
                <w:p>
                  <w:pPr>
                    <w:pStyle w:val="Compact"/>
                    <w:jc w:val="center"/>
                  </w:pPr>
                  <w:r>
                    <w:t xml:space="preserve">Num.Obs.</w:t>
                  </w:r>
                </w:p>
              </w:tc>
              <w:tc>
                <w:tcPr/>
                <w:p>
                  <w:pPr>
                    <w:pStyle w:val="Compact"/>
                    <w:jc w:val="center"/>
                  </w:pPr>
                  <w:r>
                    <w:t xml:space="preserve">3113</w:t>
                  </w:r>
                </w:p>
              </w:tc>
            </w:tr>
            <w:tr>
              <w:tc>
                <w:tcPr>
                  <w:gridSpan w:val="2"/>
                </w:tcPr>
                <w:p>
                  <w:pPr>
                    <w:pStyle w:val="Compact"/>
                    <w:numPr>
                      <w:ilvl w:val="0"/>
                      <w:numId w:val="1001"/>
                    </w:numPr>
                    <w:jc w:val="center"/>
                  </w:pPr>
                  <w:r>
                    <w:t xml:space="preserve">p &lt; 0.1, ** p &lt; 0.05, *** p &lt; 0.01</w:t>
                  </w:r>
                </w:p>
              </w:tc>
            </w:tr>
          </w:tbl>
          <w:bookmarkEnd w:id="14"/>
          <w:p/>
        </w:tc>
      </w:tr>
    </w:tbl>
    <w:tbl>
      <w:tblPr>
        <w:tblStyle w:val="Table"/>
        <w:tblW w:type="pct" w:w="5000"/>
        <w:tblLayout w:type="fixed"/>
        <w:tblLook w:firstRow="0" w:lastRow="0" w:firstColumn="0" w:lastColumn="0" w:noHBand="0" w:noVBand="0" w:val="0000"/>
      </w:tblPr>
      <w:tblGrid>
        <w:gridCol w:w="7920"/>
      </w:tblGrid>
      <w:tr>
        <w:tc>
          <w:tcPr/>
          <w:bookmarkStart w:id="18" w:name="fig-priority-predicted"/>
          <w:p>
            <w:pPr>
              <w:jc w:val="center"/>
            </w:pPr>
            <w:pPr>
              <w:jc w:val="left"/>
              <w:spacing w:before="200"/>
              <w:pStyle w:val="ImageCaption"/>
            </w:pPr>
            <w:r>
              <w:t xml:space="preserve">Figure 1: Predicted energy source-priority scale (1-7) by cue condition and political identity (survey-weighted OLS predictions with 95% CIs)</w:t>
            </w:r>
          </w:p>
          <w:p>
            <w:pPr>
              <w:pStyle w:val="Compact"/>
              <w:jc w:val="center"/>
            </w:pPr>
            <w:r>
              <w:drawing>
                <wp:inline>
                  <wp:extent cx="5334000" cy="4267200"/>
                  <wp:effectExtent b="0" l="0" r="0" t="0"/>
                  <wp:docPr descr="" title="" id="16" name="Picture"/>
                  <a:graphic>
                    <a:graphicData uri="http://schemas.openxmlformats.org/drawingml/2006/picture">
                      <pic:pic>
                        <pic:nvPicPr>
                          <pic:cNvPr descr="cue-WTP_files/figure-docx/fig-priority-predicted-1.png" id="17" name="Picture"/>
                          <pic:cNvPicPr>
                            <a:picLocks noChangeArrowheads="1" noChangeAspect="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bookmarkEnd w:id="18"/>
        </w:tc>
      </w:tr>
    </w:tbl>
    <w:p>
      <w:pPr>
        <w:pStyle w:val="BodyText"/>
      </w:pPr>
      <w:r>
        <w:t xml:space="preserve">As expected, conservative Republicans were more likely to prioritize fossil fuels than renewables, with an estimated coefficient of -1.24 on the 1 to 7 scale. Liberal Democrats prioritized renewables at 0.67. In terms of the interactions, conservative Republicans who received the Trump cue were more likely to prioritize fossil fuels (b = -0.44,</w:t>
      </w:r>
      <w:r>
        <w:t xml:space="preserve"> </w:t>
      </w:r>
      <w:r>
        <w:rPr>
          <w:i/>
          <w:iCs/>
        </w:rPr>
        <w:t xml:space="preserve">p</w:t>
      </w:r>
      <w:r>
        <w:t xml:space="preserve"> </w:t>
      </w:r>
      <w:r>
        <w:t xml:space="preserve">= 0.062), whereas liberal Democrats in the climate condition where more likely to prioritize renewables (b = 0.34). Overall, the predicted value on the 1 to 7 scale for conservative Republicans in the control group was 4.21, indicating a priority split roughly evenly between fossil fuels and renewables, and it was 3.75 for those receiving the Trump cue, indicating a significant shift toward prioritizing fossil fuels. For liberal Democrats the predicted value was 6.12, indicating a priority for renewables, and the value was 6.32 in the climate condition. The interactions of cue x political beliefs were marginally significant; however, the cues themselves had no effect, on average, on energy source priority compared to the control condition.</w:t>
      </w:r>
    </w:p>
    <w:p>
      <w:pPr>
        <w:pStyle w:val="BodyText"/>
      </w:pPr>
      <w:r>
        <w:t xml:space="preserve">Next, I asked respondents their WTP for fossil fuel and renewable sources using the Gabor-Granger method</w:t>
      </w:r>
      <w:r>
        <w:t xml:space="preserve"> </w:t>
      </w:r>
      <w:r>
        <w:t xml:space="preserve">(e.g., Gabor and Granger 1966)</w:t>
      </w:r>
      <w:r>
        <w:t xml:space="preserve">. The Gabor-Granger method is a well-established survey-based technique for eliciting willingness-to-pay, dating to early applications of iterative-bidding price experiments</w:t>
      </w:r>
      <w:r>
        <w:t xml:space="preserve"> </w:t>
      </w:r>
      <w:r>
        <w:t xml:space="preserve">(Jones 1975)</w:t>
      </w:r>
      <w:r>
        <w:t xml:space="preserve"> </w:t>
      </w:r>
      <w:r>
        <w:t xml:space="preserve">and later formalized in marketing research</w:t>
      </w:r>
      <w:r>
        <w:t xml:space="preserve"> </w:t>
      </w:r>
      <w:r>
        <w:t xml:space="preserve">(Wedel and Leeflang 1998)</w:t>
      </w:r>
      <w:r>
        <w:t xml:space="preserve">. It remains among the standard indirect approaches used to measure willingness-to-pay, alongside methods such as the van Westendorp price sensitivity meter and discrete choice experiments</w:t>
      </w:r>
      <w:r>
        <w:t xml:space="preserve"> </w:t>
      </w:r>
      <w:r>
        <w:t xml:space="preserve">(Breidert, Hahsler, and Reutterer 2006; Lipovetsky, Magnan, and Zanetti-Polzi 2011)</w:t>
      </w:r>
      <w:r>
        <w:t xml:space="preserve">. Specifically, I first give respondents information about potential costs associated with each energy source. In the WTP for fossil fuels question, I noted that costs associated with renewable energy have decreased and, therefore they may need to pay more to use fossil fuels. For renewable sources respondents were told about the need to increase distribution. All respondents were asked their WTP for both sources, and the sources were presented in random order. To elict the maximum/minimum WTP, respondents were shown a random dollar amount between $1 and $46, in five-dollar increments, and asked if they would be WTP that amount extra per-month in their electricity bill. If they indicated yes they were shown a larger, random dollar-amount, and if they indicated no they were shown a smaller dollar-amount. This continues until they reach the $46-maximum or $1-minimum. Respondents who indicated no at $1 were coded with a WTP of 0. The percent of respondents WTP each possible dollar amount for each source is shown in</w:t>
      </w:r>
      <w:r>
        <w:t xml:space="preserve"> </w:t>
      </w:r>
      <w:hyperlink w:anchor="tbl-wtp-dis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wtp-dist"/>
          <w:p>
            <w:pPr>
              <w:jc w:val="center"/>
            </w:pPr>
            <w:pPr>
              <w:jc w:val="left"/>
              <w:spacing w:before="200"/>
              <w:pStyle w:val="ImageCaption"/>
            </w:pPr>
            <w:r>
              <w:t xml:space="preserve">Table 2: Distribution of willingness-to-pay for fossil fuel and renewable electricity (weighted percent of respondents choosing each bid amount)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WTP ($)</w:t>
                  </w:r>
                </w:p>
              </w:tc>
              <w:tc>
                <w:tcPr/>
                <w:p>
                  <w:pPr>
                    <w:pStyle w:val="Compact"/>
                    <w:jc w:val="right"/>
                    <w:jc w:val="center"/>
                  </w:pPr>
                  <w:r>
                    <w:t xml:space="preserve">Fossil fuels (%)</w:t>
                  </w:r>
                </w:p>
              </w:tc>
              <w:tc>
                <w:tcPr/>
                <w:p>
                  <w:pPr>
                    <w:pStyle w:val="Compact"/>
                    <w:jc w:val="right"/>
                    <w:jc w:val="center"/>
                  </w:pPr>
                  <w:r>
                    <w:t xml:space="preserve">Renewables (%)</w:t>
                  </w:r>
                </w:p>
              </w:tc>
            </w:tr>
            <w:tr>
              <w:tc>
                <w:tcPr/>
                <w:p>
                  <w:pPr>
                    <w:pStyle w:val="Compact"/>
                    <w:jc w:val="right"/>
                    <w:jc w:val="center"/>
                  </w:pPr>
                  <w:r>
                    <w:t xml:space="preserve">0</w:t>
                  </w:r>
                </w:p>
              </w:tc>
              <w:tc>
                <w:tcPr/>
                <w:p>
                  <w:pPr>
                    <w:pStyle w:val="Compact"/>
                    <w:jc w:val="right"/>
                    <w:jc w:val="center"/>
                  </w:pPr>
                  <w:r>
                    <w:t xml:space="preserve">47.0</w:t>
                  </w:r>
                </w:p>
              </w:tc>
              <w:tc>
                <w:tcPr/>
                <w:p>
                  <w:pPr>
                    <w:pStyle w:val="Compact"/>
                    <w:jc w:val="right"/>
                    <w:jc w:val="center"/>
                  </w:pPr>
                  <w:r>
                    <w:t xml:space="preserve">14.0</w:t>
                  </w:r>
                </w:p>
              </w:tc>
            </w:tr>
            <w:tr>
              <w:tc>
                <w:tcPr/>
                <w:p>
                  <w:pPr>
                    <w:pStyle w:val="Compact"/>
                    <w:jc w:val="right"/>
                    <w:jc w:val="center"/>
                  </w:pPr>
                  <w:r>
                    <w:t xml:space="preserve">1</w:t>
                  </w:r>
                </w:p>
              </w:tc>
              <w:tc>
                <w:tcPr/>
                <w:p>
                  <w:pPr>
                    <w:pStyle w:val="Compact"/>
                    <w:jc w:val="right"/>
                    <w:jc w:val="center"/>
                  </w:pPr>
                  <w:r>
                    <w:t xml:space="preserve">14.7</w:t>
                  </w:r>
                </w:p>
              </w:tc>
              <w:tc>
                <w:tcPr/>
                <w:p>
                  <w:pPr>
                    <w:pStyle w:val="Compact"/>
                    <w:jc w:val="right"/>
                    <w:jc w:val="center"/>
                  </w:pPr>
                  <w:r>
                    <w:t xml:space="preserve">15.6</w:t>
                  </w:r>
                </w:p>
              </w:tc>
            </w:tr>
            <w:tr>
              <w:tc>
                <w:tcPr/>
                <w:p>
                  <w:pPr>
                    <w:pStyle w:val="Compact"/>
                    <w:jc w:val="right"/>
                    <w:jc w:val="center"/>
                  </w:pPr>
                  <w:r>
                    <w:t xml:space="preserve">6</w:t>
                  </w:r>
                </w:p>
              </w:tc>
              <w:tc>
                <w:tcPr/>
                <w:p>
                  <w:pPr>
                    <w:pStyle w:val="Compact"/>
                    <w:jc w:val="right"/>
                    <w:jc w:val="center"/>
                  </w:pPr>
                  <w:r>
                    <w:t xml:space="preserve">10.6</w:t>
                  </w:r>
                </w:p>
              </w:tc>
              <w:tc>
                <w:tcPr/>
                <w:p>
                  <w:pPr>
                    <w:pStyle w:val="Compact"/>
                    <w:jc w:val="right"/>
                    <w:jc w:val="center"/>
                  </w:pPr>
                  <w:r>
                    <w:t xml:space="preserve">14.0</w:t>
                  </w:r>
                </w:p>
              </w:tc>
            </w:tr>
            <w:tr>
              <w:tc>
                <w:tcPr/>
                <w:p>
                  <w:pPr>
                    <w:pStyle w:val="Compact"/>
                    <w:jc w:val="right"/>
                    <w:jc w:val="center"/>
                  </w:pPr>
                  <w:r>
                    <w:t xml:space="preserve">11</w:t>
                  </w:r>
                </w:p>
              </w:tc>
              <w:tc>
                <w:tcPr/>
                <w:p>
                  <w:pPr>
                    <w:pStyle w:val="Compact"/>
                    <w:jc w:val="right"/>
                    <w:jc w:val="center"/>
                  </w:pPr>
                  <w:r>
                    <w:t xml:space="preserve">5.6</w:t>
                  </w:r>
                </w:p>
              </w:tc>
              <w:tc>
                <w:tcPr/>
                <w:p>
                  <w:pPr>
                    <w:pStyle w:val="Compact"/>
                    <w:jc w:val="right"/>
                    <w:jc w:val="center"/>
                  </w:pPr>
                  <w:r>
                    <w:t xml:space="preserve">9.1</w:t>
                  </w:r>
                </w:p>
              </w:tc>
            </w:tr>
            <w:tr>
              <w:tc>
                <w:tcPr/>
                <w:p>
                  <w:pPr>
                    <w:pStyle w:val="Compact"/>
                    <w:jc w:val="right"/>
                    <w:jc w:val="center"/>
                  </w:pPr>
                  <w:r>
                    <w:t xml:space="preserve">16</w:t>
                  </w:r>
                </w:p>
              </w:tc>
              <w:tc>
                <w:tcPr/>
                <w:p>
                  <w:pPr>
                    <w:pStyle w:val="Compact"/>
                    <w:jc w:val="right"/>
                    <w:jc w:val="center"/>
                  </w:pPr>
                  <w:r>
                    <w:t xml:space="preserve">4.9</w:t>
                  </w:r>
                </w:p>
              </w:tc>
              <w:tc>
                <w:tcPr/>
                <w:p>
                  <w:pPr>
                    <w:pStyle w:val="Compact"/>
                    <w:jc w:val="right"/>
                    <w:jc w:val="center"/>
                  </w:pPr>
                  <w:r>
                    <w:t xml:space="preserve">7.3</w:t>
                  </w:r>
                </w:p>
              </w:tc>
            </w:tr>
            <w:tr>
              <w:tc>
                <w:tcPr/>
                <w:p>
                  <w:pPr>
                    <w:pStyle w:val="Compact"/>
                    <w:jc w:val="right"/>
                    <w:jc w:val="center"/>
                  </w:pPr>
                  <w:r>
                    <w:t xml:space="preserve">21</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right"/>
                    <w:jc w:val="center"/>
                  </w:pPr>
                  <w:r>
                    <w:t xml:space="preserve">26</w:t>
                  </w:r>
                </w:p>
              </w:tc>
              <w:tc>
                <w:tcPr/>
                <w:p>
                  <w:pPr>
                    <w:pStyle w:val="Compact"/>
                    <w:jc w:val="right"/>
                    <w:jc w:val="center"/>
                  </w:pPr>
                  <w:r>
                    <w:t xml:space="preserve">2.9</w:t>
                  </w:r>
                </w:p>
              </w:tc>
              <w:tc>
                <w:tcPr/>
                <w:p>
                  <w:pPr>
                    <w:pStyle w:val="Compact"/>
                    <w:jc w:val="right"/>
                    <w:jc w:val="center"/>
                  </w:pPr>
                  <w:r>
                    <w:t xml:space="preserve">5.8</w:t>
                  </w:r>
                </w:p>
              </w:tc>
            </w:tr>
            <w:tr>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3.2</w:t>
                  </w:r>
                </w:p>
              </w:tc>
            </w:tr>
            <w:tr>
              <w:tc>
                <w:tcPr/>
                <w:p>
                  <w:pPr>
                    <w:pStyle w:val="Compact"/>
                    <w:jc w:val="right"/>
                    <w:jc w:val="center"/>
                  </w:pPr>
                  <w:r>
                    <w:t xml:space="preserve">36</w:t>
                  </w:r>
                </w:p>
              </w:tc>
              <w:tc>
                <w:tcPr/>
                <w:p>
                  <w:pPr>
                    <w:pStyle w:val="Compact"/>
                    <w:jc w:val="right"/>
                    <w:jc w:val="center"/>
                  </w:pPr>
                  <w:r>
                    <w:t xml:space="preserve">2.1</w:t>
                  </w:r>
                </w:p>
              </w:tc>
              <w:tc>
                <w:tcPr/>
                <w:p>
                  <w:pPr>
                    <w:pStyle w:val="Compact"/>
                    <w:jc w:val="right"/>
                    <w:jc w:val="center"/>
                  </w:pPr>
                  <w:r>
                    <w:t xml:space="preserve">4.7</w:t>
                  </w:r>
                </w:p>
              </w:tc>
            </w:tr>
            <w:tr>
              <w:tc>
                <w:tcPr/>
                <w:p>
                  <w:pPr>
                    <w:pStyle w:val="Compact"/>
                    <w:jc w:val="right"/>
                    <w:jc w:val="center"/>
                  </w:pPr>
                  <w:r>
                    <w:t xml:space="preserve">41</w:t>
                  </w:r>
                </w:p>
              </w:tc>
              <w:tc>
                <w:tcPr/>
                <w:p>
                  <w:pPr>
                    <w:pStyle w:val="Compact"/>
                    <w:jc w:val="right"/>
                    <w:jc w:val="center"/>
                  </w:pPr>
                  <w:r>
                    <w:t xml:space="preserve">1.9</w:t>
                  </w:r>
                </w:p>
              </w:tc>
              <w:tc>
                <w:tcPr/>
                <w:p>
                  <w:pPr>
                    <w:pStyle w:val="Compact"/>
                    <w:jc w:val="right"/>
                    <w:jc w:val="center"/>
                  </w:pPr>
                  <w:r>
                    <w:t xml:space="preserve">3.8</w:t>
                  </w:r>
                </w:p>
              </w:tc>
            </w:tr>
            <w:tr>
              <w:tc>
                <w:tcPr/>
                <w:p>
                  <w:pPr>
                    <w:pStyle w:val="Compact"/>
                    <w:jc w:val="right"/>
                    <w:jc w:val="center"/>
                  </w:pPr>
                  <w:r>
                    <w:t xml:space="preserve">46</w:t>
                  </w:r>
                </w:p>
              </w:tc>
              <w:tc>
                <w:tcPr/>
                <w:p>
                  <w:pPr>
                    <w:pStyle w:val="Compact"/>
                    <w:jc w:val="right"/>
                    <w:jc w:val="center"/>
                  </w:pPr>
                  <w:r>
                    <w:t xml:space="preserve">6.3</w:t>
                  </w:r>
                </w:p>
              </w:tc>
              <w:tc>
                <w:tcPr/>
                <w:p>
                  <w:pPr>
                    <w:pStyle w:val="Compact"/>
                    <w:jc w:val="right"/>
                    <w:jc w:val="center"/>
                  </w:pPr>
                  <w:r>
                    <w:t xml:space="preserve">18.3</w:t>
                  </w:r>
                </w:p>
              </w:tc>
            </w:tr>
          </w:tbl>
          <w:bookmarkEnd w:id="19"/>
          <w:p/>
        </w:tc>
      </w:tr>
    </w:tbl>
    <w:p>
      <w:pPr>
        <w:pStyle w:val="BodyText"/>
      </w:pPr>
      <w:r>
        <w:t xml:space="preserve">Nearly half of respondents, 47 percent, were not WTP any additional amount for fossil fuels, whereas 18.3 percent were WTP the max, $46 for renewables. Overall, the median WTP for fossil fuels was $1 with a mean of $8.33. For renewables the median WTP was $11 and the mean was $18.21. Comparing the differences in median and means, the median difference in WTP for renewables versus fossil fuels was $10. For the mean, the difference was $9.88, which is significant based on a survey-weighted paired t-test (</w:t>
      </w:r>
      <w:r>
        <w:rPr>
          <w:i/>
          <w:iCs/>
        </w:rPr>
        <w:t xml:space="preserve">t</w:t>
      </w:r>
      <w:r>
        <w:t xml:space="preserve"> </w:t>
      </w:r>
      <w:r>
        <w:t xml:space="preserve">= 22.9,</w:t>
      </w:r>
      <w:r>
        <w:t xml:space="preserve"> </w:t>
      </w:r>
      <w:r>
        <w:rPr>
          <w:i/>
          <w:iCs/>
        </w:rPr>
        <w:t xml:space="preserve">df</w:t>
      </w:r>
      <w:r>
        <w:t xml:space="preserve"> </w:t>
      </w:r>
      <w:r>
        <w:t xml:space="preserve">= 3111,</w:t>
      </w:r>
      <w:r>
        <w:t xml:space="preserve"> </w:t>
      </w:r>
      <w:r>
        <w:rPr>
          <w:i/>
          <w:iCs/>
        </w:rPr>
        <w:t xml:space="preserve">p</w:t>
      </w:r>
      <w:r>
        <w:t xml:space="preserve"> </w:t>
      </w:r>
      <w:r>
        <w:t xml:space="preserve">&lt; .001).</w:t>
      </w:r>
    </w:p>
    <w:p>
      <w:pPr>
        <w:pStyle w:val="BodyText"/>
      </w:pPr>
      <w:r>
        <w:t xml:space="preserve">Given the large percantage of respondents at $0 for fossil fuels, I model the WTP for fossil fuels with a two-part hurdle model. First, I use a logit model to see whether a respondent has any positive WTP, then I use OLS to examine differences in WTP amounts. Next, using OLS, I examine the WTP for fossil fuels, among those who are WTP &gt;0, and for renewables. The results of all three models are shown in</w:t>
      </w:r>
      <w:r>
        <w:t xml:space="preserve"> </w:t>
      </w:r>
      <w:hyperlink w:anchor="tbl-wtp-models">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wtp-models"/>
          <w:p>
            <w:pPr>
              <w:jc w:val="center"/>
            </w:pPr>
            <w:pPr>
              <w:jc w:val="left"/>
              <w:spacing w:before="200"/>
              <w:pStyle w:val="ImageCaption"/>
            </w:pPr>
            <w:r>
              <w:t xml:space="preserve">Table 3: Effect of cue condition, political beliefs, and their interaction on willingness-to-pay for fossil fuels (any positive WTP, and amount among those with any positive WTP) and for renewables (survey-weighted logit/OLS; control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-0.263</w:t>
                  </w:r>
                </w:p>
              </w:tc>
              <w:tc>
                <w:tcPr/>
                <w:p>
                  <w:pPr>
                    <w:pStyle w:val="Compact"/>
                    <w:jc w:val="center"/>
                  </w:pPr>
                  <w:r>
                    <w:t xml:space="preserve">-3.607</w:t>
                  </w:r>
                </w:p>
              </w:tc>
              <w:tc>
                <w:tcPr/>
                <w:p>
                  <w:pPr>
                    <w:pStyle w:val="Compact"/>
                    <w:jc w:val="center"/>
                  </w:pPr>
                  <w:r>
                    <w:t xml:space="preserve">-1.495</w:t>
                  </w:r>
                </w:p>
              </w:tc>
            </w:tr>
            <w:tr>
              <w:tc>
                <w:tcPr/>
                <w:p>
                  <w:pPr>
                    <w:pStyle w:val="Compact"/>
                  </w:pPr>
                </w:p>
              </w:tc>
              <w:tc>
                <w:tcPr/>
                <w:p>
                  <w:pPr>
                    <w:pStyle w:val="Compact"/>
                    <w:jc w:val="center"/>
                  </w:pPr>
                  <w:r>
                    <w:t xml:space="preserve">(0.204)</w:t>
                  </w:r>
                </w:p>
              </w:tc>
              <w:tc>
                <w:tcPr/>
                <w:p>
                  <w:pPr>
                    <w:pStyle w:val="Compact"/>
                    <w:jc w:val="center"/>
                  </w:pPr>
                  <w:r>
                    <w:t xml:space="preserve">(2.265)</w:t>
                  </w:r>
                </w:p>
              </w:tc>
              <w:tc>
                <w:tcPr/>
                <w:p>
                  <w:pPr>
                    <w:pStyle w:val="Compact"/>
                    <w:jc w:val="center"/>
                  </w:pPr>
                  <w:r>
                    <w:t xml:space="preserve">(1.828)</w:t>
                  </w:r>
                </w:p>
              </w:tc>
            </w:tr>
            <w:tr>
              <w:tc>
                <w:tcPr/>
                <w:p>
                  <w:pPr>
                    <w:pStyle w:val="Compact"/>
                    <w:jc w:val="center"/>
                  </w:pPr>
                  <w:r>
                    <w:t xml:space="preserve">Climate cue</w:t>
                  </w:r>
                </w:p>
              </w:tc>
              <w:tc>
                <w:tcPr/>
                <w:p>
                  <w:pPr>
                    <w:pStyle w:val="Compact"/>
                    <w:jc w:val="center"/>
                  </w:pPr>
                  <w:r>
                    <w:t xml:space="preserve">0.100</w:t>
                  </w:r>
                </w:p>
              </w:tc>
              <w:tc>
                <w:tcPr/>
                <w:p>
                  <w:pPr>
                    <w:pStyle w:val="Compact"/>
                    <w:jc w:val="center"/>
                  </w:pPr>
                  <w:r>
                    <w:t xml:space="preserve">-1.509</w:t>
                  </w:r>
                </w:p>
              </w:tc>
              <w:tc>
                <w:tcPr/>
                <w:p>
                  <w:pPr>
                    <w:pStyle w:val="Compact"/>
                    <w:jc w:val="center"/>
                  </w:pPr>
                  <w:r>
                    <w:t xml:space="preserve">-1.604</w:t>
                  </w:r>
                </w:p>
              </w:tc>
            </w:tr>
            <w:tr>
              <w:tc>
                <w:tcPr/>
                <w:p>
                  <w:pPr>
                    <w:pStyle w:val="Compact"/>
                  </w:pPr>
                </w:p>
              </w:tc>
              <w:tc>
                <w:tcPr/>
                <w:p>
                  <w:pPr>
                    <w:pStyle w:val="Compact"/>
                    <w:jc w:val="center"/>
                  </w:pPr>
                  <w:r>
                    <w:t xml:space="preserve">(0.206)</w:t>
                  </w:r>
                </w:p>
              </w:tc>
              <w:tc>
                <w:tcPr/>
                <w:p>
                  <w:pPr>
                    <w:pStyle w:val="Compact"/>
                    <w:jc w:val="center"/>
                  </w:pPr>
                  <w:r>
                    <w:t xml:space="preserve">(2.250)</w:t>
                  </w:r>
                </w:p>
              </w:tc>
              <w:tc>
                <w:tcPr/>
                <w:p>
                  <w:pPr>
                    <w:pStyle w:val="Compact"/>
                    <w:jc w:val="center"/>
                  </w:pPr>
                  <w:r>
                    <w:t xml:space="preserve">(1.741)</w:t>
                  </w:r>
                </w:p>
              </w:tc>
            </w:tr>
            <w:tr>
              <w:tc>
                <w:tcPr/>
                <w:p>
                  <w:pPr>
                    <w:pStyle w:val="Compact"/>
                    <w:jc w:val="center"/>
                  </w:pPr>
                  <w:r>
                    <w:t xml:space="preserve">Liberal Democrat</w:t>
                  </w:r>
                </w:p>
              </w:tc>
              <w:tc>
                <w:tcPr/>
                <w:p>
                  <w:pPr>
                    <w:pStyle w:val="Compact"/>
                    <w:jc w:val="center"/>
                  </w:pPr>
                  <w:r>
                    <w:t xml:space="preserve">-0.413**</w:t>
                  </w:r>
                </w:p>
              </w:tc>
              <w:tc>
                <w:tcPr/>
                <w:p>
                  <w:pPr>
                    <w:pStyle w:val="Compact"/>
                    <w:jc w:val="center"/>
                  </w:pPr>
                  <w:r>
                    <w:t xml:space="preserve">-0.075</w:t>
                  </w:r>
                </w:p>
              </w:tc>
              <w:tc>
                <w:tcPr/>
                <w:p>
                  <w:pPr>
                    <w:pStyle w:val="Compact"/>
                    <w:jc w:val="center"/>
                  </w:pPr>
                  <w:r>
                    <w:t xml:space="preserve">5.703***</w:t>
                  </w:r>
                </w:p>
              </w:tc>
            </w:tr>
            <w:tr>
              <w:tc>
                <w:tcPr/>
                <w:p>
                  <w:pPr>
                    <w:pStyle w:val="Compact"/>
                  </w:pPr>
                </w:p>
              </w:tc>
              <w:tc>
                <w:tcPr/>
                <w:p>
                  <w:pPr>
                    <w:pStyle w:val="Compact"/>
                    <w:jc w:val="center"/>
                  </w:pPr>
                  <w:r>
                    <w:t xml:space="preserve">(0.182)</w:t>
                  </w:r>
                </w:p>
              </w:tc>
              <w:tc>
                <w:tcPr/>
                <w:p>
                  <w:pPr>
                    <w:pStyle w:val="Compact"/>
                    <w:jc w:val="center"/>
                  </w:pPr>
                  <w:r>
                    <w:t xml:space="preserve">(2.130)</w:t>
                  </w:r>
                </w:p>
              </w:tc>
              <w:tc>
                <w:tcPr/>
                <w:p>
                  <w:pPr>
                    <w:pStyle w:val="Compact"/>
                    <w:jc w:val="center"/>
                  </w:pPr>
                  <w:r>
                    <w:t xml:space="preserve">(1.569)</w:t>
                  </w:r>
                </w:p>
              </w:tc>
            </w:tr>
            <w:tr>
              <w:tc>
                <w:tcPr/>
                <w:p>
                  <w:pPr>
                    <w:pStyle w:val="Compact"/>
                    <w:jc w:val="center"/>
                  </w:pPr>
                  <w:r>
                    <w:t xml:space="preserve">Conservative Republican</w:t>
                  </w:r>
                </w:p>
              </w:tc>
              <w:tc>
                <w:tcPr/>
                <w:p>
                  <w:pPr>
                    <w:pStyle w:val="Compact"/>
                    <w:jc w:val="center"/>
                  </w:pPr>
                  <w:r>
                    <w:t xml:space="preserve">0.704***</w:t>
                  </w:r>
                </w:p>
              </w:tc>
              <w:tc>
                <w:tcPr/>
                <w:p>
                  <w:pPr>
                    <w:pStyle w:val="Compact"/>
                    <w:jc w:val="center"/>
                  </w:pPr>
                  <w:r>
                    <w:t xml:space="preserve">-3.275</w:t>
                  </w:r>
                </w:p>
              </w:tc>
              <w:tc>
                <w:tcPr/>
                <w:p>
                  <w:pPr>
                    <w:pStyle w:val="Compact"/>
                    <w:jc w:val="center"/>
                  </w:pPr>
                  <w:r>
                    <w:t xml:space="preserve">-6.620***</w:t>
                  </w:r>
                </w:p>
              </w:tc>
            </w:tr>
            <w:tr>
              <w:tc>
                <w:tcPr/>
                <w:p>
                  <w:pPr>
                    <w:pStyle w:val="Compact"/>
                  </w:pPr>
                </w:p>
              </w:tc>
              <w:tc>
                <w:tcPr/>
                <w:p>
                  <w:pPr>
                    <w:pStyle w:val="Compact"/>
                    <w:jc w:val="center"/>
                  </w:pPr>
                  <w:r>
                    <w:t xml:space="preserve">(0.205)</w:t>
                  </w:r>
                </w:p>
              </w:tc>
              <w:tc>
                <w:tcPr/>
                <w:p>
                  <w:pPr>
                    <w:pStyle w:val="Compact"/>
                    <w:jc w:val="center"/>
                  </w:pPr>
                  <w:r>
                    <w:t xml:space="preserve">(2.092)</w:t>
                  </w:r>
                </w:p>
              </w:tc>
              <w:tc>
                <w:tcPr/>
                <w:p>
                  <w:pPr>
                    <w:pStyle w:val="Compact"/>
                    <w:jc w:val="center"/>
                  </w:pPr>
                  <w:r>
                    <w:t xml:space="preserve">(1.626)</w:t>
                  </w:r>
                </w:p>
              </w:tc>
            </w:tr>
            <w:tr>
              <w:tc>
                <w:tcPr/>
                <w:p>
                  <w:pPr>
                    <w:pStyle w:val="Compact"/>
                    <w:jc w:val="center"/>
                  </w:pPr>
                  <w:r>
                    <w:t xml:space="preserve">Trump cue × Liberal Democrat</w:t>
                  </w:r>
                </w:p>
              </w:tc>
              <w:tc>
                <w:tcPr/>
                <w:p>
                  <w:pPr>
                    <w:pStyle w:val="Compact"/>
                    <w:jc w:val="center"/>
                  </w:pPr>
                  <w:r>
                    <w:t xml:space="preserve">0.007</w:t>
                  </w:r>
                </w:p>
              </w:tc>
              <w:tc>
                <w:tcPr/>
                <w:p>
                  <w:pPr>
                    <w:pStyle w:val="Compact"/>
                    <w:jc w:val="center"/>
                  </w:pPr>
                  <w:r>
                    <w:t xml:space="preserve">3.124</w:t>
                  </w:r>
                </w:p>
              </w:tc>
              <w:tc>
                <w:tcPr/>
                <w:p>
                  <w:pPr>
                    <w:pStyle w:val="Compact"/>
                    <w:jc w:val="center"/>
                  </w:pPr>
                  <w:r>
                    <w:t xml:space="preserve">1.656</w:t>
                  </w:r>
                </w:p>
              </w:tc>
            </w:tr>
            <w:tr>
              <w:tc>
                <w:tcPr/>
                <w:p>
                  <w:pPr>
                    <w:pStyle w:val="Compact"/>
                  </w:pPr>
                </w:p>
              </w:tc>
              <w:tc>
                <w:tcPr/>
                <w:p>
                  <w:pPr>
                    <w:pStyle w:val="Compact"/>
                    <w:jc w:val="center"/>
                  </w:pPr>
                  <w:r>
                    <w:t xml:space="preserve">(0.257)</w:t>
                  </w:r>
                </w:p>
              </w:tc>
              <w:tc>
                <w:tcPr/>
                <w:p>
                  <w:pPr>
                    <w:pStyle w:val="Compact"/>
                    <w:jc w:val="center"/>
                  </w:pPr>
                  <w:r>
                    <w:t xml:space="preserve">(2.871)</w:t>
                  </w:r>
                </w:p>
              </w:tc>
              <w:tc>
                <w:tcPr/>
                <w:p>
                  <w:pPr>
                    <w:pStyle w:val="Compact"/>
                    <w:jc w:val="center"/>
                  </w:pPr>
                  <w:r>
                    <w:t xml:space="preserve">(2.234)</w:t>
                  </w:r>
                </w:p>
              </w:tc>
            </w:tr>
            <w:tr>
              <w:tc>
                <w:tcPr/>
                <w:p>
                  <w:pPr>
                    <w:pStyle w:val="Compact"/>
                    <w:jc w:val="center"/>
                  </w:pPr>
                  <w:r>
                    <w:t xml:space="preserve">Climate cue × Liberal Democrat</w:t>
                  </w:r>
                </w:p>
              </w:tc>
              <w:tc>
                <w:tcPr/>
                <w:p>
                  <w:pPr>
                    <w:pStyle w:val="Compact"/>
                    <w:jc w:val="center"/>
                  </w:pPr>
                  <w:r>
                    <w:t xml:space="preserve">-0.270</w:t>
                  </w:r>
                </w:p>
              </w:tc>
              <w:tc>
                <w:tcPr/>
                <w:p>
                  <w:pPr>
                    <w:pStyle w:val="Compact"/>
                    <w:jc w:val="center"/>
                  </w:pPr>
                  <w:r>
                    <w:t xml:space="preserve">1.507</w:t>
                  </w:r>
                </w:p>
              </w:tc>
              <w:tc>
                <w:tcPr/>
                <w:p>
                  <w:pPr>
                    <w:pStyle w:val="Compact"/>
                    <w:jc w:val="center"/>
                  </w:pPr>
                  <w:r>
                    <w:t xml:space="preserve">3.136</w:t>
                  </w:r>
                </w:p>
              </w:tc>
            </w:tr>
            <w:tr>
              <w:tc>
                <w:tcPr/>
                <w:p>
                  <w:pPr>
                    <w:pStyle w:val="Compact"/>
                  </w:pPr>
                </w:p>
              </w:tc>
              <w:tc>
                <w:tcPr/>
                <w:p>
                  <w:pPr>
                    <w:pStyle w:val="Compact"/>
                    <w:jc w:val="center"/>
                  </w:pPr>
                  <w:r>
                    <w:t xml:space="preserve">(0.259)</w:t>
                  </w:r>
                </w:p>
              </w:tc>
              <w:tc>
                <w:tcPr/>
                <w:p>
                  <w:pPr>
                    <w:pStyle w:val="Compact"/>
                    <w:jc w:val="center"/>
                  </w:pPr>
                  <w:r>
                    <w:t xml:space="preserve">(3.026)</w:t>
                  </w:r>
                </w:p>
              </w:tc>
              <w:tc>
                <w:tcPr/>
                <w:p>
                  <w:pPr>
                    <w:pStyle w:val="Compact"/>
                    <w:jc w:val="center"/>
                  </w:pPr>
                  <w:r>
                    <w:t xml:space="preserve">(2.167)</w:t>
                  </w:r>
                </w:p>
              </w:tc>
            </w:tr>
            <w:tr>
              <w:tc>
                <w:tcPr/>
                <w:p>
                  <w:pPr>
                    <w:pStyle w:val="Compact"/>
                    <w:jc w:val="center"/>
                  </w:pPr>
                  <w:r>
                    <w:t xml:space="preserve">Trump cue × Conservative Republican</w:t>
                  </w:r>
                </w:p>
              </w:tc>
              <w:tc>
                <w:tcPr/>
                <w:p>
                  <w:pPr>
                    <w:pStyle w:val="Compact"/>
                    <w:jc w:val="center"/>
                  </w:pPr>
                  <w:r>
                    <w:t xml:space="preserve">0.423</w:t>
                  </w:r>
                </w:p>
              </w:tc>
              <w:tc>
                <w:tcPr/>
                <w:p>
                  <w:pPr>
                    <w:pStyle w:val="Compact"/>
                    <w:jc w:val="center"/>
                  </w:pPr>
                  <w:r>
                    <w:t xml:space="preserve">3.919</w:t>
                  </w:r>
                </w:p>
              </w:tc>
              <w:tc>
                <w:tcPr/>
                <w:p>
                  <w:pPr>
                    <w:pStyle w:val="Compact"/>
                    <w:jc w:val="center"/>
                  </w:pPr>
                  <w:r>
                    <w:t xml:space="preserve">0.320</w:t>
                  </w:r>
                </w:p>
              </w:tc>
            </w:tr>
            <w:tr>
              <w:tc>
                <w:tcPr/>
                <w:p>
                  <w:pPr>
                    <w:pStyle w:val="Compact"/>
                  </w:pPr>
                </w:p>
              </w:tc>
              <w:tc>
                <w:tcPr/>
                <w:p>
                  <w:pPr>
                    <w:pStyle w:val="Compact"/>
                    <w:jc w:val="center"/>
                  </w:pPr>
                  <w:r>
                    <w:t xml:space="preserve">(0.299)</w:t>
                  </w:r>
                </w:p>
              </w:tc>
              <w:tc>
                <w:tcPr/>
                <w:p>
                  <w:pPr>
                    <w:pStyle w:val="Compact"/>
                    <w:jc w:val="center"/>
                  </w:pPr>
                  <w:r>
                    <w:t xml:space="preserve">(2.964)</w:t>
                  </w:r>
                </w:p>
              </w:tc>
              <w:tc>
                <w:tcPr/>
                <w:p>
                  <w:pPr>
                    <w:pStyle w:val="Compact"/>
                    <w:jc w:val="center"/>
                  </w:pPr>
                  <w:r>
                    <w:t xml:space="preserve">(2.337)</w:t>
                  </w:r>
                </w:p>
              </w:tc>
            </w:tr>
            <w:tr>
              <w:tc>
                <w:tcPr/>
                <w:p>
                  <w:pPr>
                    <w:pStyle w:val="Compact"/>
                    <w:jc w:val="center"/>
                  </w:pPr>
                  <w:r>
                    <w:t xml:space="preserve">Climate cue × Conservative Republican</w:t>
                  </w:r>
                </w:p>
              </w:tc>
              <w:tc>
                <w:tcPr/>
                <w:p>
                  <w:pPr>
                    <w:pStyle w:val="Compact"/>
                    <w:jc w:val="center"/>
                  </w:pPr>
                  <w:r>
                    <w:t xml:space="preserve">-0.042</w:t>
                  </w:r>
                </w:p>
              </w:tc>
              <w:tc>
                <w:tcPr/>
                <w:p>
                  <w:pPr>
                    <w:pStyle w:val="Compact"/>
                    <w:jc w:val="center"/>
                  </w:pPr>
                  <w:r>
                    <w:t xml:space="preserve">3.665</w:t>
                  </w:r>
                </w:p>
              </w:tc>
              <w:tc>
                <w:tcPr/>
                <w:p>
                  <w:pPr>
                    <w:pStyle w:val="Compact"/>
                    <w:jc w:val="center"/>
                  </w:pPr>
                  <w:r>
                    <w:t xml:space="preserve">2.935</w:t>
                  </w:r>
                </w:p>
              </w:tc>
            </w:tr>
            <w:tr>
              <w:tc>
                <w:tcPr/>
                <w:p>
                  <w:pPr>
                    <w:pStyle w:val="Compact"/>
                  </w:pPr>
                </w:p>
              </w:tc>
              <w:tc>
                <w:tcPr/>
                <w:p>
                  <w:pPr>
                    <w:pStyle w:val="Compact"/>
                    <w:jc w:val="center"/>
                  </w:pPr>
                  <w:r>
                    <w:t xml:space="preserve">(0.293)</w:t>
                  </w:r>
                </w:p>
              </w:tc>
              <w:tc>
                <w:tcPr/>
                <w:p>
                  <w:pPr>
                    <w:pStyle w:val="Compact"/>
                    <w:jc w:val="center"/>
                  </w:pPr>
                  <w:r>
                    <w:t xml:space="preserve">(2.917)</w:t>
                  </w:r>
                </w:p>
              </w:tc>
              <w:tc>
                <w:tcPr/>
                <w:p>
                  <w:pPr>
                    <w:pStyle w:val="Compact"/>
                    <w:jc w:val="center"/>
                  </w:pPr>
                  <w:r>
                    <w:t xml:space="preserve">(2.311)</w:t>
                  </w:r>
                </w:p>
              </w:tc>
            </w:tr>
            <w:tr>
              <w:tc>
                <w:tcPr/>
                <w:p>
                  <w:pPr>
                    <w:pStyle w:val="Compact"/>
                    <w:jc w:val="center"/>
                  </w:pPr>
                  <w:r>
                    <w:t xml:space="preserve">(Intercept)</w:t>
                  </w:r>
                </w:p>
              </w:tc>
              <w:tc>
                <w:tcPr/>
                <w:p>
                  <w:pPr>
                    <w:pStyle w:val="Compact"/>
                    <w:jc w:val="center"/>
                  </w:pPr>
                  <w:r>
                    <w:t xml:space="preserve">0.048</w:t>
                  </w:r>
                </w:p>
              </w:tc>
              <w:tc>
                <w:tcPr/>
                <w:p>
                  <w:pPr>
                    <w:pStyle w:val="Compact"/>
                    <w:jc w:val="center"/>
                  </w:pPr>
                  <w:r>
                    <w:t xml:space="preserve">17.374***</w:t>
                  </w:r>
                </w:p>
              </w:tc>
              <w:tc>
                <w:tcPr/>
                <w:p>
                  <w:pPr>
                    <w:pStyle w:val="Compact"/>
                    <w:jc w:val="center"/>
                  </w:pPr>
                  <w:r>
                    <w:t xml:space="preserve">18.665***</w:t>
                  </w:r>
                </w:p>
              </w:tc>
            </w:tr>
            <w:tr>
              <w:tc>
                <w:tcPr/>
                <w:p>
                  <w:pPr>
                    <w:pStyle w:val="Compact"/>
                  </w:pPr>
                </w:p>
              </w:tc>
              <w:tc>
                <w:tcPr/>
                <w:p>
                  <w:pPr>
                    <w:pStyle w:val="Compact"/>
                    <w:jc w:val="center"/>
                  </w:pPr>
                  <w:r>
                    <w:t xml:space="preserve">(0.145)</w:t>
                  </w:r>
                </w:p>
              </w:tc>
              <w:tc>
                <w:tcPr/>
                <w:p>
                  <w:pPr>
                    <w:pStyle w:val="Compact"/>
                    <w:jc w:val="center"/>
                  </w:pPr>
                  <w:r>
                    <w:t xml:space="preserve">(1.712)</w:t>
                  </w:r>
                </w:p>
              </w:tc>
              <w:tc>
                <w:tcPr/>
                <w:p>
                  <w:pPr>
                    <w:pStyle w:val="Compact"/>
                    <w:jc w:val="center"/>
                  </w:pPr>
                  <w:r>
                    <w:t xml:space="preserve">(1.271)</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gridSpan w:val="4"/>
                </w:tcPr>
                <w:p>
                  <w:pPr>
                    <w:pStyle w:val="Compact"/>
                    <w:numPr>
                      <w:ilvl w:val="0"/>
                      <w:numId w:val="1002"/>
                    </w:numPr>
                    <w:jc w:val="center"/>
                  </w:pPr>
                  <w:r>
                    <w:t xml:space="preserve">p &lt; 0.1, ** p &lt; 0.05, *** p &lt; 0.01</w:t>
                  </w:r>
                </w:p>
              </w:tc>
            </w:tr>
          </w:tbl>
          <w:bookmarkEnd w:id="20"/>
          <w:p/>
        </w:tc>
      </w:tr>
    </w:tbl>
    <w:p>
      <w:pPr>
        <w:pStyle w:val="FirstParagraph"/>
      </w:pPr>
      <w:r>
        <w:t xml:space="preserve">For fossil fuels, conservative Republicans were significantly more likely than the reference group to have any positive WTP (b = 0.70, log-odds scale), predicted at 68.0% in the control condition compared to 41.0% for liberal Democrats (b = -0.41,</w:t>
      </w:r>
      <w:r>
        <w:t xml:space="preserve"> </w:t>
      </w:r>
      <w:r>
        <w:rPr>
          <w:i/>
          <w:iCs/>
        </w:rPr>
        <w:t xml:space="preserve">p</w:t>
      </w:r>
      <w:r>
        <w:t xml:space="preserve"> </w:t>
      </w:r>
      <w:r>
        <w:t xml:space="preserve">= 0.023). However, the cues were not significant nor were the interactions between the cues and political beliefs.</w:t>
      </w:r>
    </w:p>
    <w:tbl>
      <w:tblPr>
        <w:tblStyle w:val="Table"/>
        <w:tblW w:type="pct" w:w="5000"/>
        <w:tblLayout w:type="fixed"/>
        <w:tblLook w:firstRow="0" w:lastRow="0" w:firstColumn="0" w:lastColumn="0" w:noHBand="0" w:noVBand="0" w:val="0000"/>
      </w:tblPr>
      <w:tblGrid>
        <w:gridCol w:w="7920"/>
      </w:tblGrid>
      <w:tr>
        <w:tc>
          <w:tcPr/>
          <w:bookmarkStart w:id="24" w:name="fig-wtp-fossil-predicted"/>
          <w:p>
            <w:pPr>
              <w:jc w:val="center"/>
            </w:pPr>
            <w:pPr>
              <w:jc w:val="left"/>
              <w:spacing w:before="200"/>
              <w:pStyle w:val="ImageCaption"/>
            </w:pPr>
            <w:r>
              <w:t xml:space="preserve">Figure 2: Predicted willingness-to-pay for fossil fuels, among respondents with any positive WTP, by cue condition and political identity (survey-weighted OLS predictions with 95% CIs)</w:t>
            </w:r>
          </w:p>
          <w:p>
            <w:pPr>
              <w:pStyle w:val="Compact"/>
              <w:jc w:val="center"/>
            </w:pPr>
            <w:r>
              <w:drawing>
                <wp:inline>
                  <wp:extent cx="5334000" cy="4267200"/>
                  <wp:effectExtent b="0" l="0" r="0" t="0"/>
                  <wp:docPr descr="" title="" id="22" name="Picture"/>
                  <a:graphic>
                    <a:graphicData uri="http://schemas.openxmlformats.org/drawingml/2006/picture">
                      <pic:pic>
                        <pic:nvPicPr>
                          <pic:cNvPr descr="cue-WTP_files/figure-docx/fig-wtp-fossil-predicted-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bookmarkEnd w:id="24"/>
        </w:tc>
      </w:tr>
    </w:tbl>
    <w:tbl>
      <w:tblPr>
        <w:tblStyle w:val="Table"/>
        <w:tblW w:type="pct" w:w="5000"/>
        <w:tblLayout w:type="fixed"/>
        <w:tblLook w:firstRow="0" w:lastRow="0" w:firstColumn="0" w:lastColumn="0" w:noHBand="0" w:noVBand="0" w:val="0000"/>
      </w:tblPr>
      <w:tblGrid>
        <w:gridCol w:w="7920"/>
      </w:tblGrid>
      <w:tr>
        <w:tc>
          <w:tcPr/>
          <w:bookmarkStart w:id="28" w:name="fig-wtp-renewable-predicted"/>
          <w:p>
            <w:pPr>
              <w:jc w:val="center"/>
            </w:pPr>
            <w:pPr>
              <w:jc w:val="left"/>
              <w:spacing w:before="200"/>
              <w:pStyle w:val="ImageCaption"/>
            </w:pPr>
            <w:r>
              <w:t xml:space="preserve">Figure 3: Predicted willingness-to-pay for renewables by cue condition and political identity (survey-weighted OLS predictions with 95% CIs)</w:t>
            </w:r>
          </w:p>
          <w:p>
            <w:pPr>
              <w:pStyle w:val="Compact"/>
              <w:jc w:val="center"/>
            </w:pPr>
            <w:r>
              <w:drawing>
                <wp:inline>
                  <wp:extent cx="5334000" cy="4267200"/>
                  <wp:effectExtent b="0" l="0" r="0" t="0"/>
                  <wp:docPr descr="" title="" id="26" name="Picture"/>
                  <a:graphic>
                    <a:graphicData uri="http://schemas.openxmlformats.org/drawingml/2006/picture">
                      <pic:pic>
                        <pic:nvPicPr>
                          <pic:cNvPr descr="cue-WTP_files/figure-docx/fig-wtp-renewable-predicted-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bookmarkEnd w:id="28"/>
        </w:tc>
      </w:tr>
    </w:tbl>
    <w:p>
      <w:pPr>
        <w:pStyle w:val="BodyText"/>
      </w:pPr>
      <w:r>
        <w:t xml:space="preserve">Neither the Trump cue nor its interaction with conservative Republican identity significantly predicted participation or, among those with positive WTP, the dollar amount: predicted participation for conservative Republicans was 68.0% in the control condition versus 71.3% in the Trump cue, and the predicted amount conditional on paying something was $14.10 versus $14.41.</w:t>
      </w:r>
    </w:p>
    <w:p>
      <w:pPr>
        <w:pStyle w:val="BodyText"/>
      </w:pPr>
      <w:r>
        <w:t xml:space="preserve">Looking to renewables, liberal Democrats were willing to pay $5.70 more, on average, and for those in the climate condition the amount increased further by $3.14 (</w:t>
      </w:r>
      <w:r>
        <w:rPr>
          <w:i/>
          <w:iCs/>
        </w:rPr>
        <w:t xml:space="preserve">p</w:t>
      </w:r>
      <w:r>
        <w:t xml:space="preserve"> </w:t>
      </w:r>
      <w:r>
        <w:t xml:space="preserve">= 0.148), for a total predicted willingness to pay of $25.90 for renewables. Conservative Republicans, however, were willing to pay $6.62 less for renewables, for a predicted total of $12.04.</w:t>
      </w:r>
    </w:p>
    <w:p>
      <w:pPr>
        <w:pStyle w:val="BodyText"/>
      </w:pPr>
      <w:r>
        <w:t xml:space="preserve">The clean energy transition is needed to mitigate climate change, and public support is needed for the energy transition to complete. The results here show that support for fossil fuel and renewable energy sources is polarized, as measured both by prioritizing one source over the other as well as WTP for those sources. Additionally, a Trump cue made conservative Republicans more supportive of fossil fuels and a climate cue made liberal Democrats more supportive of renewables. However, respondents were, on average, more support of renewables in terms of both priority and WTP. Even conservative Republicans in the Trump cue had a WTP higher for renewables, $12.04, than fossil fuels, at $10.28.</w:t>
      </w:r>
    </w:p>
    <w:bookmarkEnd w:id="29"/>
    <w:bookmarkStart w:id="30" w:name="conclusion-and-policy-implications"/>
    <w:p>
      <w:pPr>
        <w:pStyle w:val="Heading1"/>
      </w:pPr>
      <w:r>
        <w:t xml:space="preserve">Conclusion and Policy Implications</w:t>
      </w:r>
    </w:p>
    <w:p>
      <w:pPr>
        <w:pStyle w:val="FirstParagraph"/>
      </w:pPr>
      <w:r>
        <w:t xml:space="preserve">This study examined how exposure to a Trump cue or a climate change cue shapes the US public’s prioritization of, and willingness-to-pay for, fossil fuel versus renewable electricity, and whether these responses are conditional on political identity. The results show that support for energy sources is polarized along partisan lines, both in how respondents prioritized fossil fuels against renewables and in the dollar amounts they were willing to pay, and that a Trump cue pushed conservative Republicans further toward fossil fuels while a climate cue pushed liberal Democrats further toward renewables. However, respondents were, on average, more supportive of renewables than fossil fuels on both measures, and even conservative Republicans exposed to the Trump cue reported a higher WTP for renewables than for fossil fuels. Together, these findings suggest that cues sharpen an existing partisan divide rather than create it, and that the divide sits atop a broad, if uneven, base of support for the energy transition.</w:t>
      </w:r>
    </w:p>
    <w:p>
      <w:pPr>
        <w:pStyle w:val="BodyText"/>
      </w:pPr>
      <w:r>
        <w:t xml:space="preserve">The cue effects were also uneven across the two outcomes. Political identity conditioned the effect of the cues on prioritization and on WTP for renewables, but the Trump cue did not significantly change fossil fuel participation or amount among conservative Republicans specifically. This is likely because a single cue, delivered once in a survey, is a weaker treatment than the sustained rhetoric respondents encounter in their daily media diet, and because a cue about a political figure may be too diffuse to move a specific pocketbook judgment like WTP. The climate cue, by contrast, was associated with a directionally larger, though not statistically significant, increase in WTP for renewables among liberal Democrats, consistent with the idea that a cue tied to a scientific rationale for renewables resonates most with those already predisposed toward that position.</w:t>
      </w:r>
    </w:p>
    <w:p>
      <w:pPr>
        <w:pStyle w:val="BodyText"/>
      </w:pPr>
      <w:r>
        <w:t xml:space="preserve">These results carry several implications for climate and energy policy. First, respondents across the political spectrum reported some positive WTP for renewables even amid a fairly high level of concern about the cost of electricity, suggesting that affordability concerns alone are unlikely to explain resistance to the energy transition, and that renewable energy investment retains a floor of public support that policymakers can draw on even in a polarized environment. Second, the responsiveness of conservative Republicans and liberal Democrats to identity-congruent cues indicates that elite rhetoric, including rhetoric tied to a single prominent figure, has the capacity to widen the partisan gap in energy preferences further, which is a risk for policymakers seeking durable, bipartisan support for energy legislation. Third, because the cues moved prioritization and WTP mainly among the politically engaged rather than the sample overall, messaging strategies aimed at building broad coalitions for the energy transition likely benefit from emphasizing shared, cross-partisan benefits of renewables, such as reliability or local economic development, rather than frames tied to a specific political figure or to climate change alone.</w:t>
      </w:r>
    </w:p>
    <w:p>
      <w:pPr>
        <w:pStyle w:val="BodyText"/>
      </w:pPr>
      <w:r>
        <w:t xml:space="preserve">This study has some limitations. The WTP measure relies on a hypothetical, stated-preference elicitation, and stated WTP does not always translate into WTP once a real premium is introduced. The cues were also each delivered once, in a single survey context, and their effects may not persist or generalize to the repeated, cumulative exposure people experience outside of a survey. Future research should examine whether repeated exposure to partisan cues over time widens the WTP gap identified here, and whether the gap closes when respondents are asked to pay the stated amount rather than simply report it.</w:t>
      </w:r>
    </w:p>
    <w:p>
      <w:r>
        <w:br w:type="page"/>
      </w:r>
    </w:p>
    <w:bookmarkEnd w:id="30"/>
    <w:bookmarkStart w:id="58" w:name="references"/>
    <w:p>
      <w:pPr>
        <w:pStyle w:val="Heading1"/>
      </w:pPr>
      <w:r>
        <w:t xml:space="preserve">References</w:t>
      </w:r>
    </w:p>
    <w:bookmarkStart w:id="57" w:name="refs"/>
    <w:bookmarkStart w:id="31" w:name="ref-aldyWillingnessPayPolitical2012"/>
    <w:p>
      <w:pPr>
        <w:pStyle w:val="Bibliography"/>
      </w:pPr>
      <w:r>
        <w:t xml:space="preserve">Aldy, Joseph E., Matthew J. Kotchen, and Anthony A. Leiserowitz. 2012.</w:t>
      </w:r>
      <w:r>
        <w:t xml:space="preserve"> </w:t>
      </w:r>
      <w:r>
        <w:t xml:space="preserve">“Willingness to</w:t>
      </w:r>
      <w:r>
        <w:t xml:space="preserve"> </w:t>
      </w:r>
      <w:r>
        <w:t xml:space="preserve">Pay</w:t>
      </w:r>
      <w:r>
        <w:t xml:space="preserve"> </w:t>
      </w:r>
      <w:r>
        <w:t xml:space="preserve">and</w:t>
      </w:r>
      <w:r>
        <w:t xml:space="preserve"> </w:t>
      </w:r>
      <w:r>
        <w:t xml:space="preserve">Political Support</w:t>
      </w:r>
      <w:r>
        <w:t xml:space="preserve"> </w:t>
      </w:r>
      <w:r>
        <w:t xml:space="preserve">for a</w:t>
      </w:r>
      <w:r>
        <w:t xml:space="preserve"> </w:t>
      </w:r>
      <w:r>
        <w:t xml:space="preserve">US National Clean Energy Standard</w:t>
      </w:r>
      <w:r>
        <w:t xml:space="preserve">.”</w:t>
      </w:r>
      <w:r>
        <w:t xml:space="preserve"> </w:t>
      </w:r>
      <w:r>
        <w:rPr>
          <w:i/>
          <w:iCs/>
        </w:rPr>
        <w:t xml:space="preserve">Nature Climate Change</w:t>
      </w:r>
      <w:r>
        <w:t xml:space="preserve"> </w:t>
      </w:r>
      <w:r>
        <w:t xml:space="preserve">2(8): 596–99.</w:t>
      </w:r>
    </w:p>
    <w:bookmarkEnd w:id="31"/>
    <w:bookmarkStart w:id="32" w:name="X3c890c6b9fb8b930774b3590109758e3a3ad507"/>
    <w:p>
      <w:pPr>
        <w:pStyle w:val="Bibliography"/>
      </w:pPr>
      <w:r>
        <w:t xml:space="preserve">Bakkensen, Laura, and Paul Schuler. 2020.</w:t>
      </w:r>
      <w:r>
        <w:t xml:space="preserve"> </w:t>
      </w:r>
      <w:r>
        <w:t xml:space="preserve">“A</w:t>
      </w:r>
      <w:r>
        <w:t xml:space="preserve"> </w:t>
      </w:r>
      <w:r>
        <w:t xml:space="preserve">Preference</w:t>
      </w:r>
      <w:r>
        <w:t xml:space="preserve"> </w:t>
      </w:r>
      <w:r>
        <w:t xml:space="preserve">for</w:t>
      </w:r>
      <w:r>
        <w:t xml:space="preserve"> </w:t>
      </w:r>
      <w:r>
        <w:t xml:space="preserve">Power</w:t>
      </w:r>
      <w:r>
        <w:t xml:space="preserve">:</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Energy Reliability Versus Fuel Type</w:t>
      </w:r>
      <w:r>
        <w:t xml:space="preserve"> </w:t>
      </w:r>
      <w:r>
        <w:t xml:space="preserve">in</w:t>
      </w:r>
      <w:r>
        <w:t xml:space="preserve"> </w:t>
      </w:r>
      <w:r>
        <w:t xml:space="preserve">Vietnam</w:t>
      </w:r>
      <w:r>
        <w:t xml:space="preserve">.”</w:t>
      </w:r>
      <w:r>
        <w:t xml:space="preserve"> </w:t>
      </w:r>
      <w:r>
        <w:rPr>
          <w:i/>
          <w:iCs/>
        </w:rPr>
        <w:t xml:space="preserve">Energy Policy</w:t>
      </w:r>
      <w:r>
        <w:t xml:space="preserve"> </w:t>
      </w:r>
      <w:r>
        <w:t xml:space="preserve">144: 111696.</w:t>
      </w:r>
    </w:p>
    <w:bookmarkEnd w:id="32"/>
    <w:bookmarkStart w:id="33" w:name="ref-benegalCostSensitivityPartisan2024"/>
    <w:p>
      <w:pPr>
        <w:pStyle w:val="Bibliography"/>
      </w:pPr>
      <w:r>
        <w:t xml:space="preserve">Benegal, Salil, and Jon Green. 2024.</w:t>
      </w:r>
      <w:r>
        <w:t xml:space="preserve"> </w:t>
      </w:r>
      <w:r>
        <w:t xml:space="preserve">“Cost</w:t>
      </w:r>
      <w:r>
        <w:t xml:space="preserve"> </w:t>
      </w:r>
      <w:r>
        <w:t xml:space="preserve">Sensitivity</w:t>
      </w:r>
      <w:r>
        <w:t xml:space="preserve">,</w:t>
      </w:r>
      <w:r>
        <w:t xml:space="preserve"> </w:t>
      </w:r>
      <w:r>
        <w:t xml:space="preserve">Partisan Cues</w:t>
      </w:r>
      <w:r>
        <w:t xml:space="preserve">, and</w:t>
      </w:r>
      <w:r>
        <w:t xml:space="preserve"> </w:t>
      </w:r>
      <w:r>
        <w:t xml:space="preserve">Support</w:t>
      </w:r>
      <w:r>
        <w:t xml:space="preserve"> </w:t>
      </w:r>
      <w:r>
        <w:t xml:space="preserve">for the</w:t>
      </w:r>
      <w:r>
        <w:t xml:space="preserve"> </w:t>
      </w:r>
      <w:r>
        <w:t xml:space="preserve">Green New Deal</w:t>
      </w:r>
      <w:r>
        <w:t xml:space="preserve">.”</w:t>
      </w:r>
      <w:r>
        <w:t xml:space="preserve"> </w:t>
      </w:r>
      <w:r>
        <w:rPr>
          <w:i/>
          <w:iCs/>
        </w:rPr>
        <w:t xml:space="preserve">Journal of Environmental Studies and Sciences</w:t>
      </w:r>
      <w:r>
        <w:t xml:space="preserve"> </w:t>
      </w:r>
      <w:r>
        <w:t xml:space="preserve">14(4): 763–75.</w:t>
      </w:r>
    </w:p>
    <w:bookmarkEnd w:id="33"/>
    <w:bookmarkStart w:id="34"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34"/>
    <w:bookmarkStart w:id="35" w:name="ref-borchersDoesWillingnessPay2007"/>
    <w:p>
      <w:pPr>
        <w:pStyle w:val="Bibliography"/>
      </w:pPr>
      <w:r>
        <w:t xml:space="preserve">Borchers, Allison M., Joshua M. Duke, and George R. Parsons. 2007.</w:t>
      </w:r>
      <w:r>
        <w:t xml:space="preserve"> </w:t>
      </w:r>
      <w:r>
        <w:t xml:space="preserve">“Does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Green Energy Differ</w:t>
      </w:r>
      <w:r>
        <w:t xml:space="preserve"> </w:t>
      </w:r>
      <w:r>
        <w:t xml:space="preserve">by</w:t>
      </w:r>
      <w:r>
        <w:t xml:space="preserve"> </w:t>
      </w:r>
      <w:r>
        <w:t xml:space="preserve">Source</w:t>
      </w:r>
      <w:r>
        <w:t xml:space="preserve">?”</w:t>
      </w:r>
      <w:r>
        <w:t xml:space="preserve"> </w:t>
      </w:r>
      <w:r>
        <w:rPr>
          <w:i/>
          <w:iCs/>
        </w:rPr>
        <w:t xml:space="preserve">Energy Policy</w:t>
      </w:r>
      <w:r>
        <w:t xml:space="preserve"> </w:t>
      </w:r>
      <w:r>
        <w:t xml:space="preserve">35(6): 3327–34.</w:t>
      </w:r>
    </w:p>
    <w:bookmarkEnd w:id="35"/>
    <w:bookmarkStart w:id="36" w:name="ref-breidertReviewMethodsMeasuring2006"/>
    <w:p>
      <w:pPr>
        <w:pStyle w:val="Bibliography"/>
      </w:pPr>
      <w:r>
        <w:t xml:space="preserve">Breidert, Christoph, Michael Hahsler, and Thomas Reutterer. 2006.</w:t>
      </w:r>
      <w:r>
        <w:t xml:space="preserve"> </w:t>
      </w:r>
      <w:r>
        <w:t xml:space="preserve">“A</w:t>
      </w:r>
      <w:r>
        <w:t xml:space="preserve"> </w:t>
      </w:r>
      <w:r>
        <w:t xml:space="preserve">Review</w:t>
      </w:r>
      <w:r>
        <w:t xml:space="preserve"> </w:t>
      </w:r>
      <w:r>
        <w:t xml:space="preserve">of</w:t>
      </w:r>
      <w:r>
        <w:t xml:space="preserve"> </w:t>
      </w:r>
      <w:r>
        <w:t xml:space="preserve">Methods</w:t>
      </w:r>
      <w:r>
        <w:t xml:space="preserve"> </w:t>
      </w:r>
      <w:r>
        <w:t xml:space="preserve">for</w:t>
      </w:r>
      <w:r>
        <w:t xml:space="preserve"> </w:t>
      </w:r>
      <w:r>
        <w:t xml:space="preserve">Measuring Willingness-to-Pay</w:t>
      </w:r>
      <w:r>
        <w:t xml:space="preserve">.”</w:t>
      </w:r>
      <w:r>
        <w:t xml:space="preserve"> </w:t>
      </w:r>
      <w:r>
        <w:rPr>
          <w:i/>
          <w:iCs/>
        </w:rPr>
        <w:t xml:space="preserve">Innovative Marketing</w:t>
      </w:r>
      <w:r>
        <w:t xml:space="preserve"> </w:t>
      </w:r>
      <w:r>
        <w:t xml:space="preserve">2(4): 8–32.</w:t>
      </w:r>
    </w:p>
    <w:bookmarkEnd w:id="36"/>
    <w:bookmarkStart w:id="37" w:name="X8f8eebcd7a9410a4d8f16f6da906bc2a1f7110e"/>
    <w:p>
      <w:pPr>
        <w:pStyle w:val="Bibliography"/>
      </w:pPr>
      <w:r>
        <w:t xml:space="preserve">Cardella, Eric, Bradley T. Ewing, and Ryan B. Williams. 2017.</w:t>
      </w:r>
      <w:r>
        <w:t xml:space="preserve"> </w:t>
      </w:r>
      <w:r>
        <w:t xml:space="preserve">“Price</w:t>
      </w:r>
      <w:r>
        <w:t xml:space="preserve"> </w:t>
      </w:r>
      <w:r>
        <w:t xml:space="preserve">Volatility</w:t>
      </w:r>
      <w:r>
        <w:t xml:space="preserve"> </w:t>
      </w:r>
      <w:r>
        <w:t xml:space="preserve">and</w:t>
      </w:r>
      <w:r>
        <w:t xml:space="preserve"> </w:t>
      </w:r>
      <w:r>
        <w:t xml:space="preserve">Residential Electricity Decisions</w:t>
      </w:r>
      <w:r>
        <w:t xml:space="preserve">:</w:t>
      </w:r>
      <w:r>
        <w:t xml:space="preserve"> </w:t>
      </w:r>
      <w:r>
        <w:t xml:space="preserve">Experimental Evidence</w:t>
      </w:r>
      <w:r>
        <w:t xml:space="preserve"> </w:t>
      </w:r>
      <w:r>
        <w:t xml:space="preserve">on the</w:t>
      </w:r>
      <w:r>
        <w:t xml:space="preserve"> </w:t>
      </w:r>
      <w:r>
        <w:t xml:space="preserve">Convergence</w:t>
      </w:r>
      <w:r>
        <w:t xml:space="preserve"> </w:t>
      </w:r>
      <w:r>
        <w:t xml:space="preserve">of</w:t>
      </w:r>
      <w:r>
        <w:t xml:space="preserve"> </w:t>
      </w:r>
      <w:r>
        <w:t xml:space="preserve">Energy Generating Source</w:t>
      </w:r>
      <w:r>
        <w:t xml:space="preserve">.”</w:t>
      </w:r>
      <w:r>
        <w:t xml:space="preserve"> </w:t>
      </w:r>
      <w:r>
        <w:rPr>
          <w:i/>
          <w:iCs/>
        </w:rPr>
        <w:t xml:space="preserve">Energy Economics</w:t>
      </w:r>
      <w:r>
        <w:t xml:space="preserve"> </w:t>
      </w:r>
      <w:r>
        <w:t xml:space="preserve">62: 428–37.</w:t>
      </w:r>
    </w:p>
    <w:bookmarkEnd w:id="37"/>
    <w:bookmarkStart w:id="38"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38"/>
    <w:bookmarkStart w:id="39" w:name="ref-gaborPriceIndicatorQuality1966"/>
    <w:p>
      <w:pPr>
        <w:pStyle w:val="Bibliography"/>
      </w:pPr>
      <w:r>
        <w:t xml:space="preserve">Gabor, André, and C. W. J. Granger. 1966.</w:t>
      </w:r>
      <w:r>
        <w:t xml:space="preserve"> </w:t>
      </w:r>
      <w:r>
        <w:t xml:space="preserve">“Price as an</w:t>
      </w:r>
      <w:r>
        <w:t xml:space="preserve"> </w:t>
      </w:r>
      <w:r>
        <w:t xml:space="preserve">Indicator</w:t>
      </w:r>
      <w:r>
        <w:t xml:space="preserve"> </w:t>
      </w:r>
      <w:r>
        <w:t xml:space="preserve">of</w:t>
      </w:r>
      <w:r>
        <w:t xml:space="preserve"> </w:t>
      </w:r>
      <w:r>
        <w:t xml:space="preserve">Quality</w:t>
      </w:r>
      <w:r>
        <w:t xml:space="preserve">:</w:t>
      </w:r>
      <w:r>
        <w:t xml:space="preserve"> </w:t>
      </w:r>
      <w:r>
        <w:t xml:space="preserve">Report</w:t>
      </w:r>
      <w:r>
        <w:t xml:space="preserve"> </w:t>
      </w:r>
      <w:r>
        <w:t xml:space="preserve">on an</w:t>
      </w:r>
      <w:r>
        <w:t xml:space="preserve"> </w:t>
      </w:r>
      <w:r>
        <w:t xml:space="preserve">Enquiry</w:t>
      </w:r>
      <w:r>
        <w:t xml:space="preserve">.”</w:t>
      </w:r>
      <w:r>
        <w:t xml:space="preserve"> </w:t>
      </w:r>
      <w:r>
        <w:rPr>
          <w:i/>
          <w:iCs/>
        </w:rPr>
        <w:t xml:space="preserve">Economica</w:t>
      </w:r>
      <w:r>
        <w:t xml:space="preserve"> </w:t>
      </w:r>
      <w:r>
        <w:t xml:space="preserve">33: 43–70.</w:t>
      </w:r>
    </w:p>
    <w:bookmarkEnd w:id="39"/>
    <w:bookmarkStart w:id="40"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40"/>
    <w:bookmarkStart w:id="41"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41"/>
    <w:bookmarkStart w:id="42" w:name="ref-jonesSurveyTechniqueMeasure1975"/>
    <w:p>
      <w:pPr>
        <w:pStyle w:val="Bibliography"/>
      </w:pPr>
      <w:r>
        <w:t xml:space="preserve">Jones, D. Frank. 1975.</w:t>
      </w:r>
      <w:r>
        <w:t xml:space="preserve"> </w:t>
      </w:r>
      <w:r>
        <w:t xml:space="preserve">“A</w:t>
      </w:r>
      <w:r>
        <w:t xml:space="preserve"> </w:t>
      </w:r>
      <w:r>
        <w:t xml:space="preserve">Survey Technique</w:t>
      </w:r>
      <w:r>
        <w:t xml:space="preserve"> </w:t>
      </w:r>
      <w:r>
        <w:t xml:space="preserve">to</w:t>
      </w:r>
      <w:r>
        <w:t xml:space="preserve"> </w:t>
      </w:r>
      <w:r>
        <w:t xml:space="preserve">Measure Demand</w:t>
      </w:r>
      <w:r>
        <w:t xml:space="preserve"> </w:t>
      </w:r>
      <w:r>
        <w:t xml:space="preserve">Under</w:t>
      </w:r>
      <w:r>
        <w:t xml:space="preserve"> </w:t>
      </w:r>
      <w:r>
        <w:t xml:space="preserve">Various Pricing Strategies</w:t>
      </w:r>
      <w:r>
        <w:t xml:space="preserve">.”</w:t>
      </w:r>
      <w:r>
        <w:t xml:space="preserve"> </w:t>
      </w:r>
      <w:r>
        <w:rPr>
          <w:i/>
          <w:iCs/>
        </w:rPr>
        <w:t xml:space="preserve">Journal of Marketing</w:t>
      </w:r>
      <w:r>
        <w:t xml:space="preserve"> </w:t>
      </w:r>
      <w:r>
        <w:t xml:space="preserve">39(3): 75–77.</w:t>
      </w:r>
    </w:p>
    <w:bookmarkEnd w:id="42"/>
    <w:bookmarkStart w:id="43"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43"/>
    <w:bookmarkStart w:id="44" w:name="ref-knappWillConsumersReally2020"/>
    <w:p>
      <w:pPr>
        <w:pStyle w:val="Bibliography"/>
      </w:pPr>
      <w:r>
        <w:t xml:space="preserve">Knapp, Lauren, Eric O’Shaughnessy, Jenny Heeter, Sarah Mills, and John M. DeCicco. 2020.</w:t>
      </w:r>
      <w:r>
        <w:t xml:space="preserve"> </w:t>
      </w:r>
      <w:r>
        <w:t xml:space="preserve">“Will</w:t>
      </w:r>
      <w:r>
        <w:t xml:space="preserve"> </w:t>
      </w:r>
      <w:r>
        <w:t xml:space="preserve">Consumers Really Pay</w:t>
      </w:r>
      <w:r>
        <w:t xml:space="preserve"> </w:t>
      </w:r>
      <w:r>
        <w:t xml:space="preserve">for</w:t>
      </w:r>
      <w:r>
        <w:t xml:space="preserve"> </w:t>
      </w:r>
      <w:r>
        <w:t xml:space="preserve">Green Electricity</w:t>
      </w:r>
      <w:r>
        <w:t xml:space="preserve">?</w:t>
      </w:r>
      <w:r>
        <w:t xml:space="preserve"> </w:t>
      </w:r>
      <w:r>
        <w:t xml:space="preserve">Comparing Stated</w:t>
      </w:r>
      <w:r>
        <w:t xml:space="preserve"> </w:t>
      </w:r>
      <w:r>
        <w:t xml:space="preserve">and</w:t>
      </w:r>
      <w:r>
        <w:t xml:space="preserve"> </w:t>
      </w:r>
      <w:r>
        <w:t xml:space="preserve">Revealed Preferences</w:t>
      </w:r>
      <w:r>
        <w:t xml:space="preserve"> </w:t>
      </w:r>
      <w:r>
        <w:t xml:space="preserve">for</w:t>
      </w:r>
      <w:r>
        <w:t xml:space="preserve"> </w:t>
      </w:r>
      <w:r>
        <w:t xml:space="preserve">Residential Programs</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65: 101457.</w:t>
      </w:r>
    </w:p>
    <w:bookmarkEnd w:id="44"/>
    <w:bookmarkStart w:id="45" w:name="X83362c7a395811c107646b0a251a2c1915acb0e"/>
    <w:p>
      <w:pPr>
        <w:pStyle w:val="Bibliography"/>
      </w:pPr>
      <w:r>
        <w:t xml:space="preserve">Kotchen, Matthew J., Kevin J. Boyle, and Anthony A. Leiserowitz. 2013.</w:t>
      </w:r>
      <w:r>
        <w:t xml:space="preserve"> </w:t>
      </w:r>
      <w:r>
        <w:t xml:space="preserve">“Willingness-to-</w:t>
      </w:r>
      <w:r>
        <w:t xml:space="preserve">Pay</w:t>
      </w:r>
      <w:r>
        <w:t xml:space="preserve"> </w:t>
      </w:r>
      <w:r>
        <w:t xml:space="preserve">and</w:t>
      </w:r>
      <w:r>
        <w:t xml:space="preserve"> </w:t>
      </w:r>
      <w:r>
        <w:t xml:space="preserve">Policy-Instrument Choice</w:t>
      </w:r>
      <w:r>
        <w:t xml:space="preserve"> </w:t>
      </w:r>
      <w:r>
        <w:t xml:space="preserve">for</w:t>
      </w:r>
      <w:r>
        <w:t xml:space="preserve"> </w:t>
      </w:r>
      <w:r>
        <w:t xml:space="preserve">Climate-Change Policy</w:t>
      </w:r>
      <w:r>
        <w:t xml:space="preserve"> </w:t>
      </w:r>
      <w:r>
        <w:t xml:space="preserve">in the</w:t>
      </w:r>
      <w:r>
        <w:t xml:space="preserve"> </w:t>
      </w:r>
      <w:r>
        <w:t xml:space="preserve">United States</w:t>
      </w:r>
      <w:r>
        <w:t xml:space="preserve">.”</w:t>
      </w:r>
      <w:r>
        <w:t xml:space="preserve"> </w:t>
      </w:r>
      <w:r>
        <w:rPr>
          <w:i/>
          <w:iCs/>
        </w:rPr>
        <w:t xml:space="preserve">Energy Policy</w:t>
      </w:r>
      <w:r>
        <w:t xml:space="preserve"> </w:t>
      </w:r>
      <w:r>
        <w:t xml:space="preserve">55: 617–25.</w:t>
      </w:r>
    </w:p>
    <w:bookmarkEnd w:id="45"/>
    <w:bookmarkStart w:id="46" w:name="ref-kotchenPublicWillingnessPay2017"/>
    <w:p>
      <w:pPr>
        <w:pStyle w:val="Bibliography"/>
      </w:pPr>
      <w:r>
        <w:t xml:space="preserve">Kotchen, Matthew J., Zachary M. Turk, and Anthony A. Leiserowitz. 2017.</w:t>
      </w:r>
      <w:r>
        <w:t xml:space="preserve"> </w:t>
      </w:r>
      <w:r>
        <w:t xml:space="preserve">“Public</w:t>
      </w:r>
      <w:r>
        <w:t xml:space="preserve"> </w:t>
      </w:r>
      <w:r>
        <w:t xml:space="preserve">Willingness</w:t>
      </w:r>
      <w:r>
        <w:t xml:space="preserve"> </w:t>
      </w:r>
      <w:r>
        <w:t xml:space="preserve">to</w:t>
      </w:r>
      <w:r>
        <w:t xml:space="preserve"> </w:t>
      </w:r>
      <w:r>
        <w:t xml:space="preserve">Pay</w:t>
      </w:r>
      <w:r>
        <w:t xml:space="preserve"> </w:t>
      </w:r>
      <w:r>
        <w:t xml:space="preserve">for a</w:t>
      </w:r>
      <w:r>
        <w:t xml:space="preserve"> </w:t>
      </w:r>
      <w:r>
        <w:t xml:space="preserve">US Carbon Tax</w:t>
      </w:r>
      <w:r>
        <w:t xml:space="preserve"> </w:t>
      </w:r>
      <w:r>
        <w:t xml:space="preserve">and</w:t>
      </w:r>
      <w:r>
        <w:t xml:space="preserve"> </w:t>
      </w:r>
      <w:r>
        <w:t xml:space="preserve">Preferences</w:t>
      </w:r>
      <w:r>
        <w:t xml:space="preserve"> </w:t>
      </w:r>
      <w:r>
        <w:t xml:space="preserve">for</w:t>
      </w:r>
      <w:r>
        <w:t xml:space="preserve"> </w:t>
      </w:r>
      <w:r>
        <w:t xml:space="preserve">Spending</w:t>
      </w:r>
      <w:r>
        <w:t xml:space="preserve"> </w:t>
      </w:r>
      <w:r>
        <w:t xml:space="preserve">the</w:t>
      </w:r>
      <w:r>
        <w:t xml:space="preserve"> </w:t>
      </w:r>
      <w:r>
        <w:t xml:space="preserve">Revenue</w:t>
      </w:r>
      <w:r>
        <w:t xml:space="preserve">.”</w:t>
      </w:r>
      <w:r>
        <w:t xml:space="preserve"> </w:t>
      </w:r>
      <w:r>
        <w:rPr>
          <w:i/>
          <w:iCs/>
        </w:rPr>
        <w:t xml:space="preserve">Environmental Research Letters</w:t>
      </w:r>
      <w:r>
        <w:t xml:space="preserve"> </w:t>
      </w:r>
      <w:r>
        <w:t xml:space="preserve">12(9).</w:t>
      </w:r>
    </w:p>
    <w:bookmarkEnd w:id="46"/>
    <w:bookmarkStart w:id="47" w:name="ref-liPublicSupportReducing2009"/>
    <w:p>
      <w:pPr>
        <w:pStyle w:val="Bibliography"/>
      </w:pPr>
      <w:r>
        <w:t xml:space="preserve">Li, Hui, Hank C. Jenkins-Smith, Carol L. Silva, Robert P. Berrens, and Kerry G. Herron. 2009.</w:t>
      </w:r>
      <w:r>
        <w:t xml:space="preserve"> </w:t>
      </w:r>
      <w:r>
        <w:t xml:space="preserve">“Public</w:t>
      </w:r>
      <w:r>
        <w:t xml:space="preserve"> </w:t>
      </w:r>
      <w:r>
        <w:t xml:space="preserve">Support</w:t>
      </w:r>
      <w:r>
        <w:t xml:space="preserve"> </w:t>
      </w:r>
      <w:r>
        <w:t xml:space="preserve">for</w:t>
      </w:r>
      <w:r>
        <w:t xml:space="preserve"> </w:t>
      </w:r>
      <w:r>
        <w:t xml:space="preserve">Reducing US Reliance</w:t>
      </w:r>
      <w:r>
        <w:t xml:space="preserve"> </w:t>
      </w:r>
      <w:r>
        <w:t xml:space="preserve">on</w:t>
      </w:r>
      <w:r>
        <w:t xml:space="preserve"> </w:t>
      </w:r>
      <w:r>
        <w:t xml:space="preserve">Fossil Fuels</w:t>
      </w:r>
      <w:r>
        <w:t xml:space="preserve">:</w:t>
      </w:r>
      <w:r>
        <w:t xml:space="preserve"> </w:t>
      </w:r>
      <w:r>
        <w:t xml:space="preserve">Investigating Household Willingness-to-Pay</w:t>
      </w:r>
      <w:r>
        <w:t xml:space="preserve"> </w:t>
      </w:r>
      <w:r>
        <w:t xml:space="preserve">for</w:t>
      </w:r>
      <w:r>
        <w:t xml:space="preserve"> </w:t>
      </w:r>
      <w:r>
        <w:t xml:space="preserve">Energy Research</w:t>
      </w:r>
      <w:r>
        <w:t xml:space="preserve"> </w:t>
      </w:r>
      <w:r>
        <w:t xml:space="preserve">and</w:t>
      </w:r>
      <w:r>
        <w:t xml:space="preserve"> </w:t>
      </w:r>
      <w:r>
        <w:t xml:space="preserve">Development</w:t>
      </w:r>
      <w:r>
        <w:t xml:space="preserve">.”</w:t>
      </w:r>
      <w:r>
        <w:t xml:space="preserve"> </w:t>
      </w:r>
      <w:r>
        <w:rPr>
          <w:i/>
          <w:iCs/>
        </w:rPr>
        <w:t xml:space="preserve">Ecological Economics</w:t>
      </w:r>
      <w:r>
        <w:t xml:space="preserve"> </w:t>
      </w:r>
      <w:r>
        <w:t xml:space="preserve">68(3): 731–42.</w:t>
      </w:r>
    </w:p>
    <w:bookmarkEnd w:id="47"/>
    <w:bookmarkStart w:id="48" w:name="ref-lipovetskyPricingModelsMarketing2011"/>
    <w:p>
      <w:pPr>
        <w:pStyle w:val="Bibliography"/>
      </w:pPr>
      <w:r>
        <w:t xml:space="preserve">Lipovetsky, Stan, Shon Magnan, and Andrea Zanetti-Polzi. 2011.</w:t>
      </w:r>
      <w:r>
        <w:t xml:space="preserve"> </w:t>
      </w:r>
      <w:r>
        <w:t xml:space="preserve">“Pricing</w:t>
      </w:r>
      <w:r>
        <w:t xml:space="preserve"> </w:t>
      </w:r>
      <w:r>
        <w:t xml:space="preserve">Models</w:t>
      </w:r>
      <w:r>
        <w:t xml:space="preserve"> </w:t>
      </w:r>
      <w:r>
        <w:t xml:space="preserve">in</w:t>
      </w:r>
      <w:r>
        <w:t xml:space="preserve"> </w:t>
      </w:r>
      <w:r>
        <w:t xml:space="preserve">Marketing Research</w:t>
      </w:r>
      <w:r>
        <w:t xml:space="preserve">.”</w:t>
      </w:r>
      <w:r>
        <w:t xml:space="preserve"> </w:t>
      </w:r>
      <w:r>
        <w:rPr>
          <w:i/>
          <w:iCs/>
        </w:rPr>
        <w:t xml:space="preserve">Intelligent Information Management</w:t>
      </w:r>
      <w:r>
        <w:t xml:space="preserve"> </w:t>
      </w:r>
      <w:r>
        <w:t xml:space="preserve">3(5): 167–74.</w:t>
      </w:r>
    </w:p>
    <w:bookmarkEnd w:id="48"/>
    <w:bookmarkStart w:id="49" w:name="X6d6f152db593044a330e502aa9ce7b5a2623a5a"/>
    <w:p>
      <w:pPr>
        <w:pStyle w:val="Bibliography"/>
      </w:pPr>
      <w:r>
        <w:t xml:space="preserve">Mayer, Adam P., and E. Keith Smith. 2023.</w:t>
      </w:r>
      <w:r>
        <w:t xml:space="preserve"> </w:t>
      </w:r>
      <w:r>
        <w:t xml:space="preserve">“Multidimensional</w:t>
      </w:r>
      <w:r>
        <w:t xml:space="preserve"> </w:t>
      </w:r>
      <w:r>
        <w:t xml:space="preserve">Partisanship Shapes Climate Policy Support</w:t>
      </w:r>
      <w:r>
        <w:t xml:space="preserve"> </w:t>
      </w:r>
      <w:r>
        <w:t xml:space="preserve">and</w:t>
      </w:r>
      <w:r>
        <w:t xml:space="preserve"> </w:t>
      </w:r>
      <w:r>
        <w:t xml:space="preserve">Behaviours</w:t>
      </w:r>
      <w:r>
        <w:t xml:space="preserve">.”</w:t>
      </w:r>
      <w:r>
        <w:t xml:space="preserve"> </w:t>
      </w:r>
      <w:r>
        <w:rPr>
          <w:i/>
          <w:iCs/>
        </w:rPr>
        <w:t xml:space="preserve">Nature Climate Change</w:t>
      </w:r>
      <w:r>
        <w:t xml:space="preserve"> </w:t>
      </w:r>
      <w:r>
        <w:t xml:space="preserve">13(1): 32–39.</w:t>
      </w:r>
    </w:p>
    <w:bookmarkEnd w:id="49"/>
    <w:bookmarkStart w:id="50"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50"/>
    <w:bookmarkStart w:id="51" w:name="ref-murakamiConsumersWillingnessPay2015"/>
    <w:p>
      <w:pPr>
        <w:pStyle w:val="Bibliography"/>
      </w:pPr>
      <w:r>
        <w:t xml:space="preserve">Murakami, Kayo, Takanori Ida, Makoto Tanaka, and Lee Friedman. 2015.</w:t>
      </w:r>
      <w:r>
        <w:t xml:space="preserve"> </w:t>
      </w:r>
      <w:r>
        <w:t xml:space="preserve">“Consumers’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Renewable</w:t>
      </w:r>
      <w:r>
        <w:t xml:space="preserve"> </w:t>
      </w:r>
      <w:r>
        <w:t xml:space="preserve">and</w:t>
      </w:r>
      <w:r>
        <w:t xml:space="preserve"> </w:t>
      </w:r>
      <w:r>
        <w:t xml:space="preserve">Nuclear Energy</w:t>
      </w:r>
      <w:r>
        <w:t xml:space="preserve">:</w:t>
      </w:r>
      <w:r>
        <w:t xml:space="preserve"> </w:t>
      </w:r>
      <w:r>
        <w:t xml:space="preserve">A Comparative Analysis Between</w:t>
      </w:r>
      <w:r>
        <w:t xml:space="preserve"> </w:t>
      </w:r>
      <w:r>
        <w:t xml:space="preserve">the</w:t>
      </w:r>
      <w:r>
        <w:t xml:space="preserve"> </w:t>
      </w:r>
      <w:r>
        <w:t xml:space="preserve">US</w:t>
      </w:r>
      <w:r>
        <w:t xml:space="preserve"> </w:t>
      </w:r>
      <w:r>
        <w:t xml:space="preserve">and</w:t>
      </w:r>
      <w:r>
        <w:t xml:space="preserve"> </w:t>
      </w:r>
      <w:r>
        <w:t xml:space="preserve">Japan</w:t>
      </w:r>
      <w:r>
        <w:t xml:space="preserve">.”</w:t>
      </w:r>
      <w:r>
        <w:t xml:space="preserve"> </w:t>
      </w:r>
      <w:r>
        <w:rPr>
          <w:i/>
          <w:iCs/>
        </w:rPr>
        <w:t xml:space="preserve">Energy Economics</w:t>
      </w:r>
      <w:r>
        <w:t xml:space="preserve"> </w:t>
      </w:r>
      <w:r>
        <w:t xml:space="preserve">50: 178–89.</w:t>
      </w:r>
    </w:p>
    <w:bookmarkEnd w:id="51"/>
    <w:bookmarkStart w:id="52" w:name="ref-nkansahWillingnessPayWind2019"/>
    <w:p>
      <w:pPr>
        <w:pStyle w:val="Bibliography"/>
      </w:pPr>
      <w:r>
        <w:t xml:space="preserve">Nkansah, Kofi, and Alan R Collins. 2019.</w:t>
      </w:r>
      <w:r>
        <w:t xml:space="preserve"> </w:t>
      </w:r>
      <w:r>
        <w:t xml:space="preserve">“Willingness to</w:t>
      </w:r>
      <w:r>
        <w:t xml:space="preserve"> </w:t>
      </w:r>
      <w:r>
        <w:t xml:space="preserve">Pay</w:t>
      </w:r>
      <w:r>
        <w:t xml:space="preserve"> </w:t>
      </w:r>
      <w:r>
        <w:t xml:space="preserve">for</w:t>
      </w:r>
      <w:r>
        <w:t xml:space="preserve"> </w:t>
      </w:r>
      <w:r>
        <w:t xml:space="preserve">Wind</w:t>
      </w:r>
      <w:r>
        <w:t xml:space="preserve"> </w:t>
      </w:r>
      <w:r>
        <w:t xml:space="preserve">Versus</w:t>
      </w:r>
      <w:r>
        <w:t xml:space="preserve"> </w:t>
      </w:r>
      <w:r>
        <w:t xml:space="preserve">Natural Gas Generation</w:t>
      </w:r>
      <w:r>
        <w:t xml:space="preserve"> </w:t>
      </w:r>
      <w:r>
        <w:t xml:space="preserve">of</w:t>
      </w:r>
      <w:r>
        <w:t xml:space="preserve"> </w:t>
      </w:r>
      <w:r>
        <w:t xml:space="preserve">Electricity</w:t>
      </w:r>
      <w:r>
        <w:t xml:space="preserve">.”</w:t>
      </w:r>
      <w:r>
        <w:t xml:space="preserve"> </w:t>
      </w:r>
      <w:r>
        <w:rPr>
          <w:i/>
          <w:iCs/>
        </w:rPr>
        <w:t xml:space="preserve">Agricultural and Resource Economics Review</w:t>
      </w:r>
      <w:r>
        <w:t xml:space="preserve"> </w:t>
      </w:r>
      <w:r>
        <w:t xml:space="preserve">48(1): 44–70.</w:t>
      </w:r>
    </w:p>
    <w:bookmarkEnd w:id="52"/>
    <w:bookmarkStart w:id="53" w:name="ref-scheuchVotersSupportAre2026"/>
    <w:p>
      <w:pPr>
        <w:pStyle w:val="Bibliography"/>
      </w:pPr>
      <w:r>
        <w:t xml:space="preserve">Scheuch, Eric. 2026.</w:t>
      </w:r>
      <w:r>
        <w:t xml:space="preserve"> </w:t>
      </w:r>
      <w:r>
        <w:t xml:space="preserve">“Voters</w:t>
      </w:r>
      <w:r>
        <w:t xml:space="preserve"> </w:t>
      </w:r>
      <w:r>
        <w:t xml:space="preserve">Support</w:t>
      </w:r>
      <w:r>
        <w:t xml:space="preserve"> </w:t>
      </w:r>
      <w:r>
        <w:t xml:space="preserve">and</w:t>
      </w:r>
      <w:r>
        <w:t xml:space="preserve"> </w:t>
      </w:r>
      <w:r>
        <w:t xml:space="preserve">Are Willing</w:t>
      </w:r>
      <w:r>
        <w:t xml:space="preserve"> </w:t>
      </w:r>
      <w:r>
        <w:t xml:space="preserve">to</w:t>
      </w:r>
      <w:r>
        <w:t xml:space="preserve"> </w:t>
      </w:r>
      <w:r>
        <w:t xml:space="preserve">Pay</w:t>
      </w:r>
      <w:r>
        <w:t xml:space="preserve"> </w:t>
      </w:r>
      <w:r>
        <w:t xml:space="preserve">for</w:t>
      </w:r>
      <w:r>
        <w:t xml:space="preserve"> </w:t>
      </w:r>
      <w:r>
        <w:t xml:space="preserve">Local Climate Adaptation Policies</w:t>
      </w:r>
      <w:r>
        <w:t xml:space="preserve">.”</w:t>
      </w:r>
      <w:r>
        <w:t xml:space="preserve"> </w:t>
      </w:r>
      <w:r>
        <w:rPr>
          <w:i/>
          <w:iCs/>
        </w:rPr>
        <w:t xml:space="preserve">Urban Affairs Review</w:t>
      </w:r>
      <w:r>
        <w:t xml:space="preserve">: 10780874261475229.</w:t>
      </w:r>
    </w:p>
    <w:bookmarkEnd w:id="53"/>
    <w:bookmarkStart w:id="54"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54"/>
    <w:bookmarkStart w:id="55" w:name="ref-walterExaminingWillingnessPay2023"/>
    <w:p>
      <w:pPr>
        <w:pStyle w:val="Bibliography"/>
      </w:pPr>
      <w:r>
        <w:t xml:space="preserve">Walter, Kara A., Jennifer Thacher, and Janie M. Chermak. 2023.</w:t>
      </w:r>
      <w:r>
        <w:t xml:space="preserve"> </w:t>
      </w:r>
      <w:r>
        <w:t xml:space="preserve">“Examining</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Energy Futures</w:t>
      </w:r>
      <w:r>
        <w:t xml:space="preserve"> </w:t>
      </w:r>
      <w:r>
        <w:t xml:space="preserve">in a</w:t>
      </w:r>
      <w:r>
        <w:t xml:space="preserve"> </w:t>
      </w:r>
      <w:r>
        <w:t xml:space="preserve">Fossil</w:t>
      </w:r>
      <w:r>
        <w:t xml:space="preserve"> </w:t>
      </w:r>
      <w:r>
        <w:t xml:space="preserve">and</w:t>
      </w:r>
      <w:r>
        <w:t xml:space="preserve"> </w:t>
      </w:r>
      <w:r>
        <w:t xml:space="preserve">Renewable Energy-Rich Locale</w:t>
      </w:r>
      <w:r>
        <w:t xml:space="preserve">.”</w:t>
      </w:r>
      <w:r>
        <w:t xml:space="preserve"> </w:t>
      </w:r>
      <w:r>
        <w:rPr>
          <w:i/>
          <w:iCs/>
        </w:rPr>
        <w:t xml:space="preserve">Energy Policy</w:t>
      </w:r>
      <w:r>
        <w:t xml:space="preserve"> </w:t>
      </w:r>
      <w:r>
        <w:t xml:space="preserve">181: 113661.</w:t>
      </w:r>
    </w:p>
    <w:bookmarkEnd w:id="55"/>
    <w:bookmarkStart w:id="56" w:name="ref-wedelModelEffectsPsychological1998"/>
    <w:p>
      <w:pPr>
        <w:pStyle w:val="Bibliography"/>
      </w:pPr>
      <w:r>
        <w:t xml:space="preserve">Wedel, Michel, and Peter S. H. Leeflang. 1998.</w:t>
      </w:r>
      <w:r>
        <w:t xml:space="preserve"> </w:t>
      </w:r>
      <w:r>
        <w:t xml:space="preserve">“A Model for the Effects of Psychological Pricing in</w:t>
      </w:r>
      <w:r>
        <w:t xml:space="preserve"> </w:t>
      </w:r>
      <w:r>
        <w:t xml:space="preserve">Gabor</w:t>
      </w:r>
      <w:r>
        <w:t xml:space="preserve">–</w:t>
      </w:r>
      <w:r>
        <w:t xml:space="preserve">Granger</w:t>
      </w:r>
      <w:r>
        <w:t xml:space="preserve"> </w:t>
      </w:r>
      <w:r>
        <w:t xml:space="preserve">Price Studies.”</w:t>
      </w:r>
      <w:r>
        <w:t xml:space="preserve"> </w:t>
      </w:r>
      <w:r>
        <w:rPr>
          <w:i/>
          <w:iCs/>
        </w:rPr>
        <w:t xml:space="preserve">Journal of Economic Psychology</w:t>
      </w:r>
      <w:r>
        <w:t xml:space="preserve"> </w:t>
      </w:r>
      <w:r>
        <w:t xml:space="preserve">19(2): 237–60.</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 Partisanship, and Willingness-to-Pay for Energy</dc:title>
  <dc:creator>Matthew C. Nowlin</dc:creator>
  <cp:keywords/>
  <dcterms:created xsi:type="dcterms:W3CDTF">2026-09-21T16:53:53Z</dcterms:created>
  <dcterms:modified xsi:type="dcterms:W3CDTF">2026-09-21T16:53:53Z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