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Party or Climate? The Polarization of the US Public’s Energy Preferences</w:t>
      </w:r>
    </w:p>
    <w:bookmarkStart w:id="24" w:name="methods-and-robustness-checks"/>
    <w:p>
      <w:pPr>
        <w:pStyle w:val="Heading1"/>
      </w:pPr>
      <w:r>
        <w:t xml:space="preserve">Methods and Robustness Checks</w:t>
      </w:r>
    </w:p>
    <w:bookmarkStart w:id="11" w:name="survey-sample"/>
    <w:p>
      <w:pPr>
        <w:pStyle w:val="Heading2"/>
      </w:pPr>
      <w:r>
        <w:t xml:space="preserve">Survey Sample</w:t>
      </w:r>
    </w:p>
    <w:p>
      <w:pPr>
        <w:pStyle w:val="FirstParagraph"/>
      </w:pPr>
      <w:r>
        <w:t xml:space="preserve">Despite the use of quotas, the sample from Cloud Research was not perfectly representative of the US population. Specifically, the sample was younger, whiter, more educated, and more aligned with the Democratic party than the US population. To address this,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align the sample with the US Census’s 2023 American Community Survey (ACS) on key demographic variables, including age, race, gender, and education. Additionally, I used the Pew Research Center’s National Public Opinion Reference Survey (NPORS) from 2025 to align the sample on political party affiliation.</w:t>
      </w:r>
      <w:r>
        <w:rPr>
          <w:rStyle w:val="FootnoteReference"/>
        </w:rPr>
        <w:footnoteReference w:id="9"/>
      </w:r>
      <w:r>
        <w:t xml:space="preserve"> </w:t>
      </w:r>
      <w:r>
        <w:t xml:space="preserve">The differences between the unweighted and weighted sample are shown in</w:t>
      </w:r>
      <w:r>
        <w:t xml:space="preserve"> </w:t>
      </w:r>
      <w:hyperlink w:anchor="tbl-descript">
        <w:r>
          <w:rPr>
            <w:rStyle w:val="Hyperlink"/>
          </w:rPr>
          <w:t xml:space="preserve">Table 1</w:t>
        </w:r>
      </w:hyperlink>
      <w:r>
        <w:t xml:space="preserve">. The weights were then applied to all analyses in the paper.</w:t>
      </w:r>
    </w:p>
    <w:tbl>
      <w:tblPr>
        <w:tblStyle w:val="Table"/>
        <w:tblW w:type="pct" w:w="5000"/>
        <w:tblLayout w:type="fixed"/>
        <w:tblLook w:firstRow="0" w:lastRow="0" w:firstColumn="0" w:lastColumn="0" w:noHBand="0" w:noVBand="0" w:val="0000"/>
      </w:tblPr>
      <w:tblGrid>
        <w:gridCol w:w="7920"/>
      </w:tblGrid>
      <w:tr>
        <w:tc>
          <w:tcPr/>
          <w:bookmarkStart w:id="10" w:name="tbl-descript"/>
          <w:p>
            <w:pPr>
              <w:jc w:val="center"/>
            </w:pPr>
            <w:pPr>
              <w:jc w:val="left"/>
              <w:spacing w:before="200"/>
              <w:pStyle w:val="ImageCaption"/>
            </w:pPr>
            <w:r>
              <w:t xml:space="preserve">Table 1: Unweighted vs. Weighted Means on Key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491"/>
              <w:gridCol w:w="1257"/>
              <w:gridCol w:w="1335"/>
            </w:tblGrid>
            <w:tr>
              <w:trPr>
                <w:trHeight w:val="57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Unweighted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Weighted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Difference</w:t>
                  </w:r>
                </w:p>
              </w:tc>
            </w:tr>
            <w:tr>
              <w:trPr>
                <w:trHeight w:val="5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Age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43.624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47.287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3.662</w:t>
                  </w:r>
                </w:p>
              </w:tc>
            </w:tr>
            <w:tr>
              <w:trPr>
                <w:trHeight w:val="5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-0.016</w:t>
                  </w:r>
                </w:p>
              </w:tc>
            </w:tr>
            <w:tr>
              <w:trPr>
                <w:trHeight w:val="5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White (non-Hispanic)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-0.077</w:t>
                  </w:r>
                </w:p>
              </w:tc>
            </w:tr>
            <w:tr>
              <w:trPr>
                <w:trHeight w:val="5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College graduate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-0.194</w:t>
                  </w:r>
                </w:p>
              </w:tc>
            </w:tr>
            <w:tr>
              <w:trPr>
                <w:trHeight w:val="5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Democrat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-0.113</w:t>
                  </w:r>
                </w:p>
              </w:tc>
            </w:tr>
            <w:tr>
              <w:trPr>
                <w:trHeight w:val="55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Republican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0.173</w:t>
                  </w:r>
                </w:p>
              </w:tc>
            </w:tr>
            <w:tr>
              <w:trPr>
                <w:trHeight w:val="360" w:hRule="auto"/>
              </w:trPr>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8"/>
                      <w:szCs w:val="18"/>
                      <w:color w:val="000000"/>
                    </w:rPr>
                    <w:t xml:space="preserve">Note: Weights computed via iterative raking to ACS 2023 and Pew NPORS targets.</w:t>
                  </w:r>
                </w:p>
              </w:tc>
            </w:tr>
          </w:tbl>
          <w:bookmarkEnd w:id="10"/>
        </w:tc>
      </w:tr>
    </w:tbl>
    <w:bookmarkEnd w:id="11"/>
    <w:bookmarkStart w:id="14" w:name="X0e8900f4acd04b1438fffc63a6d770b067091bd"/>
    <w:p>
      <w:pPr>
        <w:pStyle w:val="Heading2"/>
      </w:pPr>
      <w:r>
        <w:t xml:space="preserve">Robustness: Results Without Survey Weights</w:t>
      </w:r>
    </w:p>
    <w:p>
      <w:pPr>
        <w:pStyle w:val="FirstParagraph"/>
      </w:pPr>
      <w:r>
        <w:t xml:space="preserve">To confirm that the main results are not an artifact of the survey weights, I re-estimate the preferred-mix models via unweighted OLS in place of the weighted</w:t>
      </w:r>
      <w:r>
        <w:t xml:space="preserve"> </w:t>
      </w:r>
      <w:r>
        <w:rPr>
          <w:rStyle w:val="VerbatimChar"/>
        </w:rPr>
        <w:t xml:space="preserve">svyglm</w:t>
      </w:r>
      <w:r>
        <w:t xml:space="preserve"> </w:t>
      </w:r>
      <w:r>
        <w:t xml:space="preserve">models, using the same specification (</w:t>
      </w:r>
      <w:r>
        <w:rPr>
          <w:rStyle w:val="VerbatimChar"/>
        </w:rPr>
        <w:t xml:space="preserve">party * treatment</w:t>
      </w:r>
      <w:r>
        <w:t xml:space="preserve"> </w:t>
      </w:r>
      <w:r>
        <w:t xml:space="preserve">for each energy source).</w:t>
      </w:r>
      <w:r>
        <w:t xml:space="preserve"> </w:t>
      </w:r>
      <w:hyperlink w:anchor="tbl-pred-contrasts-unweighted">
        <w:r>
          <w:rPr>
            <w:rStyle w:val="Hyperlink"/>
          </w:rPr>
          <w:t xml:space="preserve">Table 2</w:t>
        </w:r>
      </w:hyperlink>
      <w:r>
        <w:t xml:space="preserve"> </w:t>
      </w:r>
      <w:r>
        <w:t xml:space="preserve">replicates the pairwise-differences table from the main text, and</w:t>
      </w:r>
      <w:r>
        <w:t xml:space="preserve"> </w:t>
      </w:r>
      <w:hyperlink w:anchor="tbl-did-unweighted">
        <w:r>
          <w:rPr>
            <w:rStyle w:val="Hyperlink"/>
          </w:rPr>
          <w:t xml:space="preserve">Table 3</w:t>
        </w:r>
      </w:hyperlink>
      <w:r>
        <w:t xml:space="preserve"> </w:t>
      </w:r>
      <w:r>
        <w:t xml:space="preserve">replicates the difference-in-differences table. The estimates are substantively unchanged from the weighted analysis, indicating that the reported cue effects are not a product of the raking weights.</w:t>
      </w:r>
    </w:p>
    <w:tbl>
      <w:tblPr>
        <w:tblStyle w:val="Table"/>
        <w:tblW w:type="pct" w:w="5000"/>
        <w:tblLayout w:type="fixed"/>
        <w:tblLook w:firstRow="0" w:lastRow="0" w:firstColumn="0" w:lastColumn="0" w:noHBand="0" w:noVBand="0" w:val="0000"/>
      </w:tblPr>
      <w:tblGrid>
        <w:gridCol w:w="7920"/>
      </w:tblGrid>
      <w:tr>
        <w:tc>
          <w:tcPr/>
          <w:bookmarkStart w:id="12" w:name="tbl-pred-contrasts-unweighted"/>
          <w:p>
            <w:pPr>
              <w:jc w:val="center"/>
            </w:pPr>
            <w:pPr>
              <w:jc w:val="left"/>
              <w:spacing w:before="200"/>
              <w:pStyle w:val="ImageCaption"/>
            </w:pPr>
            <w:r>
              <w:t xml:space="preserve">Table 2: Pairwise Differences in the Predicted Preferred Energy Mix (Unweighted)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238"/>
              <w:gridCol w:w="1238"/>
              <w:gridCol w:w="1238"/>
              <w:gridCol w:w="1238"/>
              <w:gridCol w:w="123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Fossil Fuels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Solar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Hydro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Nuclear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Climate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Trump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Climate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Trump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Trump - Climate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Climate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Trump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Trump - Climate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Replicates the pairwise-differences table from the main text using unweighted OLS models (no survey weights) in place of the weighted svyglm models. Cell entries are estimated differences in the predicted preferred share (percentage points). Partisan-gap rows are the Liberal Democrats − Conservative Republicans difference within each condition; within-party rows are the change for that party when moving from one condition to another. *** p &lt; 0.001, ** p &lt; 0.01, * p &lt; 0.05, † p &lt; 0.10.</w:t>
                  </w:r>
                </w:p>
              </w:tc>
            </w:tr>
          </w:tbl>
          <w:bookmarkEnd w:id="12"/>
        </w:tc>
      </w:tr>
    </w:tbl>
    <w:tbl>
      <w:tblPr>
        <w:tblStyle w:val="Table"/>
        <w:tblW w:type="pct" w:w="5000"/>
        <w:tblLayout w:type="fixed"/>
        <w:tblLook w:firstRow="0" w:lastRow="0" w:firstColumn="0" w:lastColumn="0" w:noHBand="0" w:noVBand="0" w:val="0000"/>
      </w:tblPr>
      <w:tblGrid>
        <w:gridCol w:w="7920"/>
      </w:tblGrid>
      <w:tr>
        <w:tc>
          <w:tcPr/>
          <w:bookmarkStart w:id="13" w:name="tbl-did-unweighted"/>
          <w:p>
            <w:pPr>
              <w:jc w:val="center"/>
            </w:pPr>
            <w:pPr>
              <w:jc w:val="left"/>
              <w:spacing w:before="200"/>
              <w:pStyle w:val="ImageCaption"/>
            </w:pPr>
            <w:r>
              <w:t xml:space="preserve">Table 3: Treatment Effects on the Preferred Energy Mix Across Political Beliefs (Unweighted)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325"/>
              <w:gridCol w:w="1325"/>
              <w:gridCol w:w="1325"/>
              <w:gridCol w:w="1325"/>
              <w:gridCol w:w="132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Fossil Fuels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Solar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Hydro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Nuclear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Omnibus F-test (any treatment effect on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5.99**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1.17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1.33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2.59†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Climate Cue vs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-0.37 [-4.03,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-1.11 [-3.61,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 [-2.68,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1.51 [-0.41,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-0.17 [-3.53,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Trump Cue vs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-5.85** [-9.54,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0.86 [-1.66,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0.43 [-2.42,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1.21 [-0.73,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3.35† [-0.05, 6.75]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Trump Cue vs Climate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-5.48** [-9.19, -1.77]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1.97 [-0.56, 4.50]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0.29 [-2.57, 3.15]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-0.30 [-2.25, 1.65]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3.52* [0.11, 6.92]</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Replicates the difference-in-differences table from the main text using unweighted OLS models (no survey weights) in place of the weighted svyglm models. Top row shows the omnibus F-test for whether treatments jointly shift the partisan gap on each energy source. Subsequent rows show the estimated change in the partisan gap (Liberal Democrats − Conservative Republicans) when moving from one treatment condition to another, with 95% confidence intervals in brackets. *** p &lt; 0.001, ** p &lt; 0.01, * p &lt; 0.05, † p &lt; 0.10.</w:t>
                  </w:r>
                </w:p>
              </w:tc>
            </w:tr>
          </w:tbl>
          <w:bookmarkEnd w:id="13"/>
        </w:tc>
      </w:tr>
    </w:tbl>
    <w:bookmarkEnd w:id="14"/>
    <w:bookmarkStart w:id="16" w:name="covariate-balance-across-conditions"/>
    <w:p>
      <w:pPr>
        <w:pStyle w:val="Heading2"/>
      </w:pPr>
      <w:r>
        <w:t xml:space="preserve">Covariate Balance Across Conditions</w:t>
      </w:r>
    </w:p>
    <w:p>
      <w:pPr>
        <w:pStyle w:val="FirstParagraph"/>
      </w:pPr>
      <w:r>
        <w:t xml:space="preserve">Respondents were randomly assigned to the Trump cue, climate cue, or control condition.</w:t>
      </w:r>
      <w:r>
        <w:t xml:space="preserve"> </w:t>
      </w:r>
      <w:hyperlink w:anchor="tbl-balance">
        <w:r>
          <w:rPr>
            <w:rStyle w:val="Hyperlink"/>
          </w:rPr>
          <w:t xml:space="preserve">Table 4</w:t>
        </w:r>
      </w:hyperlink>
      <w:r>
        <w:t xml:space="preserve"> </w:t>
      </w:r>
      <w:r>
        <w:t xml:space="preserve">compares demographic covariates across the three conditions to confirm that random assignment produced comparable groups. Of the covariates examined, the conditions differ significantly only on age and the share of white respondents; however, political beliefs (liberal Democrats and conservative Republicans) are balanced across conditions.</w:t>
      </w:r>
    </w:p>
    <w:tbl>
      <w:tblPr>
        <w:tblStyle w:val="Table"/>
        <w:tblW w:type="pct" w:w="5000"/>
        <w:tblLayout w:type="fixed"/>
        <w:tblLook w:firstRow="0" w:lastRow="0" w:firstColumn="0" w:lastColumn="0" w:noHBand="0" w:noVBand="0" w:val="0000"/>
      </w:tblPr>
      <w:tblGrid>
        <w:gridCol w:w="7920"/>
      </w:tblGrid>
      <w:tr>
        <w:tc>
          <w:tcPr/>
          <w:bookmarkStart w:id="15" w:name="tbl-balance"/>
          <w:p>
            <w:pPr>
              <w:jc w:val="center"/>
            </w:pPr>
            <w:pPr>
              <w:jc w:val="left"/>
              <w:spacing w:before="200"/>
              <w:pStyle w:val="ImageCaption"/>
            </w:pPr>
            <w:r>
              <w:t xml:space="preserve">Table 4: Covariate Balance Across Experimental Conditions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68"/>
              <w:gridCol w:w="1368"/>
              <w:gridCol w:w="1368"/>
              <w:gridCol w:w="1368"/>
              <w:gridCol w:w="136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Control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Climate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Trump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p-value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Age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42.63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44.51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43.76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White (non-Hispanic)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Education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Income (1–11)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College graduate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Democrat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Republican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Liberal Democrat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Conservative Republican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0.195</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6"/>
                      <w:szCs w:val="16"/>
                      <w:color w:val="000000"/>
                    </w:rPr>
                    <w:t xml:space="preserve">Note: Cell entries are unweighted condition means: percentages for binary indicators and means for continuous measures. The p-value tests for differences across the three conditions (chi-square for indicators, one-way ANOVA for continuous measures); non-significant values indicate the covariate is balanced across conditions, as expected under random assignment.</w:t>
                  </w:r>
                </w:p>
              </w:tc>
            </w:tr>
          </w:tbl>
          <w:bookmarkEnd w:id="15"/>
        </w:tc>
      </w:tr>
    </w:tbl>
    <w:bookmarkEnd w:id="16"/>
    <w:bookmarkStart w:id="19" w:name="X57a3dc0c28c28844b5e0ec8d6c21a6dace98a80"/>
    <w:p>
      <w:pPr>
        <w:pStyle w:val="Heading2"/>
      </w:pPr>
      <w:r>
        <w:t xml:space="preserve">Robustness: Controlling for Demographic Covariates</w:t>
      </w:r>
    </w:p>
    <w:p>
      <w:pPr>
        <w:pStyle w:val="FirstParagraph"/>
      </w:pPr>
      <w:r>
        <w:t xml:space="preserve">Because the conditions differ by chance on age and race (see</w:t>
      </w:r>
      <w:r>
        <w:t xml:space="preserve"> </w:t>
      </w:r>
      <w:hyperlink w:anchor="tbl-balance">
        <w:r>
          <w:rPr>
            <w:rStyle w:val="Hyperlink"/>
          </w:rPr>
          <w:t xml:space="preserve">Table 4</w:t>
        </w:r>
      </w:hyperlink>
      <w:r>
        <w:t xml:space="preserve">), I re-estimate the main difference-in-differences models adding age, sex, race, education, and income as additive controls.</w:t>
      </w:r>
      <w:r>
        <w:t xml:space="preserve"> </w:t>
      </w:r>
      <w:hyperlink w:anchor="tbl-pred-contrasts-controls">
        <w:r>
          <w:rPr>
            <w:rStyle w:val="Hyperlink"/>
          </w:rPr>
          <w:t xml:space="preserve">Table 5</w:t>
        </w:r>
      </w:hyperlink>
      <w:r>
        <w:t xml:space="preserve"> </w:t>
      </w:r>
      <w:r>
        <w:t xml:space="preserve">and</w:t>
      </w:r>
      <w:r>
        <w:t xml:space="preserve"> </w:t>
      </w:r>
      <w:hyperlink w:anchor="tbl-did-controls">
        <w:r>
          <w:rPr>
            <w:rStyle w:val="Hyperlink"/>
          </w:rPr>
          <w:t xml:space="preserve">Table 6</w:t>
        </w:r>
      </w:hyperlink>
      <w:r>
        <w:t xml:space="preserve"> </w:t>
      </w:r>
      <w:r>
        <w:t xml:space="preserve">report the same contrasts as the main-text pairwise-differences and difference-in-differences tables. The estimated treatment effects on the partisan gap are substantively unchanged from the main specification, indicating that the cue effects are not driven by the chance covariate imbalances across conditions.</w:t>
      </w:r>
    </w:p>
    <w:tbl>
      <w:tblPr>
        <w:tblStyle w:val="Table"/>
        <w:tblW w:type="pct" w:w="5000"/>
        <w:tblLayout w:type="fixed"/>
        <w:tblLook w:firstRow="0" w:lastRow="0" w:firstColumn="0" w:lastColumn="0" w:noHBand="0" w:noVBand="0" w:val="0000"/>
      </w:tblPr>
      <w:tblGrid>
        <w:gridCol w:w="7920"/>
      </w:tblGrid>
      <w:tr>
        <w:tc>
          <w:tcPr/>
          <w:bookmarkStart w:id="17" w:name="tbl-pred-contrasts-controls"/>
          <w:p>
            <w:pPr>
              <w:jc w:val="center"/>
            </w:pPr>
            <w:pPr>
              <w:jc w:val="left"/>
              <w:spacing w:before="200"/>
              <w:pStyle w:val="ImageCaption"/>
            </w:pPr>
            <w:r>
              <w:t xml:space="preserve">Table 5: Pairwise Differences in the Predicted Preferred Energy Mix with Demographic Controls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238"/>
              <w:gridCol w:w="1238"/>
              <w:gridCol w:w="1238"/>
              <w:gridCol w:w="1238"/>
              <w:gridCol w:w="123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Fossil Fuels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Solar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Hydro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Nuclear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Climate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Trump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Climate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Trump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Trump - Climate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Climate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Trump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Trump - Climate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0.5</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Replicates the pairwise-differences table from the main text, adding age, sex, race, education, and income as additive controls to each svyglm model. Cell entries are estimated differences in the predicted preferred share (percentage points). Partisan-gap rows are the Liberal Democrats − Conservative Republicans difference within each condition; within-party rows are the change for that party when moving from one condition to another (positive = the later condition is higher). Estimates use survey weights; standard errors and p-values are design-based. *** p &lt; 0.001, ** p &lt; 0.01, * p &lt; 0.05, † p &lt; 0.10.</w:t>
                  </w:r>
                </w:p>
              </w:tc>
            </w:tr>
          </w:tbl>
          <w:bookmarkEnd w:id="17"/>
        </w:tc>
      </w:tr>
    </w:tbl>
    <w:tbl>
      <w:tblPr>
        <w:tblStyle w:val="Table"/>
        <w:tblW w:type="pct" w:w="5000"/>
        <w:tblLayout w:type="fixed"/>
        <w:tblLook w:firstRow="0" w:lastRow="0" w:firstColumn="0" w:lastColumn="0" w:noHBand="0" w:noVBand="0" w:val="0000"/>
      </w:tblPr>
      <w:tblGrid>
        <w:gridCol w:w="7920"/>
      </w:tblGrid>
      <w:tr>
        <w:tc>
          <w:tcPr/>
          <w:bookmarkStart w:id="18" w:name="tbl-did-controls"/>
          <w:p>
            <w:pPr>
              <w:jc w:val="center"/>
            </w:pPr>
            <w:pPr>
              <w:jc w:val="left"/>
              <w:spacing w:before="200"/>
              <w:pStyle w:val="ImageCaption"/>
            </w:pPr>
            <w:r>
              <w:t xml:space="preserve">Table 6: Difference-in-Differences Estimates with Demographic Controls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325"/>
              <w:gridCol w:w="1325"/>
              <w:gridCol w:w="1325"/>
              <w:gridCol w:w="1325"/>
              <w:gridCol w:w="132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Fossil Fuels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Solar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Hydro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Nuclear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Omnibus F-test (any treatment effect on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1.81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Climate Cue vs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-2.45 [-7.02,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0.04 [-3.13,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0.90 [-2.46,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2.19† [-0.17,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-0.69 [-5.08, 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Trump Cue vs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-7.43** [-12.56,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 [-1.30,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1.72 [-1.65,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1.64 [-0.68,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2.47 [-1.66, 6.60]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Trump Cue vs Climate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-4.98† [-10.23, 0.27]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1.56 [-1.44, 4.55]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0.81 [-2.47, 4.10]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-0.55 [-2.89, 1.78]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3.16 [-1.22, 7.55]</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Replicates the difference-in-differences table from the main text, adding age, sex, race, education, and income as additive controls to each svyglm model. The top row shows the omnibus F-test for whether treatments jointly shift the partisan gap on each energy source; subsequent rows show the estimated change in the partisan gap (Liberal Democrats − Conservative Republicans) when moving from one condition to another, with 95% confidence intervals in brackets. Estimates use survey weights; standard errors and confidence intervals are design-based. *** p &lt; 0.001, ** p &lt; 0.01, * p &lt; 0.05, † p &lt; 0.10.</w:t>
                  </w:r>
                </w:p>
              </w:tc>
            </w:tr>
          </w:tbl>
          <w:bookmarkEnd w:id="18"/>
        </w:tc>
      </w:tr>
    </w:tbl>
    <w:p>
      <w:pPr>
        <w:pStyle w:val="BodyText"/>
      </w:pPr>
      <w:r>
        <w:t xml:space="preserve">One contrast crosses the conventional significance threshold once controls are added: for fossil fuels, the Trump-vs-climate shift in the partisan gap is significant at</w:t>
      </w:r>
      <w:r>
        <w:t xml:space="preserve"> </w:t>
      </w:r>
      <w:r>
        <w:rPr>
          <w:i/>
          <w:iCs/>
        </w:rPr>
        <w:t xml:space="preserve">p</w:t>
      </w:r>
      <w:r>
        <w:t xml:space="preserve"> </w:t>
      </w:r>
      <w:r>
        <w:t xml:space="preserve">= 0.050 in the main specification but only at</w:t>
      </w:r>
      <w:r>
        <w:t xml:space="preserve"> </w:t>
      </w:r>
      <w:r>
        <w:rPr>
          <w:i/>
          <w:iCs/>
        </w:rPr>
        <w:t xml:space="preserve">p</w:t>
      </w:r>
      <w:r>
        <w:t xml:space="preserve"> </w:t>
      </w:r>
      <w:r>
        <w:t xml:space="preserve">= 0.063 with controls. The point estimate itself is nearly unchanged (−5.4 vs. −4.98 percentage points, with heavily overlapping confidence intervals), so this reflects the estimate sitting at the edge of the</w:t>
      </w:r>
      <w:r>
        <w:t xml:space="preserve"> </w:t>
      </w:r>
      <w:r>
        <w:rPr>
          <w:i/>
          <w:iCs/>
        </w:rPr>
        <w:t xml:space="preserve">p</w:t>
      </w:r>
      <w:r>
        <w:t xml:space="preserve"> </w:t>
      </w:r>
      <w:r>
        <w:t xml:space="preserve">&lt; 0.05 boundary rather than a substantively different finding.</w:t>
      </w:r>
    </w:p>
    <w:bookmarkEnd w:id="19"/>
    <w:bookmarkStart w:id="20" w:name="preregistered-hypotheses"/>
    <w:p>
      <w:pPr>
        <w:pStyle w:val="Heading2"/>
      </w:pPr>
      <w:r>
        <w:t xml:space="preserve">Preregistered Hypotheses</w:t>
      </w:r>
    </w:p>
    <w:p>
      <w:pPr>
        <w:pStyle w:val="FirstParagraph"/>
      </w:pPr>
      <w:r>
        <w:t xml:space="preserve">In addition to the hypotheses present in the paper, I also preregistered other hypotheses that were not included in the paper. These include hypotheses about the effects of political beliefs on support/opposition to the climate change and Trump cues, as well as hypotheses about how the general impacts of the climate change and Trump cues, regardless of political ideology.</w:t>
      </w:r>
    </w:p>
    <w:p>
      <w:pPr>
        <w:pStyle w:val="BodyText"/>
      </w:pPr>
      <w:r>
        <w:t xml:space="preserve">CUES Conservative Republicans will be more supportive of Trump’s actions to increase the use of fossil fuels and decrease the use of renewable sources than those with other political beliefs</w:t>
      </w:r>
    </w:p>
    <w:p>
      <w:pPr>
        <w:pStyle w:val="BodyText"/>
      </w:pPr>
      <w:r>
        <w:t xml:space="preserve">Liberal Democrats will be more supportive of increasing the use of renewable sources to address climate change than those with other political beliefs</w:t>
      </w:r>
    </w:p>
    <w:p>
      <w:pPr>
        <w:pStyle w:val="BodyText"/>
      </w:pPr>
      <w:r>
        <w:t xml:space="preserve">ENERGY MIX Those who receive the Trump cue will support a higher percentage of fossil fuels than those in the climate change or control group</w:t>
      </w:r>
    </w:p>
    <w:p>
      <w:pPr>
        <w:pStyle w:val="BodyText"/>
      </w:pPr>
      <w:r>
        <w:t xml:space="preserve">Those who receive the climate cue will support a higher percentage of renewable energy sources (wind, solar, hydropower) than those in the Trump or control group</w:t>
      </w:r>
    </w:p>
    <w:bookmarkEnd w:id="20"/>
    <w:bookmarkStart w:id="23" w:name="X8fa569e8d96cdf2ba35af01571c37c856992c8a"/>
    <w:p>
      <w:pPr>
        <w:pStyle w:val="Heading2"/>
      </w:pPr>
      <w:r>
        <w:t xml:space="preserve">Preferred Energy Mix by Treatment Condition</w:t>
      </w:r>
    </w:p>
    <w:p>
      <w:pPr>
        <w:pStyle w:val="FirstParagraph"/>
      </w:pPr>
      <w:hyperlink w:anchor="tbl-condition-means-weighted">
        <w:r>
          <w:rPr>
            <w:rStyle w:val="Hyperlink"/>
          </w:rPr>
          <w:t xml:space="preserve">Table 7</w:t>
        </w:r>
      </w:hyperlink>
      <w:r>
        <w:t xml:space="preserve"> </w:t>
      </w:r>
      <w:r>
        <w:t xml:space="preserve">and</w:t>
      </w:r>
      <w:r>
        <w:t xml:space="preserve"> </w:t>
      </w:r>
      <w:hyperlink w:anchor="tbl-condition-means-unweighted">
        <w:r>
          <w:rPr>
            <w:rStyle w:val="Hyperlink"/>
          </w:rPr>
          <w:t xml:space="preserve">Table 8</w:t>
        </w:r>
      </w:hyperlink>
      <w:r>
        <w:t xml:space="preserve"> </w:t>
      </w:r>
      <w:r>
        <w:t xml:space="preserve">show the mean preferred percentage allocation for each energy source under each treatment condition, pooled across all respondents (i.e., not split by political beliefs). The p-value in each row tests whether the three condition means differ for that energy source (a design-based F-test for the weighted table, a one-way ANOVA for the unweighted table).</w:t>
      </w:r>
    </w:p>
    <w:tbl>
      <w:tblPr>
        <w:tblStyle w:val="Table"/>
        <w:tblW w:type="pct" w:w="5000"/>
        <w:tblLayout w:type="fixed"/>
        <w:tblLook w:firstRow="0" w:lastRow="0" w:firstColumn="0" w:lastColumn="0" w:noHBand="0" w:noVBand="0" w:val="0000"/>
      </w:tblPr>
      <w:tblGrid>
        <w:gridCol w:w="7920"/>
      </w:tblGrid>
      <w:tr>
        <w:tc>
          <w:tcPr/>
          <w:bookmarkStart w:id="21" w:name="tbl-condition-means-weighted"/>
          <w:p>
            <w:pPr>
              <w:jc w:val="center"/>
            </w:pPr>
            <w:pPr>
              <w:jc w:val="left"/>
              <w:spacing w:before="200"/>
              <w:pStyle w:val="ImageCaption"/>
            </w:pPr>
            <w:r>
              <w:t xml:space="preserve">Table 7: Mean Preferred Energy Mix by Treatment Condition (Weighted)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28"/>
              <w:gridCol w:w="997"/>
              <w:gridCol w:w="1008"/>
              <w:gridCol w:w="917"/>
              <w:gridCol w:w="1018"/>
            </w:tblGrid>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Energy 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Control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Climate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Trump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p-value</w:t>
                  </w:r>
                </w:p>
              </w:tc>
            </w:tr>
            <w:tr>
              <w:trPr>
                <w:trHeight w:val="5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Fossil Fuels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r>
            <w:tr>
              <w:trPr>
                <w:trHeight w:val="5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0.057†</w:t>
                  </w:r>
                </w:p>
              </w:tc>
            </w:tr>
            <w:tr>
              <w:trPr>
                <w:trHeight w:val="5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0.234</w:t>
                  </w:r>
                </w:p>
              </w:tc>
            </w:tr>
            <w:tr>
              <w:trPr>
                <w:trHeight w:val="5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Hydro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0.257</w:t>
                  </w:r>
                </w:p>
              </w:tc>
            </w:tr>
            <w:tr>
              <w:trPr>
                <w:trHeight w:val="53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Nuclear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6"/>
                      <w:szCs w:val="16"/>
                      <w:color w:val="000000"/>
                    </w:rPr>
                    <w:t xml:space="preserve">Note: Cell entries are weighted mean preferred percentage allocations by treatment condition, pooled across all respondents (not split by political beliefs). The p-value tests whether the three condition means differ (design-based F-test). *** p &lt; 0.001, ** p &lt; 0.01, * p &lt; 0.05, † p &lt; 0.10.</w:t>
                  </w:r>
                </w:p>
              </w:tc>
            </w:tr>
          </w:tbl>
          <w:bookmarkEnd w:id="21"/>
        </w:tc>
      </w:tr>
    </w:tbl>
    <w:tbl>
      <w:tblPr>
        <w:tblStyle w:val="Table"/>
        <w:tblW w:type="pct" w:w="5000"/>
        <w:tblLayout w:type="fixed"/>
        <w:tblLook w:firstRow="0" w:lastRow="0" w:firstColumn="0" w:lastColumn="0" w:noHBand="0" w:noVBand="0" w:val="0000"/>
      </w:tblPr>
      <w:tblGrid>
        <w:gridCol w:w="7920"/>
      </w:tblGrid>
      <w:tr>
        <w:tc>
          <w:tcPr/>
          <w:bookmarkStart w:id="22" w:name="tbl-condition-means-unweighted"/>
          <w:p>
            <w:pPr>
              <w:jc w:val="center"/>
            </w:pPr>
            <w:pPr>
              <w:jc w:val="left"/>
              <w:spacing w:before="200"/>
              <w:pStyle w:val="ImageCaption"/>
            </w:pPr>
            <w:r>
              <w:t xml:space="preserve">Table 8: Mean Preferred Energy Mix by Treatment Condition (Unweighted)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28"/>
              <w:gridCol w:w="997"/>
              <w:gridCol w:w="1008"/>
              <w:gridCol w:w="917"/>
              <w:gridCol w:w="1018"/>
            </w:tblGrid>
            <w:tr>
              <w:trPr>
                <w:trHeight w:val="55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Energy 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Control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Climate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Trump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p-value</w:t>
                  </w:r>
                </w:p>
              </w:tc>
            </w:tr>
            <w:tr>
              <w:trPr>
                <w:trHeight w:val="5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Fossil Fuels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w:t>
                  </w:r>
                </w:p>
              </w:tc>
            </w:tr>
            <w:tr>
              <w:trPr>
                <w:trHeight w:val="5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0.112</w:t>
                  </w:r>
                </w:p>
              </w:tc>
            </w:tr>
            <w:tr>
              <w:trPr>
                <w:trHeight w:val="5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0.745</w:t>
                  </w:r>
                </w:p>
              </w:tc>
            </w:tr>
            <w:tr>
              <w:trPr>
                <w:trHeight w:val="5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Hydro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0.082†</w:t>
                  </w:r>
                </w:p>
              </w:tc>
            </w:tr>
            <w:tr>
              <w:trPr>
                <w:trHeight w:val="53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Nuclear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6"/>
                      <w:szCs w:val="16"/>
                      <w:color w:val="000000"/>
                    </w:rPr>
                    <w:t xml:space="preserve">Note: Cell entries are unweighted mean preferred percentage allocations by treatment condition, pooled across all respondents (not split by political beliefs). The p-value tests whether the three condition means differ (one-way ANOVA). *** p &lt; 0.001, ** p &lt; 0.01, * p &lt; 0.05, † p &lt; 0.10.</w:t>
                  </w:r>
                </w:p>
              </w:tc>
            </w:tr>
          </w:tbl>
          <w:bookmarkEnd w:id="22"/>
        </w:tc>
      </w:tr>
    </w:tbl>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here:https://www.pewresearch.org/politics/fact-sheet/party-affiliation-fact-sheet-npors/.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Party or Climate? The Polarization of the US Public’s Energy Preferences</dc:title>
  <dc:creator/>
  <cp:keywords/>
  <dcterms:created xsi:type="dcterms:W3CDTF">2026-07-01T22:01:07Z</dcterms:created>
  <dcterms:modified xsi:type="dcterms:W3CDTF">2026-07-01T22:01:07Z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fig-cap-location">
    <vt:lpwstr>top</vt:lpwstr>
  </property>
  <property fmtid="{D5CDD505-2E9C-101B-9397-08002B2CF9AE}" pid="5" name="fontfamily">
    <vt:lpwstr>ebgaramond</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bibliography">
    <vt:lpwstr>False</vt:lpwstr>
  </property>
  <property fmtid="{D5CDD505-2E9C-101B-9397-08002B2CF9AE}" pid="11" name="toc-title">
    <vt:lpwstr>Table of contents</vt:lpwstr>
  </property>
</Properties>
</file>