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44A5" w14:textId="77777777" w:rsidR="00A77B3E" w:rsidRDefault="00000000">
      <w:pPr>
        <w:pStyle w:val="TableOfContentsHeading"/>
      </w:pPr>
      <w:bookmarkStart w:id="0" w:name="TOC_PLACEHOLDER"/>
      <w:r>
        <w:t>Table of Contents</w:t>
      </w:r>
    </w:p>
    <w:p w14:paraId="3BE444A6" w14:textId="77777777" w:rsidR="00295377" w:rsidRDefault="00000000">
      <w:pPr>
        <w:pStyle w:val="TOC1"/>
        <w:tabs>
          <w:tab w:val="right" w:leader="dot" w:pos="9350"/>
        </w:tabs>
        <w:rPr>
          <w:noProof/>
          <w:sz w:val="22"/>
        </w:rPr>
      </w:pPr>
      <w:r>
        <w:fldChar w:fldCharType="begin"/>
      </w:r>
      <w:r w:rsidR="00A77B3E">
        <w:instrText>TOC \o "1-9" \h \z \u</w:instrText>
      </w:r>
      <w:r>
        <w:fldChar w:fldCharType="separate"/>
      </w:r>
      <w:hyperlink w:anchor="_Toc256000002" w:history="1">
        <w:r>
          <w:rPr>
            <w:rStyle w:val="Hyperlink"/>
          </w:rPr>
          <w:t>References</w:t>
        </w:r>
        <w:r>
          <w:tab/>
        </w:r>
        <w:r>
          <w:fldChar w:fldCharType="begin"/>
        </w:r>
        <w:r>
          <w:instrText xml:space="preserve"> PAGEREF _Toc256000002 \h </w:instrText>
        </w:r>
        <w:r>
          <w:fldChar w:fldCharType="separate"/>
        </w:r>
        <w:r>
          <w:t>4</w:t>
        </w:r>
        <w:r>
          <w:fldChar w:fldCharType="end"/>
        </w:r>
      </w:hyperlink>
    </w:p>
    <w:p w14:paraId="3BE444A7" w14:textId="77777777" w:rsidR="00A77B3E" w:rsidRDefault="00000000">
      <w:pPr>
        <w:pStyle w:val="TableOfContentsHeading"/>
      </w:pPr>
      <w:r>
        <w:fldChar w:fldCharType="end"/>
      </w:r>
      <w:r>
        <w:br w:type="page"/>
      </w:r>
      <w:bookmarkEnd w:id="0"/>
    </w:p>
    <w:p w14:paraId="3BE444A8" w14:textId="77777777" w:rsidR="00295377" w:rsidRDefault="00A77B3E">
      <w:r>
        <w:rPr>
          <w:color w:val="000000"/>
        </w:rPr>
        <w:t>Political and partisan cues play a significant role in shaping public views about energy policies, often reinforcing existing ideological divides. Multiple studies illuminate how partisan affiliation and political ideology influence the public’s attitudes toward various aspects of energy, including renewable energy, climate change, and the stringency of environmental regulation.</w:t>
      </w:r>
    </w:p>
    <w:p w14:paraId="3BE444A9" w14:textId="77777777" w:rsidR="00295377" w:rsidRDefault="00295377"/>
    <w:p w14:paraId="3BE444AA" w14:textId="77777777" w:rsidR="00295377" w:rsidRDefault="00000000">
      <w:r>
        <w:rPr>
          <w:color w:val="000000"/>
        </w:rPr>
        <w:t xml:space="preserve">Firstly, partisanship is perhaps the strongest and most consistent determinant of public opinion on energy policy. Analysis of U.S. survey data from the National Surveys on Energy and Environment, the Climate Change in the American Mind survey, and Gallup Poll Social Series highlights that Democrats generally demonstrate stronger support for renewable energy technologies, environmental protection measures, and policies aimed at reducing fossil fuel use. In contrast, Republicans tend to be less supportive of these policies, fostering a growing partisan wedge in attitudes toward energy transition and climate action. Importantly, the divide between Democrats and Republicans on energy policy preferences has increased over time, paralleling general political polarization trends in the United States. Moreover, support for policies generally declines when explicit costs are clarified, and these declines are similar across party lines, but the baseline support differs markedly by partisan identity </w:t>
      </w:r>
      <w:hyperlink w:anchor="0db221bfb62336f39720fe0f9c5ad83a_ref" w:history="1">
        <w:r>
          <w:rPr>
            <w:rFonts w:ascii="Times New Roman" w:eastAsia="Times New Roman" w:hAnsi="Times New Roman" w:cs="Times New Roman"/>
            <w:color w:val="0000EE"/>
            <w:sz w:val="24"/>
            <w:u w:val="single" w:color="0000EE"/>
          </w:rPr>
          <w:t>(Bergquist et al., 2020)</w:t>
        </w:r>
      </w:hyperlink>
      <w:r>
        <w:rPr>
          <w:color w:val="000000"/>
        </w:rPr>
        <w:t>.</w:t>
      </w:r>
    </w:p>
    <w:p w14:paraId="3BE444AB" w14:textId="77777777" w:rsidR="00295377" w:rsidRDefault="00295377"/>
    <w:p w14:paraId="3BE444AC" w14:textId="77777777" w:rsidR="00295377" w:rsidRDefault="00000000">
      <w:r>
        <w:rPr>
          <w:color w:val="000000"/>
        </w:rPr>
        <w:t xml:space="preserve">The effect of partisan cues operates primarily by boosting support for policies endorsed by co-partisan elites rather than by altering underlying ideological preferences. One study finds that while partisan cues from politicians increase support for specific energy or environmental policies slightly, these cues cannot easily shift the foundational opinions of party supporters, especially when elite policy positions diverge from public preferences. This points to a constrained capacity of political elites to sway public attitudes when policies contradict core partisan or ideological predispositions in this highly polarized context </w:t>
      </w:r>
      <w:hyperlink w:anchor="5d47f52c0ee637d58efc65bff3b220c7_ref" w:history="1">
        <w:r>
          <w:rPr>
            <w:rFonts w:ascii="Times New Roman" w:eastAsia="Times New Roman" w:hAnsi="Times New Roman" w:cs="Times New Roman"/>
            <w:color w:val="0000EE"/>
            <w:sz w:val="24"/>
            <w:u w:val="single" w:color="0000EE"/>
          </w:rPr>
          <w:t>(Peterson, 2018)</w:t>
        </w:r>
      </w:hyperlink>
      <w:r>
        <w:rPr>
          <w:color w:val="000000"/>
        </w:rPr>
        <w:t>.</w:t>
      </w:r>
    </w:p>
    <w:p w14:paraId="3BE444AD" w14:textId="77777777" w:rsidR="00295377" w:rsidRDefault="00295377"/>
    <w:p w14:paraId="3BE444AE" w14:textId="77777777" w:rsidR="00295377" w:rsidRDefault="00000000">
      <w:r>
        <w:rPr>
          <w:color w:val="000000"/>
        </w:rPr>
        <w:t xml:space="preserve">Political ideology also shapes preferences for the stringency of environmental policies related to energy. Counterintuitively, research on OECD countries reveals that leftist governments have sometimes implemented less stringent environmental policies than might be expected given their ideologies. This may reflect complex trade-offs and institutional preferences, including interactions with law-and-order attitudes or electoral politics that temper environmental stringency even among left-leaning parties </w:t>
      </w:r>
      <w:hyperlink w:anchor="887e3d49381e3696ae1b1d244f8d37c0_ref" w:history="1">
        <w:r>
          <w:rPr>
            <w:rFonts w:ascii="Times New Roman" w:eastAsia="Times New Roman" w:hAnsi="Times New Roman" w:cs="Times New Roman"/>
            <w:color w:val="0000EE"/>
            <w:sz w:val="24"/>
            <w:u w:val="single" w:color="0000EE"/>
          </w:rPr>
          <w:t>(Tawiah, 2022)</w:t>
        </w:r>
      </w:hyperlink>
      <w:r>
        <w:rPr>
          <w:color w:val="000000"/>
        </w:rPr>
        <w:t>.</w:t>
      </w:r>
    </w:p>
    <w:p w14:paraId="3BE444AF" w14:textId="77777777" w:rsidR="00295377" w:rsidRDefault="00295377"/>
    <w:p w14:paraId="3BE444B0" w14:textId="77777777" w:rsidR="00295377" w:rsidRDefault="00000000">
      <w:r>
        <w:rPr>
          <w:color w:val="000000"/>
        </w:rPr>
        <w:t xml:space="preserve">At the state level within the U.S., energy policy legislation is deeply affected by partisan polarization and legislative gridlock. However, legislators have developed strategies to overcome polarization, such as aligning renewable energy policy with business interests, transferring some decision-making authority to public service commissions (which may be less partisan), and building stakeholder consensus through consultation processes. Such maneuvers indicate an awareness of the political barriers posed by partisan divides and a pragmatic effort to advance energy transition agendas despite these divides </w:t>
      </w:r>
      <w:hyperlink w:anchor="1ad112b2516e3ef08bcc1285f959c5e4_ref" w:history="1">
        <w:r>
          <w:rPr>
            <w:rFonts w:ascii="Times New Roman" w:eastAsia="Times New Roman" w:hAnsi="Times New Roman" w:cs="Times New Roman"/>
            <w:color w:val="0000EE"/>
            <w:sz w:val="24"/>
            <w:u w:val="single" w:color="0000EE"/>
          </w:rPr>
          <w:t>(Brown &amp; Hess, 2016)</w:t>
        </w:r>
      </w:hyperlink>
      <w:r>
        <w:rPr>
          <w:color w:val="000000"/>
        </w:rPr>
        <w:t>.</w:t>
      </w:r>
    </w:p>
    <w:p w14:paraId="3BE444B1" w14:textId="77777777" w:rsidR="00295377" w:rsidRDefault="00295377"/>
    <w:p w14:paraId="3BE444B2" w14:textId="77777777" w:rsidR="00295377" w:rsidRDefault="00000000">
      <w:r>
        <w:rPr>
          <w:color w:val="000000"/>
        </w:rPr>
        <w:t xml:space="preserve">In addition to partisanship, broader forms of institutional trust influence public support for energy transition policies. While narrow political trust in the state correlates mainly with support for fossil fuel taxation, trust extending to non-state institutions (such as regulatory bodies, NGOs, or international organizations) is associated with greater support for diverse energy policies, including subsidies for renewables and just transition measures for workers affected by environmental policies. This suggests that beyond partisan cues, institutional confidence shapes policy attitudes, potentially moderating partisan divides in ways that transcend party affiliation </w:t>
      </w:r>
      <w:hyperlink w:anchor="b800d6c2e79e3cb8a396dc962fc5f663_ref" w:history="1">
        <w:r>
          <w:rPr>
            <w:rFonts w:ascii="Times New Roman" w:eastAsia="Times New Roman" w:hAnsi="Times New Roman" w:cs="Times New Roman"/>
            <w:color w:val="0000EE"/>
            <w:sz w:val="24"/>
            <w:u w:val="single" w:color="0000EE"/>
          </w:rPr>
          <w:t>(Bjarnadóttir et al., 2024)</w:t>
        </w:r>
      </w:hyperlink>
      <w:r>
        <w:rPr>
          <w:color w:val="000000"/>
        </w:rPr>
        <w:t>.</w:t>
      </w:r>
    </w:p>
    <w:p w14:paraId="3BE444B3" w14:textId="77777777" w:rsidR="00295377" w:rsidRDefault="00295377"/>
    <w:p w14:paraId="3BE444B4" w14:textId="77777777" w:rsidR="00295377" w:rsidRDefault="00000000">
      <w:r>
        <w:rPr>
          <w:color w:val="000000"/>
        </w:rPr>
        <w:t xml:space="preserve">Further complexity arises when considering the intersection of political identity with demographic factors such as age. Younger adults in the U.S. consistently show more favorable opinions toward renewable energy development and recognize the reality of anthropogenic climate change more often than older adults. These generational differences interact with partisan divisions, potentially shifting political dynamics around energy over time as younger cohorts replace older ones electorally. Yet, despite events that might be expected to influence opinions </w:t>
      </w:r>
      <w:r>
        <w:rPr>
          <w:color w:val="000000"/>
        </w:rPr>
        <w:lastRenderedPageBreak/>
        <w:t xml:space="preserve">(such as major hurricanes), political divisions remain robust, emphasizing the strength of partisan identity in framing energy attitudes </w:t>
      </w:r>
      <w:hyperlink w:anchor="f9fdb2cf305333f885db769e41edcf99_ref" w:history="1">
        <w:r>
          <w:rPr>
            <w:rFonts w:ascii="Times New Roman" w:eastAsia="Times New Roman" w:hAnsi="Times New Roman" w:cs="Times New Roman"/>
            <w:color w:val="0000EE"/>
            <w:sz w:val="24"/>
            <w:u w:val="single" w:color="0000EE"/>
          </w:rPr>
          <w:t>(Hamilton et al., 2019)</w:t>
        </w:r>
      </w:hyperlink>
      <w:r>
        <w:rPr>
          <w:color w:val="000000"/>
        </w:rPr>
        <w:t>.</w:t>
      </w:r>
    </w:p>
    <w:p w14:paraId="3BE444B5" w14:textId="77777777" w:rsidR="00295377" w:rsidRDefault="00295377"/>
    <w:p w14:paraId="3BE444B6" w14:textId="77777777" w:rsidR="00295377" w:rsidRDefault="00000000">
      <w:r>
        <w:rPr>
          <w:color w:val="000000"/>
        </w:rPr>
        <w:t xml:space="preserve">In sum, political and partisan cues shape views about energy by reinforcing ideological commitments and anchoring individuals’ policy preferences within their party’s stance. Partisan elites can modestly influence policy support through cues but often struggle to shift deeper attitudes, particularly when elite positions diverge from the base. Political ideology predicts both support for renewable energy and environmental policy stringency, though actual policy outcomes may deviate from ideological expectations due to institutional and electoral considerations. Trust in government and broader institutions further shapes public attitudes, providing an additional layer beyond pure partisanship. Legislative strategies to break partisan gridlock demonstrate the practical challenges of policymaking in this domain. Together, these findings highlight a landscape where partisan identity strongly frames energy policy views, but where institutional trust and demographic change also play important roles in shaping public opinion dynamics </w:t>
      </w:r>
      <w:hyperlink w:anchor="5d47f52c0ee637d58efc65bff3b220c7_ref" w:history="1">
        <w:r>
          <w:rPr>
            <w:rFonts w:ascii="Times New Roman" w:eastAsia="Times New Roman" w:hAnsi="Times New Roman" w:cs="Times New Roman"/>
            <w:color w:val="0000EE"/>
            <w:sz w:val="24"/>
            <w:u w:val="single" w:color="0000EE"/>
          </w:rPr>
          <w:t>(Bergquist et al., 2020; Bjarnadóttir et al., 2024; Brown &amp; Hess, 2016; Hamilton et al., 2019; Peterson, 2018; Tawiah, 2022)</w:t>
        </w:r>
      </w:hyperlink>
      <w:r>
        <w:rPr>
          <w:color w:val="000000"/>
        </w:rPr>
        <w:t>.</w:t>
      </w:r>
    </w:p>
    <w:p w14:paraId="3BE444B7" w14:textId="77777777" w:rsidR="00295377" w:rsidRDefault="00000000">
      <w:pPr>
        <w:pStyle w:val="Heading1"/>
      </w:pPr>
      <w:r>
        <w:br w:type="page"/>
      </w:r>
      <w:bookmarkStart w:id="1" w:name="_Toc256000002"/>
      <w:r>
        <w:lastRenderedPageBreak/>
        <w:t>References</w:t>
      </w:r>
      <w:bookmarkEnd w:id="1"/>
    </w:p>
    <w:p w14:paraId="3BE444B8" w14:textId="77777777" w:rsidR="00295377" w:rsidRDefault="00000000">
      <w:bookmarkStart w:id="2" w:name="0db221bfb62336f39720fe0f9c5ad83a_ref"/>
      <w:r>
        <w:rPr>
          <w:rFonts w:ascii="Times New Roman" w:eastAsia="Times New Roman" w:hAnsi="Times New Roman" w:cs="Times New Roman"/>
          <w:sz w:val="24"/>
        </w:rPr>
        <w:t xml:space="preserve">Bergquist, P., Konisky, D. M., &amp; Kotcher, J. (2020). Energy policy and public opinion: patterns, trends and future directions. </w:t>
      </w:r>
      <w:r>
        <w:rPr>
          <w:rFonts w:ascii="Times New Roman" w:eastAsia="Times New Roman" w:hAnsi="Times New Roman" w:cs="Times New Roman"/>
          <w:i/>
          <w:iCs/>
          <w:sz w:val="24"/>
        </w:rPr>
        <w:t>Progress in Energy</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2</w:t>
      </w:r>
      <w:r>
        <w:rPr>
          <w:rFonts w:ascii="Times New Roman" w:eastAsia="Times New Roman" w:hAnsi="Times New Roman" w:cs="Times New Roman"/>
          <w:sz w:val="24"/>
        </w:rPr>
        <w:t>(3), 032003. https://doi.org/10.1088/2516-1083/ab9592</w:t>
      </w:r>
    </w:p>
    <w:bookmarkEnd w:id="2"/>
    <w:p w14:paraId="3BE444B9" w14:textId="77777777" w:rsidR="00295377" w:rsidRDefault="00295377"/>
    <w:p w14:paraId="3BE444BA" w14:textId="77777777" w:rsidR="00295377" w:rsidRDefault="00000000">
      <w:bookmarkStart w:id="3" w:name="b800d6c2e79e3cb8a396dc962fc5f663_ref"/>
      <w:r>
        <w:rPr>
          <w:rFonts w:ascii="Times New Roman" w:eastAsia="Times New Roman" w:hAnsi="Times New Roman" w:cs="Times New Roman"/>
          <w:sz w:val="24"/>
        </w:rPr>
        <w:t xml:space="preserve">Bjarnadóttir, S., Fairbrother, M., Ólafsdóttir, S., &amp; Beckfield, J. (2024). When trusting the state is not enough: broader institutional trust and public support for energy transition policies. </w:t>
      </w:r>
      <w:r>
        <w:rPr>
          <w:rFonts w:ascii="Times New Roman" w:eastAsia="Times New Roman" w:hAnsi="Times New Roman" w:cs="Times New Roman"/>
          <w:i/>
          <w:iCs/>
          <w:sz w:val="24"/>
        </w:rPr>
        <w:t>Environmental Sociology</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11</w:t>
      </w:r>
      <w:r>
        <w:rPr>
          <w:rFonts w:ascii="Times New Roman" w:eastAsia="Times New Roman" w:hAnsi="Times New Roman" w:cs="Times New Roman"/>
          <w:sz w:val="24"/>
        </w:rPr>
        <w:t xml:space="preserve">(1), 40–51. </w:t>
      </w:r>
      <w:bookmarkStart w:id="4" w:name="OLE_LINK23"/>
      <w:r>
        <w:rPr>
          <w:rFonts w:ascii="Times New Roman" w:eastAsia="Times New Roman" w:hAnsi="Times New Roman" w:cs="Times New Roman"/>
          <w:sz w:val="24"/>
        </w:rPr>
        <w:t>https://doi.org/10.1080/23251042.2024.2381152</w:t>
      </w:r>
      <w:bookmarkEnd w:id="4"/>
    </w:p>
    <w:bookmarkEnd w:id="3"/>
    <w:p w14:paraId="3BE444BB" w14:textId="77777777" w:rsidR="00295377" w:rsidRDefault="00295377"/>
    <w:p w14:paraId="3BE444BC" w14:textId="77777777" w:rsidR="00295377" w:rsidRDefault="00000000">
      <w:bookmarkStart w:id="5" w:name="1ad112b2516e3ef08bcc1285f959c5e4_ref"/>
      <w:r>
        <w:rPr>
          <w:rFonts w:ascii="Times New Roman" w:eastAsia="Times New Roman" w:hAnsi="Times New Roman" w:cs="Times New Roman"/>
          <w:sz w:val="24"/>
        </w:rPr>
        <w:t xml:space="preserve">Brown, K. P., &amp; Hess, D. J. (2016). Pathways to policy: Partisanship and bipartisanship in renewable energy legislation. </w:t>
      </w:r>
      <w:r>
        <w:rPr>
          <w:rFonts w:ascii="Times New Roman" w:eastAsia="Times New Roman" w:hAnsi="Times New Roman" w:cs="Times New Roman"/>
          <w:i/>
          <w:iCs/>
          <w:sz w:val="24"/>
        </w:rPr>
        <w:t>Environmental Politics</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25</w:t>
      </w:r>
      <w:r>
        <w:rPr>
          <w:rFonts w:ascii="Times New Roman" w:eastAsia="Times New Roman" w:hAnsi="Times New Roman" w:cs="Times New Roman"/>
          <w:sz w:val="24"/>
        </w:rPr>
        <w:t xml:space="preserve">(6), 971–990. </w:t>
      </w:r>
      <w:bookmarkStart w:id="6" w:name="OLE_LINK24"/>
      <w:r>
        <w:rPr>
          <w:rFonts w:ascii="Times New Roman" w:eastAsia="Times New Roman" w:hAnsi="Times New Roman" w:cs="Times New Roman"/>
          <w:sz w:val="24"/>
        </w:rPr>
        <w:t>https://doi.org/10.1080/09644016.2016.1203523</w:t>
      </w:r>
      <w:bookmarkEnd w:id="6"/>
    </w:p>
    <w:bookmarkEnd w:id="5"/>
    <w:p w14:paraId="3BE444BD" w14:textId="77777777" w:rsidR="00295377" w:rsidRDefault="00295377"/>
    <w:p w14:paraId="3BE444BE" w14:textId="77777777" w:rsidR="00295377" w:rsidRDefault="00000000">
      <w:bookmarkStart w:id="7" w:name="f9fdb2cf305333f885db769e41edcf99_ref"/>
      <w:r>
        <w:rPr>
          <w:rFonts w:ascii="Times New Roman" w:eastAsia="Times New Roman" w:hAnsi="Times New Roman" w:cs="Times New Roman"/>
          <w:sz w:val="24"/>
        </w:rPr>
        <w:t xml:space="preserve">Hamilton, L. C., Hartter, J., &amp; Bell, E. (2019). Generation gaps in US public opinion on renewable energy and climate change. </w:t>
      </w:r>
      <w:r>
        <w:rPr>
          <w:rFonts w:ascii="Times New Roman" w:eastAsia="Times New Roman" w:hAnsi="Times New Roman" w:cs="Times New Roman"/>
          <w:i/>
          <w:iCs/>
          <w:sz w:val="24"/>
        </w:rPr>
        <w:t>PLOS ONE</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14</w:t>
      </w:r>
      <w:r>
        <w:rPr>
          <w:rFonts w:ascii="Times New Roman" w:eastAsia="Times New Roman" w:hAnsi="Times New Roman" w:cs="Times New Roman"/>
          <w:sz w:val="24"/>
        </w:rPr>
        <w:t>(7), e0217608. https://doi.org/10.1371/journal.pone.0217608</w:t>
      </w:r>
    </w:p>
    <w:bookmarkEnd w:id="7"/>
    <w:p w14:paraId="3BE444BF" w14:textId="77777777" w:rsidR="00295377" w:rsidRDefault="00295377"/>
    <w:p w14:paraId="3BE444C0" w14:textId="77777777" w:rsidR="00295377" w:rsidRDefault="00000000">
      <w:bookmarkStart w:id="8" w:name="5d47f52c0ee637d58efc65bff3b220c7_ref"/>
      <w:r>
        <w:rPr>
          <w:rFonts w:ascii="Times New Roman" w:eastAsia="Times New Roman" w:hAnsi="Times New Roman" w:cs="Times New Roman"/>
          <w:sz w:val="24"/>
        </w:rPr>
        <w:t xml:space="preserve">Peterson, E. (2018). The Scope of Partisan Influence on Policy Opinion. </w:t>
      </w:r>
      <w:r>
        <w:rPr>
          <w:rFonts w:ascii="Times New Roman" w:eastAsia="Times New Roman" w:hAnsi="Times New Roman" w:cs="Times New Roman"/>
          <w:i/>
          <w:iCs/>
          <w:sz w:val="24"/>
        </w:rPr>
        <w:t>Political Psychology</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40</w:t>
      </w:r>
      <w:r>
        <w:rPr>
          <w:rFonts w:ascii="Times New Roman" w:eastAsia="Times New Roman" w:hAnsi="Times New Roman" w:cs="Times New Roman"/>
          <w:sz w:val="24"/>
        </w:rPr>
        <w:t>(2), 335–353. https://doi.org/10.1111/pops.12495</w:t>
      </w:r>
    </w:p>
    <w:bookmarkEnd w:id="8"/>
    <w:p w14:paraId="3BE444C1" w14:textId="77777777" w:rsidR="00295377" w:rsidRDefault="00295377"/>
    <w:p w14:paraId="3BE444C2" w14:textId="77777777" w:rsidR="00295377" w:rsidRDefault="00000000">
      <w:bookmarkStart w:id="9" w:name="887e3d49381e3696ae1b1d244f8d37c0_ref"/>
      <w:r>
        <w:rPr>
          <w:rFonts w:ascii="Times New Roman" w:eastAsia="Times New Roman" w:hAnsi="Times New Roman" w:cs="Times New Roman"/>
          <w:sz w:val="24"/>
        </w:rPr>
        <w:t xml:space="preserve">Tawiah, V. (2022). Does political ideology affect the stringency of environmental policy? </w:t>
      </w:r>
      <w:r>
        <w:rPr>
          <w:rFonts w:ascii="Times New Roman" w:eastAsia="Times New Roman" w:hAnsi="Times New Roman" w:cs="Times New Roman"/>
          <w:i/>
          <w:iCs/>
          <w:sz w:val="24"/>
        </w:rPr>
        <w:t>Politics &amp;amp; Policy</w:t>
      </w:r>
      <w:r>
        <w:rPr>
          <w:rFonts w:ascii="Times New Roman" w:eastAsia="Times New Roman" w:hAnsi="Times New Roman" w:cs="Times New Roman"/>
          <w:sz w:val="24"/>
        </w:rPr>
        <w:t xml:space="preserve">, </w:t>
      </w:r>
      <w:r>
        <w:rPr>
          <w:rFonts w:ascii="Times New Roman" w:eastAsia="Times New Roman" w:hAnsi="Times New Roman" w:cs="Times New Roman"/>
          <w:i/>
          <w:iCs/>
          <w:sz w:val="24"/>
        </w:rPr>
        <w:t>50</w:t>
      </w:r>
      <w:r>
        <w:rPr>
          <w:rFonts w:ascii="Times New Roman" w:eastAsia="Times New Roman" w:hAnsi="Times New Roman" w:cs="Times New Roman"/>
          <w:sz w:val="24"/>
        </w:rPr>
        <w:t>(3), 631–653. https://doi.org/10.1111/polp.12465</w:t>
      </w:r>
    </w:p>
    <w:bookmarkEnd w:id="9"/>
    <w:p w14:paraId="3BE444C3" w14:textId="77777777" w:rsidR="00295377" w:rsidRDefault="00295377"/>
    <w:p w14:paraId="3BE444C4" w14:textId="77777777" w:rsidR="00295377" w:rsidRDefault="00295377"/>
    <w:sectPr w:rsidR="00295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B4BB6"/>
    <w:rsid w:val="00247FF5"/>
    <w:rsid w:val="00295377"/>
    <w:rsid w:val="002A3386"/>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E444A5"/>
  <w15:docId w15:val="{8EFCFE4A-B5AF-6349-83C0-73CD460A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OfContentsHeading">
    <w:name w:val="TableOfContentsHeading"/>
    <w:pPr>
      <w:spacing w:after="200"/>
      <w:jc w:val="center"/>
    </w:pPr>
    <w:rPr>
      <w:b/>
      <w:sz w:val="32"/>
    </w:r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Nowlin, Matthew Christopher</cp:lastModifiedBy>
  <cp:revision>3</cp:revision>
  <dcterms:created xsi:type="dcterms:W3CDTF">2026-06-01T14:26:00Z</dcterms:created>
  <dcterms:modified xsi:type="dcterms:W3CDTF">2026-06-01T16:02:00Z</dcterms:modified>
</cp:coreProperties>
</file>