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54EB" w14:textId="77777777" w:rsidR="00EF0C79" w:rsidRDefault="00000000">
      <w:pPr>
        <w:pStyle w:val="Title"/>
      </w:pPr>
      <w:r>
        <w:t>US energy polarization briefing</w:t>
      </w:r>
    </w:p>
    <w:p w14:paraId="37C69D27" w14:textId="77777777" w:rsidR="00EF0C79" w:rsidRDefault="00000000">
      <w:pPr>
        <w:pStyle w:val="Date"/>
      </w:pPr>
      <w:r>
        <w:t>June 3, 2026</w:t>
      </w:r>
    </w:p>
    <w:p w14:paraId="5987BC94" w14:textId="77777777" w:rsidR="00EF0C79" w:rsidRDefault="00000000">
      <w:pPr>
        <w:pStyle w:val="FirstParagraph"/>
      </w:pPr>
      <w:r>
        <w:t>U.S. public opinion on energy sources is polarized, but not in the same way across fossil fuels, renewables, and nuclear energy. The clearest pattern is that partisanship is the main organizing axis overall, with Republicans and conservatives tending to back fossil-fuel development more and Democrats and liberals tending to favor restrictions and cleaner energy policies more (Bergquist et al. 2020; Mayer 2019). But the size and form of the divide differ by source: fossil fuels are the most consistently polarized, renewables have broader cross-party appeal despite a real partisan gap, and nuclear attitudes look more contingent and mixed than either of the other two (Davis and Fisk 2014; Howell et al. 2019; Hamilton et al. 2018; Gupta et al. 2019; Ter-Mkrtchyan et al. 2026).</w:t>
      </w:r>
    </w:p>
    <w:p w14:paraId="475A6AAF" w14:textId="77777777" w:rsidR="00EF0C79" w:rsidRDefault="00000000">
      <w:pPr>
        <w:pStyle w:val="BodyText"/>
      </w:pPr>
      <w:r>
        <w:t>For a fast private read, the main practical point is that “energy polarization” is too blunt a label for this literature. The strongest evidence supports a source-specific account: fossil fuels are sorted through party identity and risk-benefit perceptions; renewables are less polarized than climate change and can attract conservatives under non-climate frames; nuclear support depends more on perceived risk, energy security, and climate beliefs than on a single stable partisan split (Howell et al. 2019; Feldman and Hart 2018; Gustafson et al. 2020; Hazboun et al. 2020; Gupta et al. 2019; Ter-Mkrtchyan et al. 2026).</w:t>
      </w:r>
    </w:p>
    <w:p w14:paraId="72BB8B25" w14:textId="77777777" w:rsidR="00EF0C79" w:rsidRDefault="00000000">
      <w:pPr>
        <w:pStyle w:val="Heading2"/>
        <w:keepNext w:val="0"/>
      </w:pPr>
      <w:bookmarkStart w:id="0" w:name="key-briefing-table"/>
      <w:r>
        <w:t>Key briefing table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EF0C79" w14:paraId="0A25A1C1" w14:textId="77777777" w:rsidTr="00EF0C79">
        <w:trPr>
          <w:cnfStyle w:val="100000000000" w:firstRow="1" w:lastRow="0" w:firstColumn="0" w:lastColumn="0" w:oddVBand="0" w:evenVBand="0" w:oddHBand="0" w:evenHBand="0" w:firstRowFirstColumn="0" w:firstRowLastColumn="0" w:lastRowFirstColumn="0" w:lastRowLastColumn="0"/>
          <w:cantSplit/>
          <w:tblHeader/>
        </w:trPr>
        <w:tc>
          <w:tcPr>
            <w:tcW w:w="1584" w:type="dxa"/>
          </w:tcPr>
          <w:p w14:paraId="1FD606E6" w14:textId="77777777" w:rsidR="00EF0C79" w:rsidRDefault="00000000">
            <w:pPr>
              <w:pStyle w:val="Compact"/>
              <w:jc w:val="left"/>
            </w:pPr>
            <w:r>
              <w:t>Cross-cutting question</w:t>
            </w:r>
          </w:p>
        </w:tc>
        <w:tc>
          <w:tcPr>
            <w:tcW w:w="1584" w:type="dxa"/>
          </w:tcPr>
          <w:p w14:paraId="70D37427" w14:textId="77777777" w:rsidR="00EF0C79" w:rsidRDefault="00000000">
            <w:pPr>
              <w:pStyle w:val="Compact"/>
              <w:jc w:val="left"/>
            </w:pPr>
            <w:r>
              <w:t>Fossil fuels</w:t>
            </w:r>
          </w:p>
        </w:tc>
        <w:tc>
          <w:tcPr>
            <w:tcW w:w="1584" w:type="dxa"/>
          </w:tcPr>
          <w:p w14:paraId="7B1BEAC2" w14:textId="77777777" w:rsidR="00EF0C79" w:rsidRDefault="00000000">
            <w:pPr>
              <w:pStyle w:val="Compact"/>
              <w:jc w:val="left"/>
            </w:pPr>
            <w:r>
              <w:t>Renewables</w:t>
            </w:r>
          </w:p>
        </w:tc>
        <w:tc>
          <w:tcPr>
            <w:tcW w:w="1584" w:type="dxa"/>
          </w:tcPr>
          <w:p w14:paraId="790A1892" w14:textId="77777777" w:rsidR="00EF0C79" w:rsidRDefault="00000000">
            <w:pPr>
              <w:pStyle w:val="Compact"/>
              <w:jc w:val="left"/>
            </w:pPr>
            <w:r>
              <w:t>Nuclear</w:t>
            </w:r>
          </w:p>
        </w:tc>
        <w:tc>
          <w:tcPr>
            <w:tcW w:w="1584" w:type="dxa"/>
          </w:tcPr>
          <w:p w14:paraId="135DA23C" w14:textId="77777777" w:rsidR="00EF0C79" w:rsidRDefault="00000000">
            <w:pPr>
              <w:pStyle w:val="Compact"/>
              <w:jc w:val="left"/>
            </w:pPr>
            <w:r>
              <w:t>Bottom line for the review</w:t>
            </w:r>
          </w:p>
        </w:tc>
      </w:tr>
      <w:tr w:rsidR="00EF0C79" w14:paraId="0A55B06C" w14:textId="77777777" w:rsidTr="00EF0C79">
        <w:trPr>
          <w:cantSplit/>
        </w:trPr>
        <w:tc>
          <w:tcPr>
            <w:tcW w:w="1584" w:type="dxa"/>
          </w:tcPr>
          <w:p w14:paraId="60BB274D" w14:textId="77777777" w:rsidR="00EF0C79" w:rsidRDefault="00000000">
            <w:pPr>
              <w:pStyle w:val="Compact"/>
              <w:jc w:val="left"/>
            </w:pPr>
            <w:r>
              <w:t>Who is polarized</w:t>
            </w:r>
          </w:p>
        </w:tc>
        <w:tc>
          <w:tcPr>
            <w:tcW w:w="1584" w:type="dxa"/>
          </w:tcPr>
          <w:p w14:paraId="06DFAC0A" w14:textId="77777777" w:rsidR="00EF0C79" w:rsidRDefault="00000000">
            <w:pPr>
              <w:pStyle w:val="Compact"/>
              <w:jc w:val="left"/>
            </w:pPr>
            <w:r>
              <w:t>Support for fracking, coal, and related extraction is higher among Republicans and conservatives, while opposition and demand for regulation are stronger among Democrats and liberals (Davis and Fisk 2014; Hart et al. 2021).</w:t>
            </w:r>
          </w:p>
        </w:tc>
        <w:tc>
          <w:tcPr>
            <w:tcW w:w="1584" w:type="dxa"/>
          </w:tcPr>
          <w:p w14:paraId="4DD7A0CC" w14:textId="77777777" w:rsidR="00EF0C79" w:rsidRDefault="00000000">
            <w:pPr>
              <w:pStyle w:val="Compact"/>
              <w:jc w:val="left"/>
            </w:pPr>
            <w:r>
              <w:t>Support is high in both parties, but Democrats are still more supportive than Republicans, especially for policy mandates and when renewables are tied to climate politics (Bergquist et al. 2020; Hamilton et al. 2018; Hazboun et al. 2020).</w:t>
            </w:r>
          </w:p>
        </w:tc>
        <w:tc>
          <w:tcPr>
            <w:tcW w:w="1584" w:type="dxa"/>
          </w:tcPr>
          <w:p w14:paraId="64408F8B" w14:textId="77777777" w:rsidR="00EF0C79" w:rsidRDefault="00000000">
            <w:pPr>
              <w:pStyle w:val="Compact"/>
              <w:jc w:val="left"/>
            </w:pPr>
            <w:r>
              <w:t>The literature points to a weaker and less uniform partisan split. Nuclear opinion varies within parties and ideologies more than fossil-fuel opinion does (Gupta et al. 2019; Ter-Mkrtchyan et al. 2026).</w:t>
            </w:r>
          </w:p>
        </w:tc>
        <w:tc>
          <w:tcPr>
            <w:tcW w:w="1584" w:type="dxa"/>
          </w:tcPr>
          <w:p w14:paraId="1BCFB4BE" w14:textId="77777777" w:rsidR="00EF0C79" w:rsidRDefault="00000000">
            <w:pPr>
              <w:pStyle w:val="Compact"/>
              <w:jc w:val="left"/>
            </w:pPr>
            <w:r>
              <w:t>The review should not treat all energy sources as equally polarized. Fossil fuels are the clearest case; renewables and nuclear require more nuance.</w:t>
            </w:r>
          </w:p>
        </w:tc>
      </w:tr>
      <w:tr w:rsidR="00EF0C79" w14:paraId="16A0C66B" w14:textId="77777777" w:rsidTr="00EF0C79">
        <w:trPr>
          <w:cantSplit/>
        </w:trPr>
        <w:tc>
          <w:tcPr>
            <w:tcW w:w="1584" w:type="dxa"/>
          </w:tcPr>
          <w:p w14:paraId="145DD915" w14:textId="77777777" w:rsidR="00EF0C79" w:rsidRDefault="00000000">
            <w:pPr>
              <w:pStyle w:val="Compact"/>
              <w:jc w:val="left"/>
            </w:pPr>
            <w:r>
              <w:t>How strong is the divide</w:t>
            </w:r>
          </w:p>
        </w:tc>
        <w:tc>
          <w:tcPr>
            <w:tcW w:w="1584" w:type="dxa"/>
          </w:tcPr>
          <w:p w14:paraId="6F5DB6CB" w14:textId="77777777" w:rsidR="00EF0C79" w:rsidRDefault="00000000">
            <w:pPr>
              <w:pStyle w:val="Compact"/>
              <w:jc w:val="left"/>
            </w:pPr>
            <w:r>
              <w:t>Strong and durable. Fracking and coal policy show some of the sharpest source-specific partisan cleavages in this literature (Davis and Fisk 2014; Howell et al. 2019; Hart et al. 2021).</w:t>
            </w:r>
          </w:p>
        </w:tc>
        <w:tc>
          <w:tcPr>
            <w:tcW w:w="1584" w:type="dxa"/>
          </w:tcPr>
          <w:p w14:paraId="793A847A" w14:textId="77777777" w:rsidR="00EF0C79" w:rsidRDefault="00000000">
            <w:pPr>
              <w:pStyle w:val="Compact"/>
              <w:jc w:val="left"/>
            </w:pPr>
            <w:r>
              <w:t>Real but softer than the climate divide. Renewable energy keeps broader support than anthropogenic climate change, including in conservative regions (Hamilton et al. 2018; Hazboun et al. 2020).</w:t>
            </w:r>
          </w:p>
        </w:tc>
        <w:tc>
          <w:tcPr>
            <w:tcW w:w="1584" w:type="dxa"/>
          </w:tcPr>
          <w:p w14:paraId="54F92A64" w14:textId="77777777" w:rsidR="00EF0C79" w:rsidRDefault="00000000">
            <w:pPr>
              <w:pStyle w:val="Compact"/>
              <w:jc w:val="left"/>
            </w:pPr>
            <w:r>
              <w:t>Mixed and conditional. Opinion shifts with context rather than lining up as a straightforward party battle (Gupta et al. 2019; Ter-Mkrtchyan et al. 2026).</w:t>
            </w:r>
          </w:p>
        </w:tc>
        <w:tc>
          <w:tcPr>
            <w:tcW w:w="1584" w:type="dxa"/>
          </w:tcPr>
          <w:p w14:paraId="75DC11B8" w14:textId="77777777" w:rsidR="00EF0C79" w:rsidRDefault="00000000">
            <w:pPr>
              <w:pStyle w:val="Compact"/>
              <w:jc w:val="left"/>
            </w:pPr>
            <w:r>
              <w:t>A useful framing for the paper is that polarization is graded, not binary: high for fossil fuels, moderate for renewables, conditional for nuclear.</w:t>
            </w:r>
          </w:p>
        </w:tc>
      </w:tr>
      <w:tr w:rsidR="00EF0C79" w14:paraId="31AF568C" w14:textId="77777777" w:rsidTr="00EF0C79">
        <w:trPr>
          <w:cantSplit/>
        </w:trPr>
        <w:tc>
          <w:tcPr>
            <w:tcW w:w="1584" w:type="dxa"/>
          </w:tcPr>
          <w:p w14:paraId="30E8B30A" w14:textId="77777777" w:rsidR="00EF0C79" w:rsidRDefault="00000000">
            <w:pPr>
              <w:pStyle w:val="Compact"/>
              <w:jc w:val="left"/>
            </w:pPr>
            <w:r>
              <w:lastRenderedPageBreak/>
              <w:t>Main drivers</w:t>
            </w:r>
          </w:p>
        </w:tc>
        <w:tc>
          <w:tcPr>
            <w:tcW w:w="1584" w:type="dxa"/>
          </w:tcPr>
          <w:p w14:paraId="6A295B00" w14:textId="77777777" w:rsidR="00EF0C79" w:rsidRDefault="00000000">
            <w:pPr>
              <w:pStyle w:val="Compact"/>
              <w:jc w:val="left"/>
            </w:pPr>
            <w:r>
              <w:t>Risk-benefit perceptions are central: liberals see more environmental and health risk, while conservatives see more economic and energy benefits (Howell et al. 2019; Clarke and Evensen 2019). Self-perceived knowledge can intensify the split rather than reduce it (Howell et al. 2019).</w:t>
            </w:r>
          </w:p>
        </w:tc>
        <w:tc>
          <w:tcPr>
            <w:tcW w:w="1584" w:type="dxa"/>
          </w:tcPr>
          <w:p w14:paraId="4F94FD12" w14:textId="77777777" w:rsidR="00EF0C79" w:rsidRDefault="00000000">
            <w:pPr>
              <w:pStyle w:val="Compact"/>
              <w:jc w:val="left"/>
            </w:pPr>
            <w:r>
              <w:t>Party identity still matters, but motives differ across parties. Democrats’ support is linked more to climate concern, while Republicans’ support is linked more to costs, jobs, and energy security (Gustafson et al. 2020).</w:t>
            </w:r>
          </w:p>
        </w:tc>
        <w:tc>
          <w:tcPr>
            <w:tcW w:w="1584" w:type="dxa"/>
          </w:tcPr>
          <w:p w14:paraId="21BD6EDD" w14:textId="77777777" w:rsidR="00EF0C79" w:rsidRDefault="00000000">
            <w:pPr>
              <w:pStyle w:val="Compact"/>
              <w:jc w:val="left"/>
            </w:pPr>
            <w:r>
              <w:t>Energy security, climate beliefs, environmental values, and perceived accident risk all matter (Gupta et al. 2019; Ter-Mkrtchyan et al. 2026). Work after Fukushima also points to partisan amplification of perceived nuclear risk (Yeo et al. 2014).</w:t>
            </w:r>
          </w:p>
        </w:tc>
        <w:tc>
          <w:tcPr>
            <w:tcW w:w="1584" w:type="dxa"/>
          </w:tcPr>
          <w:p w14:paraId="7B52C728" w14:textId="77777777" w:rsidR="00EF0C79" w:rsidRDefault="00000000">
            <w:pPr>
              <w:pStyle w:val="Compact"/>
              <w:jc w:val="left"/>
            </w:pPr>
            <w:r>
              <w:t>The mechanism is not just party sorting. Source-specific beliefs about risk, benefit, and purpose carry much of the polarization.</w:t>
            </w:r>
          </w:p>
        </w:tc>
      </w:tr>
      <w:tr w:rsidR="00EF0C79" w14:paraId="47625604" w14:textId="77777777" w:rsidTr="00EF0C79">
        <w:trPr>
          <w:cantSplit/>
        </w:trPr>
        <w:tc>
          <w:tcPr>
            <w:tcW w:w="1584" w:type="dxa"/>
          </w:tcPr>
          <w:p w14:paraId="2E980CDB" w14:textId="77777777" w:rsidR="00EF0C79" w:rsidRDefault="00000000">
            <w:pPr>
              <w:pStyle w:val="Compact"/>
              <w:jc w:val="left"/>
            </w:pPr>
            <w:r>
              <w:t>Role of framing</w:t>
            </w:r>
          </w:p>
        </w:tc>
        <w:tc>
          <w:tcPr>
            <w:tcW w:w="1584" w:type="dxa"/>
          </w:tcPr>
          <w:p w14:paraId="1A31F8CA" w14:textId="77777777" w:rsidR="00EF0C79" w:rsidRDefault="00000000">
            <w:pPr>
              <w:pStyle w:val="Compact"/>
              <w:jc w:val="left"/>
            </w:pPr>
            <w:r>
              <w:t>Fossil-fuel views are hard to depolarize through simple messaging alone. On coal subsidies, changing the frame from climate to air pollution did not erase polarization (Hart et al. 2021).</w:t>
            </w:r>
          </w:p>
        </w:tc>
        <w:tc>
          <w:tcPr>
            <w:tcW w:w="1584" w:type="dxa"/>
          </w:tcPr>
          <w:p w14:paraId="0A221EF3" w14:textId="77777777" w:rsidR="00EF0C79" w:rsidRDefault="00000000">
            <w:pPr>
              <w:pStyle w:val="Compact"/>
              <w:jc w:val="left"/>
            </w:pPr>
            <w:r>
              <w:t>Framing matters a great deal. Climate framing can reduce Republican support, while air-pollution, energy-security, and cost frames broaden support (Feldman and Hart 2018; Hazboun et al. 2019). Cost cues can also reduce support overall (Bergquist et al. 2020; Bayulgen and Benegal 2019).</w:t>
            </w:r>
          </w:p>
        </w:tc>
        <w:tc>
          <w:tcPr>
            <w:tcW w:w="1584" w:type="dxa"/>
          </w:tcPr>
          <w:p w14:paraId="5A0A0147" w14:textId="77777777" w:rsidR="00EF0C79" w:rsidRDefault="00000000">
            <w:pPr>
              <w:pStyle w:val="Compact"/>
              <w:jc w:val="left"/>
            </w:pPr>
            <w:r>
              <w:t>Framing appears less settled than for renewables. Nuclear support is more likely to move with the policy rationale attached to it, especially climate and security considerations (Feldman and Hart 2018; Ter-Mkrtchyan et al. 2026).</w:t>
            </w:r>
          </w:p>
        </w:tc>
        <w:tc>
          <w:tcPr>
            <w:tcW w:w="1584" w:type="dxa"/>
          </w:tcPr>
          <w:p w14:paraId="4CDFF90D" w14:textId="77777777" w:rsidR="00EF0C79" w:rsidRDefault="00000000">
            <w:pPr>
              <w:pStyle w:val="Compact"/>
              <w:jc w:val="left"/>
            </w:pPr>
            <w:r>
              <w:t>The review should distinguish between baseline opinion and framing effects. Renewables are the clearest case where communication strategy changes the coalition.</w:t>
            </w:r>
          </w:p>
        </w:tc>
      </w:tr>
      <w:tr w:rsidR="00EF0C79" w14:paraId="0AA1598E" w14:textId="77777777" w:rsidTr="00EF0C79">
        <w:trPr>
          <w:cantSplit/>
        </w:trPr>
        <w:tc>
          <w:tcPr>
            <w:tcW w:w="1584" w:type="dxa"/>
          </w:tcPr>
          <w:p w14:paraId="228ABFAE" w14:textId="77777777" w:rsidR="00EF0C79" w:rsidRDefault="00000000">
            <w:pPr>
              <w:pStyle w:val="Compact"/>
              <w:jc w:val="left"/>
            </w:pPr>
            <w:r>
              <w:t>Role of place and local economy</w:t>
            </w:r>
          </w:p>
        </w:tc>
        <w:tc>
          <w:tcPr>
            <w:tcW w:w="1584" w:type="dxa"/>
          </w:tcPr>
          <w:p w14:paraId="3FE84316" w14:textId="77777777" w:rsidR="00EF0C79" w:rsidRDefault="00000000">
            <w:pPr>
              <w:pStyle w:val="Compact"/>
              <w:jc w:val="left"/>
            </w:pPr>
            <w:r>
              <w:t>Local extractive economies matter, but usually less than partisanship and ideology (Olson-Hazboun et al. 2018).</w:t>
            </w:r>
          </w:p>
        </w:tc>
        <w:tc>
          <w:tcPr>
            <w:tcW w:w="1584" w:type="dxa"/>
          </w:tcPr>
          <w:p w14:paraId="4C628AC4" w14:textId="77777777" w:rsidR="00EF0C79" w:rsidRDefault="00000000">
            <w:pPr>
              <w:pStyle w:val="Compact"/>
              <w:jc w:val="left"/>
            </w:pPr>
            <w:r>
              <w:t>Living near energy development does not by itself seem to produce a uniform opinion pattern; even conservative regions often still show majority renewable support (Hamilton et al. 2018; Olson-Hazboun et al. 2018).</w:t>
            </w:r>
          </w:p>
        </w:tc>
        <w:tc>
          <w:tcPr>
            <w:tcW w:w="1584" w:type="dxa"/>
          </w:tcPr>
          <w:p w14:paraId="7B7270FE" w14:textId="77777777" w:rsidR="00EF0C79" w:rsidRDefault="00000000">
            <w:pPr>
              <w:pStyle w:val="Compact"/>
              <w:jc w:val="left"/>
            </w:pPr>
            <w:r>
              <w:t>The key papers here emphasize national mood, values, and belief systems more than local exposure (Gupta et al. 2019; Ter-Mkrtchyan et al. 2026).</w:t>
            </w:r>
          </w:p>
        </w:tc>
        <w:tc>
          <w:tcPr>
            <w:tcW w:w="1584" w:type="dxa"/>
          </w:tcPr>
          <w:p w14:paraId="7065C0C6" w14:textId="77777777" w:rsidR="00EF0C79" w:rsidRDefault="00000000">
            <w:pPr>
              <w:pStyle w:val="Compact"/>
              <w:jc w:val="left"/>
            </w:pPr>
            <w:r>
              <w:t>Geography matters, but it is usually secondary to partisan identity and underlying values in this literature.</w:t>
            </w:r>
          </w:p>
        </w:tc>
      </w:tr>
      <w:tr w:rsidR="00EF0C79" w14:paraId="2F68542B" w14:textId="77777777" w:rsidTr="00EF0C79">
        <w:trPr>
          <w:cantSplit/>
        </w:trPr>
        <w:tc>
          <w:tcPr>
            <w:tcW w:w="1584" w:type="dxa"/>
          </w:tcPr>
          <w:p w14:paraId="6AF5462B" w14:textId="77777777" w:rsidR="00EF0C79" w:rsidRDefault="00000000">
            <w:pPr>
              <w:pStyle w:val="Compact"/>
              <w:jc w:val="left"/>
            </w:pPr>
            <w:r>
              <w:lastRenderedPageBreak/>
              <w:t>Main implication for the paper</w:t>
            </w:r>
          </w:p>
        </w:tc>
        <w:tc>
          <w:tcPr>
            <w:tcW w:w="1584" w:type="dxa"/>
          </w:tcPr>
          <w:p w14:paraId="5E91D88E" w14:textId="77777777" w:rsidR="00EF0C79" w:rsidRDefault="00000000">
            <w:pPr>
              <w:pStyle w:val="Compact"/>
              <w:jc w:val="left"/>
            </w:pPr>
            <w:r>
              <w:t>Fossil-fuel polarization is the anchor case for any argument that U.S. energy attitudes are strongly partisan (Davis and Fisk 2014; Howell et al. 2019; Hart et al. 2021).</w:t>
            </w:r>
          </w:p>
        </w:tc>
        <w:tc>
          <w:tcPr>
            <w:tcW w:w="1584" w:type="dxa"/>
          </w:tcPr>
          <w:p w14:paraId="1C2D9FDF" w14:textId="77777777" w:rsidR="00EF0C79" w:rsidRDefault="00000000">
            <w:pPr>
              <w:pStyle w:val="Compact"/>
              <w:jc w:val="left"/>
            </w:pPr>
            <w:r>
              <w:t>Renewables are the main counterexample to a simple “everything is polarized” story because support remains comparatively broad even when reasons for support differ sharply by party (Hamilton et al. 2018; Gustafson et al. 2020; Hazboun et al. 2020).</w:t>
            </w:r>
          </w:p>
        </w:tc>
        <w:tc>
          <w:tcPr>
            <w:tcW w:w="1584" w:type="dxa"/>
          </w:tcPr>
          <w:p w14:paraId="1D5AF126" w14:textId="77777777" w:rsidR="00EF0C79" w:rsidRDefault="00000000">
            <w:pPr>
              <w:pStyle w:val="Compact"/>
              <w:jc w:val="left"/>
            </w:pPr>
            <w:r>
              <w:t>Nuclear is the main case showing that low-carbon energy does not map cleanly onto the same partisan structure as renewables (Gupta et al. 2019; Ter-Mkrtchyan et al. 2026).</w:t>
            </w:r>
          </w:p>
        </w:tc>
        <w:tc>
          <w:tcPr>
            <w:tcW w:w="1584" w:type="dxa"/>
          </w:tcPr>
          <w:p w14:paraId="44E20F0E" w14:textId="77777777" w:rsidR="00EF0C79" w:rsidRDefault="00000000">
            <w:pPr>
              <w:pStyle w:val="Compact"/>
              <w:jc w:val="left"/>
            </w:pPr>
            <w:r>
              <w:t>The strongest literature-review argument is a differentiated one: partisanship structures energy opinion, but its expression depends on the source and the frame attached to it.</w:t>
            </w:r>
          </w:p>
        </w:tc>
      </w:tr>
    </w:tbl>
    <w:p w14:paraId="5071C56B" w14:textId="77777777" w:rsidR="00EF0C79" w:rsidRDefault="00000000">
      <w:pPr>
        <w:pStyle w:val="Heading2"/>
      </w:pPr>
      <w:bookmarkStart w:id="1" w:name="absolute-key-takeaways"/>
      <w:bookmarkEnd w:id="0"/>
      <w:r>
        <w:t>Absolute key takeaways</w:t>
      </w:r>
    </w:p>
    <w:p w14:paraId="37AF84DF" w14:textId="77777777" w:rsidR="00EF0C79" w:rsidRDefault="00000000">
      <w:pPr>
        <w:pStyle w:val="Compact"/>
        <w:numPr>
          <w:ilvl w:val="0"/>
          <w:numId w:val="2"/>
        </w:numPr>
      </w:pPr>
      <w:r>
        <w:rPr>
          <w:b/>
          <w:bCs/>
        </w:rPr>
        <w:t>Partisanship is the main backbone of U.S. energy opinion.</w:t>
      </w:r>
      <w:r>
        <w:t xml:space="preserve"> Across broad energy-policy datasets, party identification is the strongest predictor of preferences, and the Democrat-Republican gap has widened over time (Bergquist et al. 2020).</w:t>
      </w:r>
    </w:p>
    <w:p w14:paraId="6389212C" w14:textId="77777777" w:rsidR="00EF0C79" w:rsidRDefault="00000000">
      <w:pPr>
        <w:pStyle w:val="Compact"/>
        <w:numPr>
          <w:ilvl w:val="0"/>
          <w:numId w:val="2"/>
        </w:numPr>
      </w:pPr>
      <w:r>
        <w:rPr>
          <w:b/>
          <w:bCs/>
        </w:rPr>
        <w:t>Fossil fuels are the most clearly polarized source category.</w:t>
      </w:r>
      <w:r>
        <w:t xml:space="preserve"> Fracking and coal-related policies repeatedly show conservative support and liberal opposition, with disagreement carried largely by different perceptions of environmental risk versus economic benefit (Davis and Fisk 2014; Howell et al. 2019; Hart et al. 2021; Clarke and Evensen 2019).</w:t>
      </w:r>
    </w:p>
    <w:p w14:paraId="1ECA7DBD" w14:textId="77777777" w:rsidR="00EF0C79" w:rsidRDefault="00000000">
      <w:pPr>
        <w:pStyle w:val="Compact"/>
        <w:numPr>
          <w:ilvl w:val="0"/>
          <w:numId w:val="2"/>
        </w:numPr>
      </w:pPr>
      <w:r>
        <w:rPr>
          <w:b/>
          <w:bCs/>
        </w:rPr>
        <w:t>Renewables are polarized, but less than climate change.</w:t>
      </w:r>
      <w:r>
        <w:t xml:space="preserve"> The literature consistently finds wider support for renewable energy than for climate science or climate policy, including in conservative settings (Hamilton et al. 2018; Hazboun et al. 2020).</w:t>
      </w:r>
    </w:p>
    <w:p w14:paraId="59466C96" w14:textId="77777777" w:rsidR="00EF0C79" w:rsidRDefault="00000000">
      <w:pPr>
        <w:pStyle w:val="Compact"/>
        <w:numPr>
          <w:ilvl w:val="0"/>
          <w:numId w:val="2"/>
        </w:numPr>
      </w:pPr>
      <w:r>
        <w:rPr>
          <w:b/>
          <w:bCs/>
        </w:rPr>
        <w:t>The parties do not just differ in level of support; they differ in reasons for support.</w:t>
      </w:r>
      <w:r>
        <w:t xml:space="preserve"> Republican support for renewables is more tied to jobs, prices, and energy security, while Democratic support is more tied to global warming and environmental protection (Gustafson et al. 2020).</w:t>
      </w:r>
    </w:p>
    <w:p w14:paraId="7DC0A7C8" w14:textId="77777777" w:rsidR="00EF0C79" w:rsidRDefault="00000000">
      <w:pPr>
        <w:pStyle w:val="Compact"/>
        <w:numPr>
          <w:ilvl w:val="0"/>
          <w:numId w:val="2"/>
        </w:numPr>
      </w:pPr>
      <w:r>
        <w:rPr>
          <w:b/>
          <w:bCs/>
        </w:rPr>
        <w:t>Climate language can itself trigger polarization.</w:t>
      </w:r>
      <w:r>
        <w:t xml:space="preserve"> For low-carbon policies, climate framing tends to depress Republican support relative to air-pollution or energy-security framing (Feldman and Hart 2018; Hazboun et al. 2019).</w:t>
      </w:r>
    </w:p>
    <w:p w14:paraId="62F19612" w14:textId="77777777" w:rsidR="00EF0C79" w:rsidRDefault="00000000">
      <w:pPr>
        <w:pStyle w:val="Compact"/>
        <w:numPr>
          <w:ilvl w:val="0"/>
          <w:numId w:val="2"/>
        </w:numPr>
      </w:pPr>
      <w:r>
        <w:rPr>
          <w:b/>
          <w:bCs/>
        </w:rPr>
        <w:t>Nuclear does not fit neatly into the fossil-versus-renewable pattern.</w:t>
      </w:r>
      <w:r>
        <w:t xml:space="preserve"> Its politics are shaped by security concerns, climate beliefs, environmental values, and perceived risk, which makes the divide more contingent and internally varied (Gupta et al. 2019; Ter-Mkrtchyan et al. 2026; Yeo et al. 2014).</w:t>
      </w:r>
    </w:p>
    <w:p w14:paraId="69171876" w14:textId="77777777" w:rsidR="00EF0C79" w:rsidRDefault="00000000">
      <w:pPr>
        <w:pStyle w:val="Heading2"/>
      </w:pPr>
      <w:bookmarkStart w:id="2" w:name="X10585ceabcab4fcae9cf06bb0b02b86906b2006"/>
      <w:bookmarkEnd w:id="1"/>
      <w:r>
        <w:t>Best way to use this in the literature review</w:t>
      </w:r>
    </w:p>
    <w:p w14:paraId="36126499" w14:textId="77777777" w:rsidR="00EF0C79" w:rsidRDefault="00000000">
      <w:pPr>
        <w:pStyle w:val="FirstParagraph"/>
      </w:pPr>
      <w:r>
        <w:t xml:space="preserve">The most defensible synthesis is that polarization among the U.S. public on energy is real, but it is best understood as </w:t>
      </w:r>
      <w:r>
        <w:rPr>
          <w:b/>
          <w:bCs/>
        </w:rPr>
        <w:t>source-specific partisan sorting</w:t>
      </w:r>
      <w:r>
        <w:t xml:space="preserve"> rather than one single generalized energy divide. Fossil-fuel opinion provides the strongest evidence for polarization. Renewables show a more mixed pattern in which partisan identity still matters, but broad support survives when renewables are decoupled from climate rhetoric (Hamilton et al. 2018; Feldman and Hart 2018; Hazboun et al. 2020). Nuclear adds a further complication because low-carbon status does not guarantee the same coalition structure as renewable energy (Gupta et al. 2019; Ter-Mkrtchyan et al. 2026).</w:t>
      </w:r>
    </w:p>
    <w:p w14:paraId="7AAA137A" w14:textId="77777777" w:rsidR="00EF0C79" w:rsidRDefault="00000000">
      <w:pPr>
        <w:pStyle w:val="BodyText"/>
      </w:pPr>
      <w:r>
        <w:t xml:space="preserve">That implies a clean organizing claim for the broader paper: the literature is strongest when it asks not whether energy is polarized in general, but </w:t>
      </w:r>
      <w:r>
        <w:rPr>
          <w:b/>
          <w:bCs/>
        </w:rPr>
        <w:t>which sources are polarized, among whom, and through which beliefs or frames</w:t>
      </w:r>
      <w:r>
        <w:t xml:space="preserve"> (Mayer 2019).</w:t>
      </w:r>
    </w:p>
    <w:p w14:paraId="69BA1D9D" w14:textId="77777777" w:rsidR="00EF0C79" w:rsidRDefault="00000000">
      <w:r>
        <w:lastRenderedPageBreak/>
        <w:br w:type="page"/>
      </w:r>
    </w:p>
    <w:bookmarkEnd w:id="2"/>
    <w:p w14:paraId="240EF843" w14:textId="77777777" w:rsidR="00EF0C79" w:rsidRDefault="00000000">
      <w:pPr>
        <w:pStyle w:val="Heading2"/>
      </w:pPr>
      <w:r>
        <w:lastRenderedPageBreak/>
        <w:t>References</w:t>
      </w:r>
    </w:p>
    <w:p w14:paraId="6D56EF37" w14:textId="77777777" w:rsidR="00EF0C79" w:rsidRDefault="00000000">
      <w:pPr>
        <w:pStyle w:val="Bibliography"/>
      </w:pPr>
      <w:bookmarkStart w:id="3" w:name="ref-Bay19b"/>
      <w:bookmarkStart w:id="4" w:name="refs"/>
      <w:r>
        <w:t xml:space="preserve">Bayulgen, Oksan, and S. Benegal. 2019. </w:t>
      </w:r>
      <w:bookmarkStart w:id="5" w:name="OLE_LINK1"/>
      <w:r>
        <w:t>“Green Priorities: How Economic Frames Affect Perceptions of Renewable Energy in the United States.”</w:t>
      </w:r>
      <w:bookmarkEnd w:id="5"/>
      <w:r>
        <w:t xml:space="preserve"> </w:t>
      </w:r>
      <w:r>
        <w:rPr>
          <w:i/>
          <w:iCs/>
        </w:rPr>
        <w:t>Energy Research &amp; Social Science</w:t>
      </w:r>
      <w:r>
        <w:t xml:space="preserve">, ahead of print, January 1. </w:t>
      </w:r>
      <w:hyperlink r:id="rId7">
        <w:r>
          <w:rPr>
            <w:rStyle w:val="Hyperlink"/>
          </w:rPr>
          <w:t>https://doi.org/10.1016/J.ERSS.2018.08.017</w:t>
        </w:r>
      </w:hyperlink>
      <w:r>
        <w:t>.</w:t>
      </w:r>
    </w:p>
    <w:p w14:paraId="3B23F8C2" w14:textId="77777777" w:rsidR="00EF0C79" w:rsidRDefault="00000000">
      <w:pPr>
        <w:pStyle w:val="Bibliography"/>
      </w:pPr>
      <w:bookmarkStart w:id="6" w:name="ref-Ber20"/>
      <w:bookmarkEnd w:id="3"/>
      <w:r>
        <w:t xml:space="preserve">Bergquist, Parrish, David M. Konisky, and J. Kotcher. 2020. “Energy Policy and Public Opinion: Patterns, Trends and Future Directions.” </w:t>
      </w:r>
      <w:r>
        <w:rPr>
          <w:i/>
          <w:iCs/>
        </w:rPr>
        <w:t>Progress in Energy</w:t>
      </w:r>
      <w:r>
        <w:t xml:space="preserve"> 2 (May). </w:t>
      </w:r>
      <w:hyperlink r:id="rId8">
        <w:r>
          <w:rPr>
            <w:rStyle w:val="Hyperlink"/>
          </w:rPr>
          <w:t>https://doi.org/10.1088/2516-1083/ab9592</w:t>
        </w:r>
      </w:hyperlink>
      <w:r>
        <w:t>.</w:t>
      </w:r>
    </w:p>
    <w:p w14:paraId="6E0AF3FB" w14:textId="77777777" w:rsidR="00EF0C79" w:rsidRDefault="00000000">
      <w:pPr>
        <w:pStyle w:val="Bibliography"/>
      </w:pPr>
      <w:bookmarkStart w:id="7" w:name="ref-Cla19"/>
      <w:bookmarkEnd w:id="6"/>
      <w:r>
        <w:t xml:space="preserve">Clarke, Christopher E., and Darrick T. N. Evensen. 2019. “The Politics of Scientific Consensus? Political Divergence and Partisanship in Unconventional Energy Development in the United States.” </w:t>
      </w:r>
      <w:r>
        <w:rPr>
          <w:i/>
          <w:iCs/>
        </w:rPr>
        <w:t>Energy Research &amp; Social Science</w:t>
      </w:r>
      <w:r>
        <w:t xml:space="preserve">, ahead of print, May 1. </w:t>
      </w:r>
      <w:hyperlink r:id="rId9">
        <w:r>
          <w:rPr>
            <w:rStyle w:val="Hyperlink"/>
          </w:rPr>
          <w:t>https://doi.org/10.1016/J.ERSS.2019.01.005</w:t>
        </w:r>
      </w:hyperlink>
      <w:r>
        <w:t>.</w:t>
      </w:r>
    </w:p>
    <w:p w14:paraId="353EC54B" w14:textId="77777777" w:rsidR="00EF0C79" w:rsidRDefault="00000000">
      <w:pPr>
        <w:pStyle w:val="Bibliography"/>
      </w:pPr>
      <w:bookmarkStart w:id="8" w:name="ref-Dav14"/>
      <w:bookmarkEnd w:id="7"/>
      <w:r>
        <w:t xml:space="preserve">Davis, C., and J. Fisk. 2014. “Energy Abundance or Environmental Worries? Analyzing Public Support for Fracking in the United States.” </w:t>
      </w:r>
      <w:r>
        <w:rPr>
          <w:i/>
          <w:iCs/>
        </w:rPr>
        <w:t>Review of Policy Research</w:t>
      </w:r>
      <w:r>
        <w:t xml:space="preserve"> 31: 1–16. </w:t>
      </w:r>
      <w:hyperlink r:id="rId10">
        <w:r>
          <w:rPr>
            <w:rStyle w:val="Hyperlink"/>
          </w:rPr>
          <w:t>https://doi.org/10.1111/ROPR.12048</w:t>
        </w:r>
      </w:hyperlink>
      <w:r>
        <w:t>.</w:t>
      </w:r>
    </w:p>
    <w:p w14:paraId="4423914F" w14:textId="77777777" w:rsidR="00EF0C79" w:rsidRDefault="00000000">
      <w:pPr>
        <w:pStyle w:val="Bibliography"/>
      </w:pPr>
      <w:bookmarkStart w:id="9" w:name="ref-Fel18"/>
      <w:bookmarkEnd w:id="8"/>
      <w:r>
        <w:t xml:space="preserve">Feldman, Lauren A., and P. S. Hart. 2018. “Climate Change as a Polarizing Cue: Framing Effects on Public Support for Low-Carbon Energy Policies.” </w:t>
      </w:r>
      <w:r>
        <w:rPr>
          <w:i/>
          <w:iCs/>
        </w:rPr>
        <w:t>Global Environmental Change</w:t>
      </w:r>
      <w:r>
        <w:t xml:space="preserve">, ahead of print, July 1. </w:t>
      </w:r>
      <w:hyperlink r:id="rId11">
        <w:r>
          <w:rPr>
            <w:rStyle w:val="Hyperlink"/>
          </w:rPr>
          <w:t>https://doi.org/10.1016/J.GLOENVCHA.2018.05.004</w:t>
        </w:r>
      </w:hyperlink>
      <w:r>
        <w:t>.</w:t>
      </w:r>
    </w:p>
    <w:p w14:paraId="238A4CFB" w14:textId="77777777" w:rsidR="00EF0C79" w:rsidRDefault="00000000">
      <w:pPr>
        <w:pStyle w:val="Bibliography"/>
      </w:pPr>
      <w:bookmarkStart w:id="10" w:name="ref-Gup19"/>
      <w:bookmarkEnd w:id="9"/>
      <w:r>
        <w:t xml:space="preserve">Gupta, Kuhika, M. Nowlin, J. Ripberger, H. Jenkins‐Smith, and Carol L. Silva. 2019. “Tracking the Nuclear ‘Mood’ in the United States: Introducing a Long Term Measure of Public Opinion about Nuclear Energy Using Aggregate Survey Data.” </w:t>
      </w:r>
      <w:r>
        <w:rPr>
          <w:i/>
          <w:iCs/>
        </w:rPr>
        <w:t>Energy Policy</w:t>
      </w:r>
      <w:r>
        <w:t xml:space="preserve">, ahead of print, October 1. </w:t>
      </w:r>
      <w:hyperlink r:id="rId12">
        <w:r>
          <w:rPr>
            <w:rStyle w:val="Hyperlink"/>
          </w:rPr>
          <w:t>https://doi.org/10.1016/J.ENPOL.2019.110888</w:t>
        </w:r>
      </w:hyperlink>
      <w:r>
        <w:t>.</w:t>
      </w:r>
    </w:p>
    <w:p w14:paraId="0BB80564" w14:textId="77777777" w:rsidR="00EF0C79" w:rsidRDefault="00000000">
      <w:pPr>
        <w:pStyle w:val="Bibliography"/>
      </w:pPr>
      <w:bookmarkStart w:id="11" w:name="ref-Gus20"/>
      <w:bookmarkEnd w:id="10"/>
      <w:r>
        <w:t xml:space="preserve">Gustafson, Abel, Matthew H. Goldberg, J. Kotcher, et al. 2020. “Republicans and Democrats Differ in Why They Support Renewable Energy.” In </w:t>
      </w:r>
      <w:r>
        <w:rPr>
          <w:i/>
          <w:iCs/>
        </w:rPr>
        <w:t>Energy Policy</w:t>
      </w:r>
      <w:r>
        <w:t xml:space="preserve">, vol. 141. Preprint, June 1. </w:t>
      </w:r>
      <w:hyperlink r:id="rId13">
        <w:r>
          <w:rPr>
            <w:rStyle w:val="Hyperlink"/>
          </w:rPr>
          <w:t>https://doi.org/10.1016/j.enpol.2020.111448</w:t>
        </w:r>
      </w:hyperlink>
      <w:r>
        <w:t>.</w:t>
      </w:r>
    </w:p>
    <w:p w14:paraId="2DB37664" w14:textId="77777777" w:rsidR="00EF0C79" w:rsidRDefault="00000000">
      <w:pPr>
        <w:pStyle w:val="Bibliography"/>
      </w:pPr>
      <w:bookmarkStart w:id="12" w:name="ref-Ham18"/>
      <w:bookmarkEnd w:id="11"/>
      <w:r>
        <w:t xml:space="preserve">Hamilton, L., E. Bell, J. Hartter, and J. Salerno. 2018. “A Change in the Wind? US Public Views on Renewable Energy and Climate Compared.” </w:t>
      </w:r>
      <w:r>
        <w:rPr>
          <w:i/>
          <w:iCs/>
        </w:rPr>
        <w:t>Energy, Sustainability and Society</w:t>
      </w:r>
      <w:r>
        <w:t xml:space="preserve"> 8 (April). </w:t>
      </w:r>
      <w:hyperlink r:id="rId14">
        <w:r>
          <w:rPr>
            <w:rStyle w:val="Hyperlink"/>
          </w:rPr>
          <w:t>https://doi.org/10.1186/s13705-018-0152-5</w:t>
        </w:r>
      </w:hyperlink>
      <w:r>
        <w:t>.</w:t>
      </w:r>
    </w:p>
    <w:p w14:paraId="58D1A27C" w14:textId="77777777" w:rsidR="00EF0C79" w:rsidRDefault="00000000">
      <w:pPr>
        <w:pStyle w:val="Bibliography"/>
      </w:pPr>
      <w:bookmarkStart w:id="13" w:name="ref-Har21"/>
      <w:bookmarkEnd w:id="12"/>
      <w:r>
        <w:t xml:space="preserve">Hart, P. S., R. Stedman, and Christopher E. Clarke. 2021. “Political Polarization in Support for Subsidizing Unprofitable Coal Power Plants.” In </w:t>
      </w:r>
      <w:r>
        <w:rPr>
          <w:i/>
          <w:iCs/>
        </w:rPr>
        <w:t>Energy Policy</w:t>
      </w:r>
      <w:r>
        <w:t xml:space="preserve">, vol. 150. Preprint, March 1. </w:t>
      </w:r>
      <w:hyperlink r:id="rId15">
        <w:r>
          <w:rPr>
            <w:rStyle w:val="Hyperlink"/>
          </w:rPr>
          <w:t>https://doi.org/10.1016/J.ENPOL.2021.112156</w:t>
        </w:r>
      </w:hyperlink>
      <w:r>
        <w:t>.</w:t>
      </w:r>
    </w:p>
    <w:p w14:paraId="7D5345CF" w14:textId="77777777" w:rsidR="00EF0C79" w:rsidRDefault="00000000">
      <w:pPr>
        <w:pStyle w:val="Bibliography"/>
      </w:pPr>
      <w:bookmarkStart w:id="14" w:name="ref-Haz19"/>
      <w:bookmarkEnd w:id="13"/>
      <w:r>
        <w:t xml:space="preserve">Hazboun, Shawn, Michael D. Briscoe, Jennifer E. Givens, and R. Krannich. 2019. “Keep Quiet on Climate: Assessing Public Response to Seven Renewable Energy Frames in the Western United States.” </w:t>
      </w:r>
      <w:r>
        <w:rPr>
          <w:i/>
          <w:iCs/>
        </w:rPr>
        <w:t>Energy Research &amp; Social Science</w:t>
      </w:r>
      <w:r>
        <w:t xml:space="preserve">, ahead of print, November 1. </w:t>
      </w:r>
      <w:hyperlink r:id="rId16">
        <w:r>
          <w:rPr>
            <w:rStyle w:val="Hyperlink"/>
          </w:rPr>
          <w:t>https://doi.org/10.1016/J.ERSS.2019.101243</w:t>
        </w:r>
      </w:hyperlink>
      <w:r>
        <w:t>.</w:t>
      </w:r>
    </w:p>
    <w:p w14:paraId="7EAA2370" w14:textId="77777777" w:rsidR="00EF0C79" w:rsidRDefault="00000000">
      <w:pPr>
        <w:pStyle w:val="Bibliography"/>
      </w:pPr>
      <w:bookmarkStart w:id="15" w:name="ref-Haz20b"/>
      <w:bookmarkEnd w:id="14"/>
      <w:r>
        <w:t xml:space="preserve">Hazboun, Shawn, P. Howe, D. Coppock, and Jennifer E. Givens. 2020. “The Politics of Decarbonization: Examining Conservative Partisanship and Differential Support for Climate Change Science and Renewable Energy in Utah.” </w:t>
      </w:r>
      <w:r>
        <w:rPr>
          <w:i/>
          <w:iCs/>
        </w:rPr>
        <w:t>Energy Research and Social Science</w:t>
      </w:r>
      <w:r>
        <w:t xml:space="preserve"> 70 (December): 101769. </w:t>
      </w:r>
      <w:hyperlink r:id="rId17">
        <w:r>
          <w:rPr>
            <w:rStyle w:val="Hyperlink"/>
          </w:rPr>
          <w:t>https://doi.org/10.1016/J.ERSS.2020.101769</w:t>
        </w:r>
      </w:hyperlink>
      <w:r>
        <w:t>.</w:t>
      </w:r>
    </w:p>
    <w:p w14:paraId="601E68A9" w14:textId="77777777" w:rsidR="00EF0C79" w:rsidRDefault="00000000">
      <w:pPr>
        <w:pStyle w:val="Bibliography"/>
      </w:pPr>
      <w:bookmarkStart w:id="16" w:name="ref-How19"/>
      <w:bookmarkEnd w:id="15"/>
      <w:r>
        <w:t xml:space="preserve">Howell, Emily L., Christopher D. Wirz, D. Brossard, Dietram A. Scheufele, and Michael A. Xenos. 2019. “Seeing Through Risk-Colored Glasses: Risk and Benefit Perceptions, Knowledge, and the Politics of Fracking in the United States.” In </w:t>
      </w:r>
      <w:r>
        <w:rPr>
          <w:i/>
          <w:iCs/>
        </w:rPr>
        <w:t>Energy Research &amp; Social Science</w:t>
      </w:r>
      <w:r>
        <w:t xml:space="preserve">. Preprint, September 1. </w:t>
      </w:r>
      <w:hyperlink r:id="rId18">
        <w:r>
          <w:rPr>
            <w:rStyle w:val="Hyperlink"/>
          </w:rPr>
          <w:t>https://doi.org/10.1016/J.ERSS.2019.05.020</w:t>
        </w:r>
      </w:hyperlink>
      <w:r>
        <w:t>.</w:t>
      </w:r>
    </w:p>
    <w:p w14:paraId="09A207AB" w14:textId="77777777" w:rsidR="00EF0C79" w:rsidRDefault="00000000">
      <w:pPr>
        <w:pStyle w:val="Bibliography"/>
      </w:pPr>
      <w:bookmarkStart w:id="17" w:name="ref-May19"/>
      <w:bookmarkEnd w:id="16"/>
      <w:r>
        <w:lastRenderedPageBreak/>
        <w:t xml:space="preserve">Mayer, Adam. 2019. “Partisanship, Politics, and the Energy Transition in the United States: A Critical Review and Conceptual Framework.” </w:t>
      </w:r>
      <w:r>
        <w:rPr>
          <w:i/>
          <w:iCs/>
        </w:rPr>
        <w:t>Energy Research &amp; Social Science</w:t>
      </w:r>
      <w:r>
        <w:t xml:space="preserve">, ahead of print, July 1. </w:t>
      </w:r>
      <w:hyperlink r:id="rId19">
        <w:r>
          <w:rPr>
            <w:rStyle w:val="Hyperlink"/>
          </w:rPr>
          <w:t>https://doi.org/10.1016/J.ERSS.2019.02.022</w:t>
        </w:r>
      </w:hyperlink>
      <w:r>
        <w:t>.</w:t>
      </w:r>
    </w:p>
    <w:p w14:paraId="280CF0A8" w14:textId="77777777" w:rsidR="00EF0C79" w:rsidRDefault="00000000">
      <w:pPr>
        <w:pStyle w:val="Bibliography"/>
      </w:pPr>
      <w:bookmarkStart w:id="18" w:name="ref-Ols18"/>
      <w:bookmarkEnd w:id="17"/>
      <w:r>
        <w:t xml:space="preserve">Olson-Hazboun, Shawn K., P. Howe, and A. Leiserowitz. 2018. “The Influence of Extractive Activities on Public Support for Renewable Energy Policy.” </w:t>
      </w:r>
      <w:r>
        <w:rPr>
          <w:i/>
          <w:iCs/>
        </w:rPr>
        <w:t>Energy Policy</w:t>
      </w:r>
      <w:r>
        <w:t xml:space="preserve">, ahead of print, December 1. </w:t>
      </w:r>
      <w:hyperlink r:id="rId20">
        <w:r>
          <w:rPr>
            <w:rStyle w:val="Hyperlink"/>
          </w:rPr>
          <w:t>https://doi.org/10.1016/J.ENPOL.2018.08.044</w:t>
        </w:r>
      </w:hyperlink>
      <w:r>
        <w:t>.</w:t>
      </w:r>
    </w:p>
    <w:p w14:paraId="13792617" w14:textId="77777777" w:rsidR="00EF0C79" w:rsidRDefault="00000000">
      <w:pPr>
        <w:pStyle w:val="Bibliography"/>
      </w:pPr>
      <w:bookmarkStart w:id="19" w:name="ref-Ter26"/>
      <w:bookmarkEnd w:id="18"/>
      <w:r>
        <w:t xml:space="preserve">Ter-Mkrtchyan, Ani V., Kuhika Gupta, H. Jenkins‐Smith, J. Ripberger, and Carol L. Silva. 2026. “Public Nuclear Preferences in the United States in the Context of Climate Change: Exploring Inter‐ and Intra‐Group Variations.” </w:t>
      </w:r>
      <w:r>
        <w:rPr>
          <w:i/>
          <w:iCs/>
        </w:rPr>
        <w:t>Policy Studies Journal</w:t>
      </w:r>
      <w:r>
        <w:t xml:space="preserve">, ahead of print, April 17. </w:t>
      </w:r>
      <w:hyperlink r:id="rId21">
        <w:r>
          <w:rPr>
            <w:rStyle w:val="Hyperlink"/>
          </w:rPr>
          <w:t>https://doi.org/10.1111/psj.70121</w:t>
        </w:r>
      </w:hyperlink>
      <w:r>
        <w:t>.</w:t>
      </w:r>
    </w:p>
    <w:p w14:paraId="29B6F7A7" w14:textId="77777777" w:rsidR="00EF0C79" w:rsidRDefault="00000000">
      <w:pPr>
        <w:pStyle w:val="Bibliography"/>
      </w:pPr>
      <w:bookmarkStart w:id="20" w:name="ref-Yeo14"/>
      <w:bookmarkEnd w:id="19"/>
      <w:r>
        <w:t xml:space="preserve">Yeo, Sara K., M. Cacciatore, D. Brossard, et al. 2014. “Partisan Amplification of Risk: American Perceptions of Nuclear Energy Risk in the Wake of the Fukushima Daiichi Disaster.” </w:t>
      </w:r>
      <w:r>
        <w:rPr>
          <w:i/>
          <w:iCs/>
        </w:rPr>
        <w:t>Energy Policy</w:t>
      </w:r>
      <w:r>
        <w:t xml:space="preserve"> 67 (April): 727–36. </w:t>
      </w:r>
      <w:hyperlink r:id="rId22">
        <w:r>
          <w:rPr>
            <w:rStyle w:val="Hyperlink"/>
          </w:rPr>
          <w:t>https://doi.org/10.1016/J.ENPOL.2013.11.061</w:t>
        </w:r>
      </w:hyperlink>
      <w:r>
        <w:t>.</w:t>
      </w:r>
      <w:bookmarkEnd w:id="4"/>
      <w:bookmarkEnd w:id="20"/>
    </w:p>
    <w:sectPr w:rsidR="00EF0C79">
      <w:headerReference w:type="default" r:id="rId23"/>
      <w:footerReference w:type="default" r:id="rId24"/>
      <w:headerReference w:type="first" r:id="rId25"/>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CB61" w14:textId="77777777" w:rsidR="000F4A0C" w:rsidRDefault="000F4A0C">
      <w:pPr>
        <w:spacing w:after="0"/>
      </w:pPr>
      <w:r>
        <w:separator/>
      </w:r>
    </w:p>
  </w:endnote>
  <w:endnote w:type="continuationSeparator" w:id="0">
    <w:p w14:paraId="56D564EE" w14:textId="77777777" w:rsidR="000F4A0C" w:rsidRDefault="000F4A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558C" w14:textId="3F0F8C4C" w:rsidR="00EF0C79" w:rsidRDefault="00000000">
    <w:pPr>
      <w:pBdr>
        <w:top w:val="single" w:sz="4" w:space="4" w:color="CCCCCC"/>
      </w:pBdr>
      <w:jc w:val="center"/>
    </w:pPr>
    <w:r>
      <w:rPr>
        <w:color w:val="808080"/>
        <w:sz w:val="16"/>
        <w:szCs w:val="16"/>
      </w:rPr>
      <w:fldChar w:fldCharType="begin"/>
    </w:r>
    <w:r>
      <w:rPr>
        <w:color w:val="808080"/>
        <w:sz w:val="16"/>
        <w:szCs w:val="16"/>
      </w:rPr>
      <w:instrText xml:space="preserve"> PAGE </w:instrText>
    </w:r>
    <w:r w:rsidR="00D33A15">
      <w:rPr>
        <w:color w:val="808080"/>
        <w:sz w:val="16"/>
        <w:szCs w:val="16"/>
      </w:rPr>
      <w:fldChar w:fldCharType="separate"/>
    </w:r>
    <w:r w:rsidR="00D33A15">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 xml:space="preserve"> NUMPAGES </w:instrText>
    </w:r>
    <w:r w:rsidR="00D33A15">
      <w:rPr>
        <w:color w:val="808080"/>
        <w:sz w:val="16"/>
        <w:szCs w:val="16"/>
      </w:rPr>
      <w:fldChar w:fldCharType="separate"/>
    </w:r>
    <w:r w:rsidR="00D33A15">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DFD4" w14:textId="77777777" w:rsidR="000F4A0C" w:rsidRDefault="000F4A0C">
      <w:pPr>
        <w:spacing w:after="0"/>
      </w:pPr>
      <w:r>
        <w:separator/>
      </w:r>
    </w:p>
  </w:footnote>
  <w:footnote w:type="continuationSeparator" w:id="0">
    <w:p w14:paraId="0E630BBB" w14:textId="77777777" w:rsidR="000F4A0C" w:rsidRDefault="000F4A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0EE3" w14:textId="77777777" w:rsidR="00EF0C79" w:rsidRDefault="00000000">
    <w:pPr>
      <w:pBdr>
        <w:bottom w:val="single" w:sz="4" w:space="4" w:color="CCCCCC"/>
      </w:pBdr>
      <w:tabs>
        <w:tab w:val="center" w:pos="4680"/>
        <w:tab w:val="right" w:pos="9360"/>
      </w:tabs>
    </w:pPr>
    <w:r>
      <w:fldChar w:fldCharType="begin"/>
    </w:r>
    <w:r>
      <w:instrText>HYPERLINK "https://undermind.ai" \h</w:instrText>
    </w:r>
    <w:r>
      <w:fldChar w:fldCharType="separate"/>
    </w:r>
    <w:proofErr w:type="spellStart"/>
    <w:r>
      <w:rPr>
        <w:rStyle w:val="Hyperlink"/>
        <w:b/>
        <w:sz w:val="16"/>
        <w:szCs w:val="16"/>
      </w:rPr>
      <w:t>Undermind</w:t>
    </w:r>
    <w:proofErr w:type="spellEnd"/>
    <w:r>
      <w:fldChar w:fldCharType="end"/>
    </w:r>
    <w:r>
      <w:rPr>
        <w:color w:val="808080"/>
        <w:sz w:val="16"/>
        <w:szCs w:val="16"/>
      </w:rPr>
      <w:tab/>
      <w:t>US energy polarization briefing</w:t>
    </w:r>
    <w:r>
      <w:rPr>
        <w:color w:val="808080"/>
        <w:sz w:val="16"/>
        <w:szCs w:val="16"/>
      </w:rPr>
      <w:tab/>
      <w:t>June 3,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10A3" w14:textId="77777777" w:rsidR="00EF0C79" w:rsidRDefault="00000000">
    <w:pPr>
      <w:pBdr>
        <w:bottom w:val="single" w:sz="4" w:space="4" w:color="CCCCCC"/>
      </w:pBdr>
      <w:jc w:val="center"/>
    </w:pPr>
    <w:hyperlink r:id="rId1">
      <w:proofErr w:type="spellStart"/>
      <w:r>
        <w:rPr>
          <w:rStyle w:val="Hyperlink"/>
          <w:b/>
          <w:sz w:val="16"/>
          <w:szCs w:val="16"/>
        </w:rPr>
        <w:t>Undermind</w:t>
      </w:r>
      <w:proofErr w:type="spellEnd"/>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4C3E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CA59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89557851">
    <w:abstractNumId w:val="0"/>
  </w:num>
  <w:num w:numId="2" w16cid:durableId="110782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0C79"/>
    <w:rsid w:val="000F4A0C"/>
    <w:rsid w:val="00D33A15"/>
    <w:rsid w:val="00E93517"/>
    <w:rsid w:val="00EF0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A4E926"/>
  <w15:docId w15:val="{E94F2084-D34E-4F4E-9C81-03BFBB53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12" w:space="4" w:color="0F1B61"/>
      </w:pBdr>
      <w:spacing w:before="360" w:after="160"/>
      <w:outlineLvl w:val="0"/>
    </w:pPr>
    <w:rPr>
      <w:b/>
      <w:bCs/>
      <w:color w:val="0F1B61"/>
      <w:sz w:val="44"/>
      <w:szCs w:val="44"/>
    </w:rPr>
  </w:style>
  <w:style w:type="paragraph" w:styleId="Heading2">
    <w:name w:val="heading 2"/>
    <w:basedOn w:val="Normal"/>
    <w:next w:val="BodyText"/>
    <w:link w:val="Heading2Char"/>
    <w:uiPriority w:val="9"/>
    <w:semiHidden/>
    <w:unhideWhenUsed/>
    <w:qFormat/>
    <w:rsid w:val="00A10FD9"/>
    <w:pPr>
      <w:keepNext/>
      <w:keepLines/>
      <w:spacing w:before="240" w:after="120"/>
      <w:outlineLvl w:val="1"/>
    </w:pPr>
    <w:rPr>
      <w:b/>
      <w:bCs/>
      <w:color w:val="1A3A7A"/>
      <w:sz w:val="30"/>
      <w:szCs w:val="30"/>
    </w:rPr>
  </w:style>
  <w:style w:type="paragraph" w:styleId="Heading3">
    <w:name w:val="heading 3"/>
    <w:basedOn w:val="Normal"/>
    <w:next w:val="BodyText"/>
    <w:link w:val="Heading3Char"/>
    <w:uiPriority w:val="9"/>
    <w:semiHidden/>
    <w:unhideWhenUsed/>
    <w:qFormat/>
    <w:rsid w:val="00A10FD9"/>
    <w:pPr>
      <w:keepNext/>
      <w:keepLines/>
      <w:spacing w:before="200" w:after="100"/>
      <w:outlineLvl w:val="2"/>
    </w:pPr>
    <w:rPr>
      <w:b/>
      <w:bCs/>
      <w:color w:val="2D5AA0"/>
      <w:sz w:val="25"/>
      <w:szCs w:val="25"/>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line="276"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2"/>
      <w:szCs w:val="22"/>
    </w:rPr>
  </w:style>
  <w:style w:type="paragraph" w:styleId="Date">
    <w:name w:val="Date"/>
    <w:basedOn w:val="Title"/>
    <w:next w:val="BodyText"/>
    <w:qFormat/>
    <w:pPr>
      <w:keepNext/>
      <w:keepLines/>
    </w:pPr>
    <w:rPr>
      <w:sz w:val="22"/>
      <w:szCs w:val="22"/>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b/>
      <w:bCs/>
      <w:color w:val="0F1B61"/>
      <w:sz w:val="44"/>
      <w:szCs w:val="44"/>
    </w:rPr>
  </w:style>
  <w:style w:type="character" w:customStyle="1" w:styleId="Heading2Char">
    <w:name w:val="Heading 2 Char"/>
    <w:basedOn w:val="DefaultParagraphFont"/>
    <w:link w:val="Heading2"/>
    <w:uiPriority w:val="9"/>
    <w:semiHidden/>
    <w:rsid w:val="00A10FD9"/>
    <w:rPr>
      <w:b/>
      <w:bCs/>
      <w:color w:val="1A3A7A"/>
      <w:sz w:val="30"/>
      <w:szCs w:val="30"/>
    </w:rPr>
  </w:style>
  <w:style w:type="character" w:customStyle="1" w:styleId="Heading3Char">
    <w:name w:val="Heading 3 Char"/>
    <w:basedOn w:val="DefaultParagraphFont"/>
    <w:link w:val="Heading3"/>
    <w:uiPriority w:val="9"/>
    <w:semiHidden/>
    <w:rsid w:val="00A10FD9"/>
    <w:rPr>
      <w:b/>
      <w:bCs/>
      <w:color w:val="2D5AA0"/>
      <w:sz w:val="25"/>
      <w:szCs w:val="25"/>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nil"/>
        <w:left w:val="nil"/>
        <w:bottom w:val="single" w:sz="4" w:space="0" w:color="E0E0E0"/>
        <w:right w:val="nil"/>
        <w:insideH w:val="single" w:sz="4" w:space="0" w:color="E0E0E0"/>
        <w:insideV w:val="nil"/>
      </w:tblBorders>
      <w:tblCellMar>
        <w:top w:w="80" w:type="dxa"/>
        <w:left w:w="108" w:type="dxa"/>
        <w:bottom w:w="80" w:type="dxa"/>
        <w:right w:w="108" w:type="dxa"/>
      </w:tblCellMar>
    </w:tblPr>
    <w:tblStylePr w:type="firstRow">
      <w:rPr>
        <w:b/>
        <w:bCs/>
      </w:rPr>
      <w:tblPr/>
      <w:tcPr>
        <w:tcBorders>
          <w:bottom w:val="single" w:sz="12" w:space="0" w:color="0F1B61"/>
        </w:tcBorders>
        <w:shd w:val="clear" w:color="auto" w:fill="F0F3FA"/>
        <w:vAlign w:val="bottom"/>
      </w:tcPr>
    </w:tblStylePr>
    <w:tblStylePr w:type="band1Horz">
      <w:tblPr/>
      <w:tcPr>
        <w:shd w:val="clear" w:color="auto" w:fill="FAFAFA"/>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33A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8/2516-1083/ab9592" TargetMode="External"/><Relationship Id="rId13" Type="http://schemas.openxmlformats.org/officeDocument/2006/relationships/hyperlink" Target="https://doi.org/10.1016/j.enpol.2020.111448" TargetMode="External"/><Relationship Id="rId18" Type="http://schemas.openxmlformats.org/officeDocument/2006/relationships/hyperlink" Target="https://doi.org/10.1016/J.ERSS.2019.05.020"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111/psj.70121" TargetMode="External"/><Relationship Id="rId7" Type="http://schemas.openxmlformats.org/officeDocument/2006/relationships/hyperlink" Target="https://doi.org/10.1016/J.ERSS.2018.08.017" TargetMode="External"/><Relationship Id="rId12" Type="http://schemas.openxmlformats.org/officeDocument/2006/relationships/hyperlink" Target="https://doi.org/10.1016/J.ENPOL.2019.110888" TargetMode="External"/><Relationship Id="rId17" Type="http://schemas.openxmlformats.org/officeDocument/2006/relationships/hyperlink" Target="https://doi.org/10.1016/J.ERSS.2020.101769"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doi.org/10.1016/J.ERSS.2019.101243" TargetMode="External"/><Relationship Id="rId20" Type="http://schemas.openxmlformats.org/officeDocument/2006/relationships/hyperlink" Target="https://doi.org/10.1016/J.ENPOL.2018.08.04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GLOENVCHA.2018.05.004"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6/J.ENPOL.2021.112156" TargetMode="External"/><Relationship Id="rId23" Type="http://schemas.openxmlformats.org/officeDocument/2006/relationships/header" Target="header1.xml"/><Relationship Id="rId10" Type="http://schemas.openxmlformats.org/officeDocument/2006/relationships/hyperlink" Target="https://doi.org/10.1111/ROPR.12048" TargetMode="External"/><Relationship Id="rId19" Type="http://schemas.openxmlformats.org/officeDocument/2006/relationships/hyperlink" Target="https://doi.org/10.1016/J.ERSS.2019.02.022" TargetMode="External"/><Relationship Id="rId4" Type="http://schemas.openxmlformats.org/officeDocument/2006/relationships/webSettings" Target="webSettings.xml"/><Relationship Id="rId9" Type="http://schemas.openxmlformats.org/officeDocument/2006/relationships/hyperlink" Target="https://doi.org/10.1016/J.ERSS.2019.01.005" TargetMode="External"/><Relationship Id="rId14" Type="http://schemas.openxmlformats.org/officeDocument/2006/relationships/hyperlink" Target="https://doi.org/10.1186/s13705-018-0152-5" TargetMode="External"/><Relationship Id="rId22" Type="http://schemas.openxmlformats.org/officeDocument/2006/relationships/hyperlink" Target="https://doi.org/10.1016/J.ENPOL.2013.11.061"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s://undermin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2107</Words>
  <Characters>12011</Characters>
  <Application>Microsoft Office Word</Application>
  <DocSecurity>0</DocSecurity>
  <Lines>100</Lines>
  <Paragraphs>28</Paragraphs>
  <ScaleCrop>false</ScaleCrop>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energy polarization briefing</dc:title>
  <dc:creator/>
  <cp:keywords/>
  <cp:lastModifiedBy>Nowlin, Matthew Christopher</cp:lastModifiedBy>
  <cp:revision>2</cp:revision>
  <dcterms:created xsi:type="dcterms:W3CDTF">1970-01-01T00:00:00Z</dcterms:created>
  <dcterms:modified xsi:type="dcterms:W3CDTF">2026-06-04T14:52:00Z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/tmp/tmpadvu9hnd/references.json</vt:lpwstr>
  </property>
  <property fmtid="{D5CDD505-2E9C-101B-9397-08002B2CF9AE}" pid="3" name="csl">
    <vt:lpwstr>/home/ec2-user/django_website_abstract/config/export/citation_styles/chicago-author-date.csl</vt:lpwstr>
  </property>
  <property fmtid="{D5CDD505-2E9C-101B-9397-08002B2CF9AE}" pid="4" name="date">
    <vt:lpwstr>June 3, 2026</vt:lpwstr>
  </property>
</Properties>
</file>