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Who Does the Public Trust on Energy Issues?</w:t>
      </w:r>
    </w:p>
    <w:p>
      <w:pPr>
        <w:pStyle w:val="Author"/>
      </w:pPr>
      <w:r>
        <w:t xml:space="preserve">Matthew C. Nowlin</w:t>
      </w:r>
      <w:r>
        <w:rPr>
          <w:rStyle w:val="FootnoteReference"/>
        </w:rPr>
        <w:footnoteReference w:id="9"/>
      </w:r>
    </w:p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paper, I examine the patterns of whom the US public trusts with regard to energy policy. Specifically, I use Latent Class Analysis (LCA) to demonstrate those patterns. Next, I examine how demographics and political beliefs are associated with specific classes of trust who are highly trusted. Finally, I explore if demographics, political beliefs, and classes of trusted actors are associated with concern regarding several energy policy issues.</w:t>
      </w:r>
    </w:p>
    <w:bookmarkEnd w:id="10"/>
    <w:bookmarkStart w:id="11" w:name="public-trust-in-policy-actors"/>
    <w:p>
      <w:pPr>
        <w:pStyle w:val="Heading1"/>
      </w:pPr>
      <w:r>
        <w:t xml:space="preserve">Public Trust in Policy Actors</w:t>
      </w:r>
    </w:p>
    <w:bookmarkEnd w:id="11"/>
    <w:bookmarkStart w:id="14" w:name="data-and-methods"/>
    <w:p>
      <w:pPr>
        <w:pStyle w:val="Heading1"/>
      </w:pPr>
      <w:r>
        <w:t xml:space="preserve">Data and Methods</w:t>
      </w:r>
    </w:p>
    <w:bookmarkStart w:id="13" w:name="latent-class-analysis"/>
    <w:p>
      <w:pPr>
        <w:pStyle w:val="Heading2"/>
      </w:pPr>
      <w:r>
        <w:t xml:space="preserve">Latent Class Analysis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lca-mode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Fit statistics for competing latent class solutions (k = 2-9)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57"/>
              <w:gridCol w:w="905"/>
              <w:gridCol w:w="905"/>
              <w:gridCol w:w="1697"/>
              <w:gridCol w:w="905"/>
              <w:gridCol w:w="214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Classes (k)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Log-Likelihood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Entropy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Smallest Class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84724.8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84356.2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-42117.1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81829.3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81273.3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-40544.6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79640.5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78897.1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-39325.6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78886.7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77956.0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-38824.0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78283.5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77165.5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-38397.7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77872.1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76566.7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-38067.4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77598.0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76105.3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-37805.7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77380.7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75700.7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-37572.3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6.3</w:t>
                  </w:r>
                </w:p>
              </w:tc>
            </w:tr>
          </w:tbl>
          <w:bookmarkEnd w:id="12"/>
          <w:p/>
        </w:tc>
      </w:tr>
    </w:tbl>
    <w:bookmarkEnd w:id="13"/>
    <w:bookmarkEnd w:id="14"/>
    <w:bookmarkStart w:id="22" w:name="results"/>
    <w:p>
      <w:pPr>
        <w:pStyle w:val="Heading1"/>
      </w:pPr>
      <w:r>
        <w:t xml:space="preserve">Results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lca-class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Latent class sizes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Percent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Trust in Scientists &amp; Environmental 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Broad Institutional Trust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Generalized Low Trust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Deep Distrust of All Actors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15.5</w:t>
                  </w:r>
                </w:p>
              </w:tc>
            </w:tr>
          </w:tbl>
          <w:bookmarkEnd w:id="1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lca-profi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Probability of high trust (7-10 on a 0-10 scale) in each actor, by latent class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energy-actors-trust_files/figure-docx/fig-lca-profile-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1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mn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Multinomial logit coefficient estimates predicting trust-class membership (reference class: Trust in Scientists &amp; Environmental Groups, 33.2%). Standard errors are in parentheses.</w:t>
            </w:r>
          </w:p>
          <w:tbl>
            <w:tblPr>
              <w:tblStyle w:val="Table"/>
              <w:tblW w:type="pct" w:w="4920"/>
              <w:tblLayout w:type="fixed"/>
              <w:tblLook w:firstRow="1" w:lastRow="1" w:firstColumn="0" w:lastColumn="0" w:noHBand="0" w:noVBand="0" w:val="0020"/>
            </w:tblPr>
            <w:tblGrid>
              <w:gridCol w:w="1077"/>
              <w:gridCol w:w="2280"/>
              <w:gridCol w:w="2027"/>
              <w:gridCol w:w="240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Institutional Trust (26.5%)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Generalized Low Trust (24.7%)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 Distrust of All Actors (15.5%)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-1.991***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-1.331***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-0.813**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(0.290)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(0.282)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(0.296)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0.007*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0.008*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(0.003)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(0.004)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(0.004)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-0.205†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-0.179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(0.113)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(0.125)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white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-0.425***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-0.450***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-0.186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(0.124)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(0.138)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-0.234†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-0.387**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(0.114)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(0.122)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(0.137)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-0.055*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-0.086***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(0.021)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democrat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-0.657***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-1.247***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(0.205)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(0.193)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(0.203)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republican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0.693**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0.495*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(0.235)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(0.224)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trump.approval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0.933***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1.083***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0.857***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(0.082)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Num.Obs.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3113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 Adj.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7510.4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7673.6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>
                  <w:gridSpan w:val="4"/>
                </w:tcPr>
                <w:p>
                  <w:pPr>
                    <w:pStyle w:val="Compact"/>
                    <w:jc w:val="center"/>
                  </w:pPr>
                  <w:r>
                    <w:t xml:space="preserve">† p &lt; 0.1, * p &lt; 0.05, ** p &lt; 0.01, *** p &lt; 0.001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ncer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Validity check: weighted regression predicting concern about pollution from trust-class membership</w:t>
            </w:r>
          </w:p>
          <w:tbl>
            <w:tblPr>
              <w:tblStyle w:val="Table"/>
              <w:tblW w:type="pct" w:w="4653"/>
              <w:tblLayout w:type="fixed"/>
              <w:tblLook w:firstRow="1" w:lastRow="1" w:firstColumn="0" w:lastColumn="0" w:noHBand="0" w:noVBand="0" w:val="0020"/>
            </w:tblPr>
            <w:tblGrid>
              <w:gridCol w:w="4510"/>
              <w:gridCol w:w="28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Concern about Pollution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7.856***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(0.266)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(0.004)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-0.516***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(0.112)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white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-0.124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(0.123)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0.224*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-0.034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(0.021)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democrat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(0.164)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republican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-0.831***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(0.198)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trump.approval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-0.312***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(0.065)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trust_classBroad Institutional Trust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(0.137)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trust_classGeneralized Low Trust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-0.835***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(0.153)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trust_classDeep Distrust of All Actors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-1.287***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(0.199)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Num.Obs.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R2 Adj.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15144.8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15223.4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2.42</w:t>
                  </w:r>
                </w:p>
              </w:tc>
            </w:tr>
            <w:tr>
              <w:tc>
                <w:tcPr>
                  <w:gridSpan w:val="2"/>
                </w:tcPr>
                <w:p>
                  <w:pPr>
                    <w:pStyle w:val="Compact"/>
                    <w:jc w:val="center"/>
                  </w:pPr>
                  <w:r>
                    <w:t xml:space="preserve">† p &lt; 0.1, * p &lt; 0.05, ** p &lt; 0.01, *** p &lt; 0.001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discussion"/>
    <w:p>
      <w:pPr>
        <w:pStyle w:val="Heading1"/>
      </w:pPr>
      <w:r>
        <w:t xml:space="preserve">Discussion</w:t>
      </w:r>
    </w:p>
    <w:bookmarkEnd w:id="23"/>
    <w:bookmarkStart w:id="24" w:name="conclusion"/>
    <w:p>
      <w:pPr>
        <w:pStyle w:val="Heading1"/>
      </w:pPr>
      <w:r>
        <w:t xml:space="preserve">Conclusion</w:t>
      </w:r>
    </w:p>
    <w:p>
      <w:r>
        <w:br w:type="page"/>
      </w:r>
    </w:p>
    <w:bookmarkEnd w:id="24"/>
    <w:bookmarkStart w:id="25" w:name="references"/>
    <w:p>
      <w:pPr>
        <w:pStyle w:val="Heading1"/>
      </w:pPr>
      <w:r>
        <w:t xml:space="preserve">References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Associate Professor, Department of Political Science, University of Texas at Arlington. Email: matthew.nowlin@uta.edu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b/>
      <w:bCs/>
      <w:rFonts w:asciiTheme="majorHAnsi" w:cstheme="majorBidi" w:eastAsiaTheme="majorEastAsia" w:hAnsiTheme="majorHAnsi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b/>
      <w:bCs/>
      <w:rFonts w:asciiTheme="majorHAnsi" w:cstheme="majorBidi" w:eastAsiaTheme="majorEastAsia" w:hAnsiTheme="majorHAnsi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sz w:val="24"/>
      <w:szCs w:val="24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sz w:val="24"/>
      <w:szCs w:val="24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sz w:val="24"/>
      <w:szCs w:val="24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b/>
      <w:bCs/>
      <w:sz w:val="24"/>
      <w:szCs w:val="24"/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bCs/>
      <w:sz w:val="24"/>
      <w:szCs w:val="24"/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bCs/>
      <w:sz w:val="24"/>
      <w:szCs w:val="24"/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b/>
      <w:bCs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b/>
      <w:bCs/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b/>
      <w:bCs/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Does the Public Trust on Energy Issues?</dc:title>
  <dc:creator>Matthew C. Nowlin</dc:creator>
  <cp:keywords/>
  <dcterms:created xsi:type="dcterms:W3CDTF">2026-09-14T22:41:03Z</dcterms:created>
  <dcterms:modified xsi:type="dcterms:W3CDTF">2026-09-14T22:41:03Z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american-political-science-association.csl</vt:lpwstr>
  </property>
  <property fmtid="{D5CDD505-2E9C-101B-9397-08002B2CF9AE}" pid="7" name="engines">
    <vt:lpwstr/>
  </property>
  <property fmtid="{D5CDD505-2E9C-101B-9397-08002B2CF9AE}" pid="8" name="fig-cap-location">
    <vt:lpwstr>top</vt:lpwstr>
  </property>
  <property fmtid="{D5CDD505-2E9C-101B-9397-08002B2CF9AE}" pid="9" name="fontfamily">
    <vt:lpwstr>ebgaramond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k-bibliography">
    <vt:lpwstr>False</vt:lpwstr>
  </property>
  <property fmtid="{D5CDD505-2E9C-101B-9397-08002B2CF9AE}" pid="15" name="toc-title">
    <vt:lpwstr>Table of contents</vt:lpwstr>
  </property>
</Properties>
</file>