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Supplemental Materials for</w:t>
      </w:r>
      <w:r>
        <w:t xml:space="preserve"> </w:t>
      </w:r>
      <w:r>
        <w:rPr>
          <w:i/>
          <w:iCs/>
        </w:rPr>
        <w:t xml:space="preserve">Environmental Belief System Networks and Pro-Environmental Behavior</w:t>
      </w:r>
    </w:p>
    <w:p>
      <w:pPr>
        <w:pStyle w:val="Author"/>
      </w:pPr>
      <w:r>
        <w:t xml:space="preserve">Matthew C. Nowlin</w:t>
      </w:r>
    </w:p>
    <w:bookmarkStart w:id="17" w:name="X476560303cc46a14691fbd731e3a13f9a4a8f89"/>
    <w:p>
      <w:pPr>
        <w:pStyle w:val="Heading1"/>
      </w:pPr>
      <w:r>
        <w:t xml:space="preserve">S1. Dimensionality of the Study 1 NEP and CNS scales</w:t>
      </w:r>
    </w:p>
    <w:p>
      <w:pPr>
        <w:pStyle w:val="FirstParagraph"/>
      </w:pPr>
      <w:r>
        <w:t xml:space="preserve">I use exploratory graph analysis (EGA) and unique variable analysis (UVA) to check that the New Ecological Paradigm (NEP) and Connectedness to Nature Scale (CNS) items each form a single dimension before the scales enter the belief network. EGA estimates a regularized partial-correlation network over the items and detects communities with the Walktrap algorithm. A bootstrap with 500 resamples assesses the stability of that structure. UVA flags locally redundant item pairs with weighted topological overlap (wTO), using a redundancy threshold of 0.25.</w:t>
      </w:r>
    </w:p>
    <w:p>
      <w:pPr>
        <w:pStyle w:val="BodyText"/>
      </w:pPr>
      <w:r>
        <w:t xml:space="preserve">For both scales the EGA solution splits into two communities that separate the forward-worded from the reverse-worded items rather than distinct content facets (</w:t>
      </w:r>
      <w:hyperlink w:anchor="fig-ega">
        <w:r>
          <w:rPr>
            <w:rStyle w:val="Hyperlink"/>
          </w:rPr>
          <w:t xml:space="preserve">Figure 1</w:t>
        </w:r>
      </w:hyperlink>
      <w:r>
        <w:t xml:space="preserve">;</w:t>
      </w:r>
      <w:r>
        <w:t xml:space="preserve"> </w:t>
      </w:r>
      <w:hyperlink w:anchor="tbl-ega-stability">
        <w:r>
          <w:rPr>
            <w:rStyle w:val="Hyperlink"/>
          </w:rPr>
          <w:t xml:space="preserve">Table 1</w:t>
        </w:r>
      </w:hyperlink>
      <w:r>
        <w:t xml:space="preserve">,</w:t>
      </w:r>
      <w:r>
        <w:t xml:space="preserve"> </w:t>
      </w:r>
      <w:hyperlink w:anchor="tbl-ega-comm">
        <w:r>
          <w:rPr>
            <w:rStyle w:val="Hyperlink"/>
          </w:rPr>
          <w:t xml:space="preserve">Table 2</w:t>
        </w:r>
      </w:hyperlink>
      <w:r>
        <w:t xml:space="preserve">). This is a wording artifact rather than substantive multidimensionality, so I treat each scale as one dimension. UVA flags no item pairs above the 0.25 threshold (</w:t>
      </w:r>
      <w:hyperlink w:anchor="tbl-uva">
        <w:r>
          <w:rPr>
            <w:rStyle w:val="Hyperlink"/>
          </w:rPr>
          <w:t xml:space="preserve">Table 3</w:t>
        </w:r>
      </w:hyperlink>
      <w:r>
        <w:t xml:space="preserve">), so I do not drop or combine any items. A single-dimension EGA network score and the unit-weighted item mean correlate above .97 for each scale and relate to the behavior measures almost identically (</w:t>
      </w:r>
      <w:hyperlink w:anchor="tbl-ega-scorecor">
        <w:r>
          <w:rPr>
            <w:rStyle w:val="Hyperlink"/>
          </w:rPr>
          <w:t xml:space="preserve">Table 4</w:t>
        </w:r>
      </w:hyperlink>
      <w:r>
        <w:t xml:space="preserve">), so the analysis in the main text uses the item means.</w:t>
      </w:r>
    </w:p>
    <w:tbl>
      <w:tblPr>
        <w:tblStyle w:val="Table"/>
        <w:tblW w:type="pct" w:w="5000"/>
        <w:tblLayout w:type="fixed"/>
        <w:tblLook w:firstRow="0" w:lastRow="0" w:firstColumn="0" w:lastColumn="0" w:noHBand="0" w:noVBand="0" w:val="0000"/>
      </w:tblPr>
      <w:tblGrid>
        <w:gridCol w:w="7920"/>
      </w:tblGrid>
      <w:tr>
        <w:tc>
          <w:tcPr/>
          <w:bookmarkStart w:id="12" w:name="fig-ega"/>
          <w:p>
            <w:pPr>
              <w:jc w:val="center"/>
            </w:pPr>
            <w:pPr>
              <w:jc w:val="left"/>
              <w:spacing w:before="200"/>
              <w:pStyle w:val="ImageCaption"/>
            </w:pPr>
            <w:r>
              <w:t xml:space="preserve">Figure 1: Exploratory graph analysis of the NEP and CNS items, separately and jointly. Nodes are items, edges are regularized partial correlations, and node color is the detected Walktrap community. Communities separate forward-worded from reverse-worded items.</w:t>
            </w:r>
          </w:p>
          <w:p>
            <w:pPr>
              <w:pStyle w:val="Compact"/>
              <w:jc w:val="center"/>
            </w:pPr>
            <w:r>
              <w:drawing>
                <wp:inline>
                  <wp:extent cx="5334000" cy="8534400"/>
                  <wp:effectExtent b="0" l="0" r="0" t="0"/>
                  <wp:docPr descr="" title="" id="10" name="Picture"/>
                  <a:graphic>
                    <a:graphicData uri="http://schemas.openxmlformats.org/drawingml/2006/picture">
                      <pic:pic>
                        <pic:nvPicPr>
                          <pic:cNvPr descr="environ-beliefs-supplement_files/figure-docx/fig-ega-1.png" id="11" name="Picture"/>
                          <pic:cNvPicPr>
                            <a:picLocks noChangeArrowheads="1" noChangeAspect="1"/>
                          </pic:cNvPicPr>
                        </pic:nvPicPr>
                        <pic:blipFill>
                          <a:blip r:embed="rId9"/>
                          <a:stretch>
                            <a:fillRect/>
                          </a:stretch>
                        </pic:blipFill>
                        <pic:spPr bwMode="auto">
                          <a:xfrm>
                            <a:off x="0" y="0"/>
                            <a:ext cx="5334000" cy="8534400"/>
                          </a:xfrm>
                          <a:prstGeom prst="rect">
                            <a:avLst/>
                          </a:prstGeom>
                          <a:noFill/>
                          <a:ln w="9525">
                            <a:noFill/>
                            <a:headEnd/>
                            <a:tailEnd/>
                          </a:ln>
                        </pic:spPr>
                      </pic:pic>
                    </a:graphicData>
                  </a:graphic>
                </wp:inline>
              </w:drawing>
            </w:r>
          </w:p>
          <w:bookmarkEnd w:id="12"/>
        </w:tc>
      </w:tr>
    </w:tbl>
    <w:tbl>
      <w:tblPr>
        <w:tblStyle w:val="Table"/>
        <w:tblW w:type="pct" w:w="5000"/>
        <w:tblLayout w:type="fixed"/>
        <w:tblLook w:firstRow="0" w:lastRow="0" w:firstColumn="0" w:lastColumn="0" w:noHBand="0" w:noVBand="0" w:val="0000"/>
      </w:tblPr>
      <w:tblGrid>
        <w:gridCol w:w="7920"/>
      </w:tblGrid>
      <w:tr>
        <w:tc>
          <w:tcPr/>
          <w:bookmarkStart w:id="13" w:name="tbl-ega-stability"/>
          <w:p>
            <w:pPr>
              <w:jc w:val="center"/>
            </w:pPr>
            <w:pPr>
              <w:jc w:val="left"/>
              <w:spacing w:before="200"/>
              <w:pStyle w:val="ImageCaption"/>
            </w:pPr>
            <w:r>
              <w:t xml:space="preserve">Table 1: EGA dimensionality and bootstrap (500 resamples) stability for the NEP and CNS item sets. Structural consistency is reported for each detected community.</w:t>
            </w:r>
          </w:p>
          <w:tbl>
            <w:tblPr>
              <w:tblStyle w:val="Table"/>
              <w:tblW w:type="pct" w:w="5000"/>
              <w:tblLayout w:type="fixed"/>
              <w:tblLook w:firstRow="1" w:lastRow="0" w:firstColumn="0" w:lastColumn="0" w:noHBand="0" w:noVBand="0" w:val="0020"/>
            </w:tblPr>
            <w:tblGrid>
              <w:gridCol w:w="409"/>
              <w:gridCol w:w="409"/>
              <w:gridCol w:w="409"/>
              <w:gridCol w:w="1024"/>
              <w:gridCol w:w="1297"/>
              <w:gridCol w:w="1433"/>
              <w:gridCol w:w="1570"/>
              <w:gridCol w:w="1365"/>
            </w:tblGrid>
            <w:tr>
              <w:trPr>
                <w:tblHeader w:val="on"/>
              </w:trPr>
              <w:tc>
                <w:tcPr/>
                <w:p>
                  <w:pPr>
                    <w:pStyle w:val="Compact"/>
                    <w:jc w:val="left"/>
                    <w:jc w:val="center"/>
                  </w:pPr>
                  <w:r>
                    <w:t xml:space="preserve">Scale</w:t>
                  </w:r>
                </w:p>
              </w:tc>
              <w:tc>
                <w:tcPr/>
                <w:p>
                  <w:pPr>
                    <w:pStyle w:val="Compact"/>
                    <w:jc w:val="right"/>
                    <w:jc w:val="center"/>
                  </w:pPr>
                  <w:r>
                    <w:t xml:space="preserve">Items</w:t>
                  </w:r>
                </w:p>
              </w:tc>
              <w:tc>
                <w:tcPr/>
                <w:p>
                  <w:pPr>
                    <w:pStyle w:val="Compact"/>
                    <w:jc w:val="right"/>
                    <w:jc w:val="center"/>
                  </w:pPr>
                  <w:r>
                    <w:t xml:space="preserve">alpha</w:t>
                  </w:r>
                </w:p>
              </w:tc>
              <w:tc>
                <w:tcPr/>
                <w:p>
                  <w:pPr>
                    <w:pStyle w:val="Compact"/>
                    <w:jc w:val="right"/>
                    <w:jc w:val="center"/>
                  </w:pPr>
                  <w:r>
                    <w:t xml:space="preserve">EGA dimensions</w:t>
                  </w:r>
                </w:p>
              </w:tc>
              <w:tc>
                <w:tcPr/>
                <w:p>
                  <w:pPr>
                    <w:pStyle w:val="Compact"/>
                    <w:jc w:val="right"/>
                    <w:jc w:val="center"/>
                  </w:pPr>
                  <w:r>
                    <w:t xml:space="preserve">bootEGA median dim</w:t>
                  </w:r>
                </w:p>
              </w:tc>
              <w:tc>
                <w:tcPr/>
                <w:p>
                  <w:pPr>
                    <w:pStyle w:val="Compact"/>
                    <w:jc w:val="left"/>
                    <w:jc w:val="center"/>
                  </w:pPr>
                  <w:r>
                    <w:t xml:space="preserve">bootEGA modal dim</w:t>
                  </w:r>
                </w:p>
              </w:tc>
              <w:tc>
                <w:tcPr/>
                <w:p>
                  <w:pPr>
                    <w:pStyle w:val="Compact"/>
                    <w:jc w:val="left"/>
                    <w:jc w:val="center"/>
                  </w:pPr>
                  <w:r>
                    <w:t xml:space="preserve">Structural consistency</w:t>
                  </w:r>
                </w:p>
              </w:tc>
              <w:tc>
                <w:tcPr/>
                <w:p>
                  <w:pPr>
                    <w:pStyle w:val="Compact"/>
                    <w:jc w:val="right"/>
                    <w:jc w:val="center"/>
                  </w:pPr>
                  <w:r>
                    <w:t xml:space="preserve">Mean item stability</w:t>
                  </w:r>
                </w:p>
              </w:tc>
            </w:tr>
            <w:tr>
              <w:tc>
                <w:tcPr/>
                <w:p>
                  <w:pPr>
                    <w:pStyle w:val="Compact"/>
                    <w:jc w:val="left"/>
                    <w:jc w:val="center"/>
                  </w:pPr>
                  <w:r>
                    <w:t xml:space="preserve">NEP</w:t>
                  </w:r>
                </w:p>
              </w:tc>
              <w:tc>
                <w:tcPr/>
                <w:p>
                  <w:pPr>
                    <w:pStyle w:val="Compact"/>
                    <w:jc w:val="right"/>
                    <w:jc w:val="center"/>
                  </w:pPr>
                  <w:r>
                    <w:t xml:space="preserve">15</w:t>
                  </w:r>
                </w:p>
              </w:tc>
              <w:tc>
                <w:tcPr/>
                <w:p>
                  <w:pPr>
                    <w:pStyle w:val="Compact"/>
                    <w:jc w:val="right"/>
                    <w:jc w:val="center"/>
                  </w:pPr>
                  <w:r>
                    <w:t xml:space="preserve">0.82</w:t>
                  </w:r>
                </w:p>
              </w:tc>
              <w:tc>
                <w:tcPr/>
                <w:p>
                  <w:pPr>
                    <w:pStyle w:val="Compact"/>
                    <w:jc w:val="right"/>
                    <w:jc w:val="center"/>
                  </w:pPr>
                  <w:r>
                    <w:t xml:space="preserve">2</w:t>
                  </w:r>
                </w:p>
              </w:tc>
              <w:tc>
                <w:tcPr/>
                <w:p>
                  <w:pPr>
                    <w:pStyle w:val="Compact"/>
                    <w:jc w:val="right"/>
                    <w:jc w:val="center"/>
                  </w:pPr>
                  <w:r>
                    <w:t xml:space="preserve">2</w:t>
                  </w:r>
                </w:p>
              </w:tc>
              <w:tc>
                <w:tcPr/>
                <w:p>
                  <w:pPr>
                    <w:pStyle w:val="Compact"/>
                    <w:jc w:val="left"/>
                    <w:jc w:val="center"/>
                  </w:pPr>
                  <w:r>
                    <w:t xml:space="preserve">2 (85% of resamples)</w:t>
                  </w:r>
                </w:p>
              </w:tc>
              <w:tc>
                <w:tcPr/>
                <w:p>
                  <w:pPr>
                    <w:pStyle w:val="Compact"/>
                    <w:jc w:val="left"/>
                    <w:jc w:val="center"/>
                  </w:pPr>
                  <w:r>
                    <w:t xml:space="preserve">0.75 / 0.78</w:t>
                  </w:r>
                </w:p>
              </w:tc>
              <w:tc>
                <w:tcPr/>
                <w:p>
                  <w:pPr>
                    <w:pStyle w:val="Compact"/>
                    <w:jc w:val="right"/>
                    <w:jc w:val="center"/>
                  </w:pPr>
                  <w:r>
                    <w:t xml:space="preserve">0.96</w:t>
                  </w:r>
                </w:p>
              </w:tc>
            </w:tr>
            <w:tr>
              <w:tc>
                <w:tcPr/>
                <w:p>
                  <w:pPr>
                    <w:pStyle w:val="Compact"/>
                    <w:jc w:val="left"/>
                    <w:jc w:val="center"/>
                  </w:pPr>
                  <w:r>
                    <w:t xml:space="preserve">CNS</w:t>
                  </w:r>
                </w:p>
              </w:tc>
              <w:tc>
                <w:tcPr/>
                <w:p>
                  <w:pPr>
                    <w:pStyle w:val="Compact"/>
                    <w:jc w:val="right"/>
                    <w:jc w:val="center"/>
                  </w:pPr>
                  <w:r>
                    <w:t xml:space="preserve">14</w:t>
                  </w:r>
                </w:p>
              </w:tc>
              <w:tc>
                <w:tcPr/>
                <w:p>
                  <w:pPr>
                    <w:pStyle w:val="Compact"/>
                    <w:jc w:val="right"/>
                    <w:jc w:val="center"/>
                  </w:pPr>
                  <w:r>
                    <w:t xml:space="preserve">0.81</w:t>
                  </w:r>
                </w:p>
              </w:tc>
              <w:tc>
                <w:tcPr/>
                <w:p>
                  <w:pPr>
                    <w:pStyle w:val="Compact"/>
                    <w:jc w:val="right"/>
                    <w:jc w:val="center"/>
                  </w:pPr>
                  <w:r>
                    <w:t xml:space="preserve">2</w:t>
                  </w:r>
                </w:p>
              </w:tc>
              <w:tc>
                <w:tcPr/>
                <w:p>
                  <w:pPr>
                    <w:pStyle w:val="Compact"/>
                    <w:jc w:val="right"/>
                    <w:jc w:val="center"/>
                  </w:pPr>
                  <w:r>
                    <w:t xml:space="preserve">2</w:t>
                  </w:r>
                </w:p>
              </w:tc>
              <w:tc>
                <w:tcPr/>
                <w:p>
                  <w:pPr>
                    <w:pStyle w:val="Compact"/>
                    <w:jc w:val="left"/>
                    <w:jc w:val="center"/>
                  </w:pPr>
                  <w:r>
                    <w:t xml:space="preserve">2 (68% of resamples)</w:t>
                  </w:r>
                </w:p>
              </w:tc>
              <w:tc>
                <w:tcPr/>
                <w:p>
                  <w:pPr>
                    <w:pStyle w:val="Compact"/>
                    <w:jc w:val="left"/>
                    <w:jc w:val="center"/>
                  </w:pPr>
                  <w:r>
                    <w:t xml:space="preserve">0.59 / 0.93</w:t>
                  </w:r>
                </w:p>
              </w:tc>
              <w:tc>
                <w:tcPr/>
                <w:p>
                  <w:pPr>
                    <w:pStyle w:val="Compact"/>
                    <w:jc w:val="right"/>
                    <w:jc w:val="center"/>
                  </w:pPr>
                  <w:r>
                    <w:t xml:space="preserve">0.88</w:t>
                  </w:r>
                </w:p>
              </w:tc>
            </w:tr>
          </w:tbl>
          <w:bookmarkEnd w:id="1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 w:name="tbl-ega-comm"/>
          <w:p>
            <w:pPr>
              <w:jc w:val="center"/>
            </w:pPr>
            <w:pPr>
              <w:jc w:val="left"/>
              <w:spacing w:before="200"/>
              <w:pStyle w:val="ImageCaption"/>
            </w:pPr>
            <w:r>
              <w:t xml:space="preserve">Table 2: Item-to-community assignment for the per-scale and joint NEP and CNS EGA solutions, with bootstrap item stability, by scale and item keying.</w:t>
            </w:r>
          </w:p>
          <w:tbl>
            <w:tblPr>
              <w:tblStyle w:val="Table"/>
              <w:tblW w:type="pct" w:w="5000"/>
              <w:tblLayout w:type="fixed"/>
              <w:tblLook w:firstRow="1" w:lastRow="0" w:firstColumn="0" w:lastColumn="0" w:noHBand="0" w:noVBand="0" w:val="0020"/>
            </w:tblPr>
            <w:tblGrid>
              <w:gridCol w:w="782"/>
              <w:gridCol w:w="586"/>
              <w:gridCol w:w="782"/>
              <w:gridCol w:w="2151"/>
              <w:gridCol w:w="2151"/>
              <w:gridCol w:w="1466"/>
            </w:tblGrid>
            <w:tr>
              <w:trPr>
                <w:tblHeader w:val="on"/>
              </w:trPr>
              <w:tc>
                <w:tcPr/>
                <w:p>
                  <w:pPr>
                    <w:pStyle w:val="Compact"/>
                    <w:jc w:val="left"/>
                    <w:jc w:val="center"/>
                  </w:pPr>
                  <w:r>
                    <w:t xml:space="preserve">Item</w:t>
                  </w:r>
                </w:p>
              </w:tc>
              <w:tc>
                <w:tcPr/>
                <w:p>
                  <w:pPr>
                    <w:pStyle w:val="Compact"/>
                    <w:jc w:val="left"/>
                    <w:jc w:val="center"/>
                  </w:pPr>
                  <w:r>
                    <w:t xml:space="preserve">Scale</w:t>
                  </w:r>
                </w:p>
              </w:tc>
              <w:tc>
                <w:tcPr/>
                <w:p>
                  <w:pPr>
                    <w:pStyle w:val="Compact"/>
                    <w:jc w:val="left"/>
                    <w:jc w:val="center"/>
                  </w:pPr>
                  <w:r>
                    <w:t xml:space="preserve">Keying</w:t>
                  </w:r>
                </w:p>
              </w:tc>
              <w:tc>
                <w:tcPr/>
                <w:p>
                  <w:pPr>
                    <w:pStyle w:val="Compact"/>
                    <w:jc w:val="right"/>
                    <w:jc w:val="center"/>
                  </w:pPr>
                  <w:r>
                    <w:t xml:space="preserve">Community (scale EGA)</w:t>
                  </w:r>
                </w:p>
              </w:tc>
              <w:tc>
                <w:tcPr/>
                <w:p>
                  <w:pPr>
                    <w:pStyle w:val="Compact"/>
                    <w:jc w:val="right"/>
                    <w:jc w:val="center"/>
                  </w:pPr>
                  <w:r>
                    <w:t xml:space="preserve">Community (joint EGA)</w:t>
                  </w:r>
                </w:p>
              </w:tc>
              <w:tc>
                <w:tcPr/>
                <w:p>
                  <w:pPr>
                    <w:pStyle w:val="Compact"/>
                    <w:jc w:val="right"/>
                    <w:jc w:val="center"/>
                  </w:pPr>
                  <w:r>
                    <w:t xml:space="preserve">Item stability</w:t>
                  </w:r>
                </w:p>
              </w:tc>
            </w:tr>
            <w:tr>
              <w:tc>
                <w:tcPr/>
                <w:p>
                  <w:pPr>
                    <w:pStyle w:val="Compact"/>
                    <w:jc w:val="left"/>
                    <w:jc w:val="center"/>
                  </w:pPr>
                  <w:r>
                    <w:t xml:space="preserve">nep1</w:t>
                  </w:r>
                </w:p>
              </w:tc>
              <w:tc>
                <w:tcPr/>
                <w:p>
                  <w:pPr>
                    <w:pStyle w:val="Compact"/>
                    <w:jc w:val="left"/>
                    <w:jc w:val="center"/>
                  </w:pPr>
                  <w:r>
                    <w:t xml:space="preserve">NEP</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0.994</w:t>
                  </w:r>
                </w:p>
              </w:tc>
            </w:tr>
            <w:tr>
              <w:tc>
                <w:tcPr/>
                <w:p>
                  <w:pPr>
                    <w:pStyle w:val="Compact"/>
                    <w:jc w:val="left"/>
                    <w:jc w:val="center"/>
                  </w:pPr>
                  <w:r>
                    <w:t xml:space="preserve">nep2_r</w:t>
                  </w:r>
                </w:p>
              </w:tc>
              <w:tc>
                <w:tcPr/>
                <w:p>
                  <w:pPr>
                    <w:pStyle w:val="Compact"/>
                    <w:jc w:val="left"/>
                    <w:jc w:val="center"/>
                  </w:pPr>
                  <w:r>
                    <w:t xml:space="preserve">NEP</w:t>
                  </w:r>
                </w:p>
              </w:tc>
              <w:tc>
                <w:tcPr/>
                <w:p>
                  <w:pPr>
                    <w:pStyle w:val="Compact"/>
                    <w:jc w:val="left"/>
                    <w:jc w:val="center"/>
                  </w:pPr>
                  <w:r>
                    <w:t xml:space="preserve">reverse</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1.000</w:t>
                  </w:r>
                </w:p>
              </w:tc>
            </w:tr>
            <w:tr>
              <w:tc>
                <w:tcPr/>
                <w:p>
                  <w:pPr>
                    <w:pStyle w:val="Compact"/>
                    <w:jc w:val="left"/>
                    <w:jc w:val="center"/>
                  </w:pPr>
                  <w:r>
                    <w:t xml:space="preserve">nep3</w:t>
                  </w:r>
                </w:p>
              </w:tc>
              <w:tc>
                <w:tcPr/>
                <w:p>
                  <w:pPr>
                    <w:pStyle w:val="Compact"/>
                    <w:jc w:val="left"/>
                    <w:jc w:val="center"/>
                  </w:pPr>
                  <w:r>
                    <w:t xml:space="preserve">NEP</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1.000</w:t>
                  </w:r>
                </w:p>
              </w:tc>
            </w:tr>
            <w:tr>
              <w:tc>
                <w:tcPr/>
                <w:p>
                  <w:pPr>
                    <w:pStyle w:val="Compact"/>
                    <w:jc w:val="left"/>
                    <w:jc w:val="center"/>
                  </w:pPr>
                  <w:r>
                    <w:t xml:space="preserve">nep4_r</w:t>
                  </w:r>
                </w:p>
              </w:tc>
              <w:tc>
                <w:tcPr/>
                <w:p>
                  <w:pPr>
                    <w:pStyle w:val="Compact"/>
                    <w:jc w:val="left"/>
                    <w:jc w:val="center"/>
                  </w:pPr>
                  <w:r>
                    <w:t xml:space="preserve">NEP</w:t>
                  </w:r>
                </w:p>
              </w:tc>
              <w:tc>
                <w:tcPr/>
                <w:p>
                  <w:pPr>
                    <w:pStyle w:val="Compact"/>
                    <w:jc w:val="left"/>
                    <w:jc w:val="center"/>
                  </w:pPr>
                  <w:r>
                    <w:t xml:space="preserve">reverse</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1.000</w:t>
                  </w:r>
                </w:p>
              </w:tc>
            </w:tr>
            <w:tr>
              <w:tc>
                <w:tcPr/>
                <w:p>
                  <w:pPr>
                    <w:pStyle w:val="Compact"/>
                    <w:jc w:val="left"/>
                    <w:jc w:val="center"/>
                  </w:pPr>
                  <w:r>
                    <w:t xml:space="preserve">nep5</w:t>
                  </w:r>
                </w:p>
              </w:tc>
              <w:tc>
                <w:tcPr/>
                <w:p>
                  <w:pPr>
                    <w:pStyle w:val="Compact"/>
                    <w:jc w:val="left"/>
                    <w:jc w:val="center"/>
                  </w:pPr>
                  <w:r>
                    <w:t xml:space="preserve">NEP</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1.000</w:t>
                  </w:r>
                </w:p>
              </w:tc>
            </w:tr>
            <w:tr>
              <w:tc>
                <w:tcPr/>
                <w:p>
                  <w:pPr>
                    <w:pStyle w:val="Compact"/>
                    <w:jc w:val="left"/>
                    <w:jc w:val="center"/>
                  </w:pPr>
                  <w:r>
                    <w:t xml:space="preserve">nep6_r</w:t>
                  </w:r>
                </w:p>
              </w:tc>
              <w:tc>
                <w:tcPr/>
                <w:p>
                  <w:pPr>
                    <w:pStyle w:val="Compact"/>
                    <w:jc w:val="left"/>
                    <w:jc w:val="center"/>
                  </w:pPr>
                  <w:r>
                    <w:t xml:space="preserve">NEP</w:t>
                  </w:r>
                </w:p>
              </w:tc>
              <w:tc>
                <w:tcPr/>
                <w:p>
                  <w:pPr>
                    <w:pStyle w:val="Compact"/>
                    <w:jc w:val="left"/>
                    <w:jc w:val="center"/>
                  </w:pPr>
                  <w:r>
                    <w:t xml:space="preserve">reverse</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0.778</w:t>
                  </w:r>
                </w:p>
              </w:tc>
            </w:tr>
            <w:tr>
              <w:tc>
                <w:tcPr/>
                <w:p>
                  <w:pPr>
                    <w:pStyle w:val="Compact"/>
                    <w:jc w:val="left"/>
                    <w:jc w:val="center"/>
                  </w:pPr>
                  <w:r>
                    <w:t xml:space="preserve">nep7</w:t>
                  </w:r>
                </w:p>
              </w:tc>
              <w:tc>
                <w:tcPr/>
                <w:p>
                  <w:pPr>
                    <w:pStyle w:val="Compact"/>
                    <w:jc w:val="left"/>
                    <w:jc w:val="center"/>
                  </w:pPr>
                  <w:r>
                    <w:t xml:space="preserve">NEP</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0.756</w:t>
                  </w:r>
                </w:p>
              </w:tc>
            </w:tr>
            <w:tr>
              <w:tc>
                <w:tcPr/>
                <w:p>
                  <w:pPr>
                    <w:pStyle w:val="Compact"/>
                    <w:jc w:val="left"/>
                    <w:jc w:val="center"/>
                  </w:pPr>
                  <w:r>
                    <w:t xml:space="preserve">nep8_r</w:t>
                  </w:r>
                </w:p>
              </w:tc>
              <w:tc>
                <w:tcPr/>
                <w:p>
                  <w:pPr>
                    <w:pStyle w:val="Compact"/>
                    <w:jc w:val="left"/>
                    <w:jc w:val="center"/>
                  </w:pPr>
                  <w:r>
                    <w:t xml:space="preserve">NEP</w:t>
                  </w:r>
                </w:p>
              </w:tc>
              <w:tc>
                <w:tcPr/>
                <w:p>
                  <w:pPr>
                    <w:pStyle w:val="Compact"/>
                    <w:jc w:val="left"/>
                    <w:jc w:val="center"/>
                  </w:pPr>
                  <w:r>
                    <w:t xml:space="preserve">reverse</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1.000</w:t>
                  </w:r>
                </w:p>
              </w:tc>
            </w:tr>
            <w:tr>
              <w:tc>
                <w:tcPr/>
                <w:p>
                  <w:pPr>
                    <w:pStyle w:val="Compact"/>
                    <w:jc w:val="left"/>
                    <w:jc w:val="center"/>
                  </w:pPr>
                  <w:r>
                    <w:t xml:space="preserve">nep9</w:t>
                  </w:r>
                </w:p>
              </w:tc>
              <w:tc>
                <w:tcPr/>
                <w:p>
                  <w:pPr>
                    <w:pStyle w:val="Compact"/>
                    <w:jc w:val="left"/>
                    <w:jc w:val="center"/>
                  </w:pPr>
                  <w:r>
                    <w:t xml:space="preserve">NEP</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0.940</w:t>
                  </w:r>
                </w:p>
              </w:tc>
            </w:tr>
            <w:tr>
              <w:tc>
                <w:tcPr/>
                <w:p>
                  <w:pPr>
                    <w:pStyle w:val="Compact"/>
                    <w:jc w:val="left"/>
                    <w:jc w:val="center"/>
                  </w:pPr>
                  <w:r>
                    <w:t xml:space="preserve">nep10_r</w:t>
                  </w:r>
                </w:p>
              </w:tc>
              <w:tc>
                <w:tcPr/>
                <w:p>
                  <w:pPr>
                    <w:pStyle w:val="Compact"/>
                    <w:jc w:val="left"/>
                    <w:jc w:val="center"/>
                  </w:pPr>
                  <w:r>
                    <w:t xml:space="preserve">NEP</w:t>
                  </w:r>
                </w:p>
              </w:tc>
              <w:tc>
                <w:tcPr/>
                <w:p>
                  <w:pPr>
                    <w:pStyle w:val="Compact"/>
                    <w:jc w:val="left"/>
                    <w:jc w:val="center"/>
                  </w:pPr>
                  <w:r>
                    <w:t xml:space="preserve">reverse</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1.000</w:t>
                  </w:r>
                </w:p>
              </w:tc>
            </w:tr>
            <w:tr>
              <w:tc>
                <w:tcPr/>
                <w:p>
                  <w:pPr>
                    <w:pStyle w:val="Compact"/>
                    <w:jc w:val="left"/>
                    <w:jc w:val="center"/>
                  </w:pPr>
                  <w:r>
                    <w:t xml:space="preserve">nep11</w:t>
                  </w:r>
                </w:p>
              </w:tc>
              <w:tc>
                <w:tcPr/>
                <w:p>
                  <w:pPr>
                    <w:pStyle w:val="Compact"/>
                    <w:jc w:val="left"/>
                    <w:jc w:val="center"/>
                  </w:pPr>
                  <w:r>
                    <w:t xml:space="preserve">NEP</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0.994</w:t>
                  </w:r>
                </w:p>
              </w:tc>
            </w:tr>
            <w:tr>
              <w:tc>
                <w:tcPr/>
                <w:p>
                  <w:pPr>
                    <w:pStyle w:val="Compact"/>
                    <w:jc w:val="left"/>
                    <w:jc w:val="center"/>
                  </w:pPr>
                  <w:r>
                    <w:t xml:space="preserve">nep12_r</w:t>
                  </w:r>
                </w:p>
              </w:tc>
              <w:tc>
                <w:tcPr/>
                <w:p>
                  <w:pPr>
                    <w:pStyle w:val="Compact"/>
                    <w:jc w:val="left"/>
                    <w:jc w:val="center"/>
                  </w:pPr>
                  <w:r>
                    <w:t xml:space="preserve">NEP</w:t>
                  </w:r>
                </w:p>
              </w:tc>
              <w:tc>
                <w:tcPr/>
                <w:p>
                  <w:pPr>
                    <w:pStyle w:val="Compact"/>
                    <w:jc w:val="left"/>
                    <w:jc w:val="center"/>
                  </w:pPr>
                  <w:r>
                    <w:t xml:space="preserve">reverse</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1.000</w:t>
                  </w:r>
                </w:p>
              </w:tc>
            </w:tr>
            <w:tr>
              <w:tc>
                <w:tcPr/>
                <w:p>
                  <w:pPr>
                    <w:pStyle w:val="Compact"/>
                    <w:jc w:val="left"/>
                    <w:jc w:val="center"/>
                  </w:pPr>
                  <w:r>
                    <w:t xml:space="preserve">nep13</w:t>
                  </w:r>
                </w:p>
              </w:tc>
              <w:tc>
                <w:tcPr/>
                <w:p>
                  <w:pPr>
                    <w:pStyle w:val="Compact"/>
                    <w:jc w:val="left"/>
                    <w:jc w:val="center"/>
                  </w:pPr>
                  <w:r>
                    <w:t xml:space="preserve">NEP</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0.990</w:t>
                  </w:r>
                </w:p>
              </w:tc>
            </w:tr>
            <w:tr>
              <w:tc>
                <w:tcPr/>
                <w:p>
                  <w:pPr>
                    <w:pStyle w:val="Compact"/>
                    <w:jc w:val="left"/>
                    <w:jc w:val="center"/>
                  </w:pPr>
                  <w:r>
                    <w:t xml:space="preserve">nep14_r</w:t>
                  </w:r>
                </w:p>
              </w:tc>
              <w:tc>
                <w:tcPr/>
                <w:p>
                  <w:pPr>
                    <w:pStyle w:val="Compact"/>
                    <w:jc w:val="left"/>
                    <w:jc w:val="center"/>
                  </w:pPr>
                  <w:r>
                    <w:t xml:space="preserve">NEP</w:t>
                  </w:r>
                </w:p>
              </w:tc>
              <w:tc>
                <w:tcPr/>
                <w:p>
                  <w:pPr>
                    <w:pStyle w:val="Compact"/>
                    <w:jc w:val="left"/>
                    <w:jc w:val="center"/>
                  </w:pPr>
                  <w:r>
                    <w:t xml:space="preserve">reverse</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1.000</w:t>
                  </w:r>
                </w:p>
              </w:tc>
            </w:tr>
            <w:tr>
              <w:tc>
                <w:tcPr/>
                <w:p>
                  <w:pPr>
                    <w:pStyle w:val="Compact"/>
                    <w:jc w:val="left"/>
                    <w:jc w:val="center"/>
                  </w:pPr>
                  <w:r>
                    <w:t xml:space="preserve">nep15</w:t>
                  </w:r>
                </w:p>
              </w:tc>
              <w:tc>
                <w:tcPr/>
                <w:p>
                  <w:pPr>
                    <w:pStyle w:val="Compact"/>
                    <w:jc w:val="left"/>
                    <w:jc w:val="center"/>
                  </w:pPr>
                  <w:r>
                    <w:t xml:space="preserve">NEP</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1.000</w:t>
                  </w:r>
                </w:p>
              </w:tc>
            </w:tr>
            <w:tr>
              <w:tc>
                <w:tcPr/>
                <w:p>
                  <w:pPr>
                    <w:pStyle w:val="Compact"/>
                    <w:jc w:val="left"/>
                    <w:jc w:val="center"/>
                  </w:pPr>
                  <w:r>
                    <w:t xml:space="preserve">cns1</w:t>
                  </w:r>
                </w:p>
              </w:tc>
              <w:tc>
                <w:tcPr/>
                <w:p>
                  <w:pPr>
                    <w:pStyle w:val="Compact"/>
                    <w:jc w:val="left"/>
                    <w:jc w:val="center"/>
                  </w:pPr>
                  <w:r>
                    <w:t xml:space="preserve">CNS</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0.866</w:t>
                  </w:r>
                </w:p>
              </w:tc>
            </w:tr>
            <w:tr>
              <w:tc>
                <w:tcPr/>
                <w:p>
                  <w:pPr>
                    <w:pStyle w:val="Compact"/>
                    <w:jc w:val="left"/>
                    <w:jc w:val="center"/>
                  </w:pPr>
                  <w:r>
                    <w:t xml:space="preserve">cns2</w:t>
                  </w:r>
                </w:p>
              </w:tc>
              <w:tc>
                <w:tcPr/>
                <w:p>
                  <w:pPr>
                    <w:pStyle w:val="Compact"/>
                    <w:jc w:val="left"/>
                    <w:jc w:val="center"/>
                  </w:pPr>
                  <w:r>
                    <w:t xml:space="preserve">CNS</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0.862</w:t>
                  </w:r>
                </w:p>
              </w:tc>
            </w:tr>
            <w:tr>
              <w:tc>
                <w:tcPr/>
                <w:p>
                  <w:pPr>
                    <w:pStyle w:val="Compact"/>
                    <w:jc w:val="left"/>
                    <w:jc w:val="center"/>
                  </w:pPr>
                  <w:r>
                    <w:t xml:space="preserve">cns3</w:t>
                  </w:r>
                </w:p>
              </w:tc>
              <w:tc>
                <w:tcPr/>
                <w:p>
                  <w:pPr>
                    <w:pStyle w:val="Compact"/>
                    <w:jc w:val="left"/>
                    <w:jc w:val="center"/>
                  </w:pPr>
                  <w:r>
                    <w:t xml:space="preserve">CNS</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0.902</w:t>
                  </w:r>
                </w:p>
              </w:tc>
            </w:tr>
            <w:tr>
              <w:tc>
                <w:tcPr/>
                <w:p>
                  <w:pPr>
                    <w:pStyle w:val="Compact"/>
                    <w:jc w:val="left"/>
                    <w:jc w:val="center"/>
                  </w:pPr>
                  <w:r>
                    <w:t xml:space="preserve">cns4_r</w:t>
                  </w:r>
                </w:p>
              </w:tc>
              <w:tc>
                <w:tcPr/>
                <w:p>
                  <w:pPr>
                    <w:pStyle w:val="Compact"/>
                    <w:jc w:val="left"/>
                    <w:jc w:val="center"/>
                  </w:pPr>
                  <w:r>
                    <w:t xml:space="preserve">CNS</w:t>
                  </w:r>
                </w:p>
              </w:tc>
              <w:tc>
                <w:tcPr/>
                <w:p>
                  <w:pPr>
                    <w:pStyle w:val="Compact"/>
                    <w:jc w:val="left"/>
                    <w:jc w:val="center"/>
                  </w:pPr>
                  <w:r>
                    <w:t xml:space="preserve">reverse</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0.876</w:t>
                  </w:r>
                </w:p>
              </w:tc>
            </w:tr>
            <w:tr>
              <w:tc>
                <w:tcPr/>
                <w:p>
                  <w:pPr>
                    <w:pStyle w:val="Compact"/>
                    <w:jc w:val="left"/>
                    <w:jc w:val="center"/>
                  </w:pPr>
                  <w:r>
                    <w:t xml:space="preserve">cns5</w:t>
                  </w:r>
                </w:p>
              </w:tc>
              <w:tc>
                <w:tcPr/>
                <w:p>
                  <w:pPr>
                    <w:pStyle w:val="Compact"/>
                    <w:jc w:val="left"/>
                    <w:jc w:val="center"/>
                  </w:pPr>
                  <w:r>
                    <w:t xml:space="preserve">CNS</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0.928</w:t>
                  </w:r>
                </w:p>
              </w:tc>
            </w:tr>
            <w:tr>
              <w:tc>
                <w:tcPr/>
                <w:p>
                  <w:pPr>
                    <w:pStyle w:val="Compact"/>
                    <w:jc w:val="left"/>
                    <w:jc w:val="center"/>
                  </w:pPr>
                  <w:r>
                    <w:t xml:space="preserve">cns6</w:t>
                  </w:r>
                </w:p>
              </w:tc>
              <w:tc>
                <w:tcPr/>
                <w:p>
                  <w:pPr>
                    <w:pStyle w:val="Compact"/>
                    <w:jc w:val="left"/>
                    <w:jc w:val="center"/>
                  </w:pPr>
                  <w:r>
                    <w:t xml:space="preserve">CNS</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0.900</w:t>
                  </w:r>
                </w:p>
              </w:tc>
            </w:tr>
            <w:tr>
              <w:tc>
                <w:tcPr/>
                <w:p>
                  <w:pPr>
                    <w:pStyle w:val="Compact"/>
                    <w:jc w:val="left"/>
                    <w:jc w:val="center"/>
                  </w:pPr>
                  <w:r>
                    <w:t xml:space="preserve">cns7</w:t>
                  </w:r>
                </w:p>
              </w:tc>
              <w:tc>
                <w:tcPr/>
                <w:p>
                  <w:pPr>
                    <w:pStyle w:val="Compact"/>
                    <w:jc w:val="left"/>
                    <w:jc w:val="center"/>
                  </w:pPr>
                  <w:r>
                    <w:t xml:space="preserve">CNS</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0.940</w:t>
                  </w:r>
                </w:p>
              </w:tc>
            </w:tr>
            <w:tr>
              <w:tc>
                <w:tcPr/>
                <w:p>
                  <w:pPr>
                    <w:pStyle w:val="Compact"/>
                    <w:jc w:val="left"/>
                    <w:jc w:val="center"/>
                  </w:pPr>
                  <w:r>
                    <w:t xml:space="preserve">cns8</w:t>
                  </w:r>
                </w:p>
              </w:tc>
              <w:tc>
                <w:tcPr/>
                <w:p>
                  <w:pPr>
                    <w:pStyle w:val="Compact"/>
                    <w:jc w:val="left"/>
                    <w:jc w:val="center"/>
                  </w:pPr>
                  <w:r>
                    <w:t xml:space="preserve">CNS</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0.820</w:t>
                  </w:r>
                </w:p>
              </w:tc>
            </w:tr>
            <w:tr>
              <w:tc>
                <w:tcPr/>
                <w:p>
                  <w:pPr>
                    <w:pStyle w:val="Compact"/>
                    <w:jc w:val="left"/>
                    <w:jc w:val="center"/>
                  </w:pPr>
                  <w:r>
                    <w:t xml:space="preserve">cns9</w:t>
                  </w:r>
                </w:p>
              </w:tc>
              <w:tc>
                <w:tcPr/>
                <w:p>
                  <w:pPr>
                    <w:pStyle w:val="Compact"/>
                    <w:jc w:val="left"/>
                    <w:jc w:val="center"/>
                  </w:pPr>
                  <w:r>
                    <w:t xml:space="preserve">CNS</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0.884</w:t>
                  </w:r>
                </w:p>
              </w:tc>
            </w:tr>
            <w:tr>
              <w:tc>
                <w:tcPr/>
                <w:p>
                  <w:pPr>
                    <w:pStyle w:val="Compact"/>
                    <w:jc w:val="left"/>
                    <w:jc w:val="center"/>
                  </w:pPr>
                  <w:r>
                    <w:t xml:space="preserve">cns10</w:t>
                  </w:r>
                </w:p>
              </w:tc>
              <w:tc>
                <w:tcPr/>
                <w:p>
                  <w:pPr>
                    <w:pStyle w:val="Compact"/>
                    <w:jc w:val="left"/>
                    <w:jc w:val="center"/>
                  </w:pPr>
                  <w:r>
                    <w:t xml:space="preserve">CNS</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0.930</w:t>
                  </w:r>
                </w:p>
              </w:tc>
            </w:tr>
            <w:tr>
              <w:tc>
                <w:tcPr/>
                <w:p>
                  <w:pPr>
                    <w:pStyle w:val="Compact"/>
                    <w:jc w:val="left"/>
                    <w:jc w:val="center"/>
                  </w:pPr>
                  <w:r>
                    <w:t xml:space="preserve">cns11</w:t>
                  </w:r>
                </w:p>
              </w:tc>
              <w:tc>
                <w:tcPr/>
                <w:p>
                  <w:pPr>
                    <w:pStyle w:val="Compact"/>
                    <w:jc w:val="left"/>
                    <w:jc w:val="center"/>
                  </w:pPr>
                  <w:r>
                    <w:t xml:space="preserve">CNS</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3</w:t>
                  </w:r>
                </w:p>
              </w:tc>
              <w:tc>
                <w:tcPr/>
                <w:p>
                  <w:pPr>
                    <w:pStyle w:val="Compact"/>
                    <w:jc w:val="right"/>
                    <w:jc w:val="center"/>
                  </w:pPr>
                  <w:r>
                    <w:t xml:space="preserve">0.894</w:t>
                  </w:r>
                </w:p>
              </w:tc>
            </w:tr>
            <w:tr>
              <w:tc>
                <w:tcPr/>
                <w:p>
                  <w:pPr>
                    <w:pStyle w:val="Compact"/>
                    <w:jc w:val="left"/>
                    <w:jc w:val="center"/>
                  </w:pPr>
                  <w:r>
                    <w:t xml:space="preserve">cns12_r</w:t>
                  </w:r>
                </w:p>
              </w:tc>
              <w:tc>
                <w:tcPr/>
                <w:p>
                  <w:pPr>
                    <w:pStyle w:val="Compact"/>
                    <w:jc w:val="left"/>
                    <w:jc w:val="center"/>
                  </w:pPr>
                  <w:r>
                    <w:t xml:space="preserve">CNS</w:t>
                  </w:r>
                </w:p>
              </w:tc>
              <w:tc>
                <w:tcPr/>
                <w:p>
                  <w:pPr>
                    <w:pStyle w:val="Compact"/>
                    <w:jc w:val="left"/>
                    <w:jc w:val="center"/>
                  </w:pPr>
                  <w:r>
                    <w:t xml:space="preserve">reverse</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0.906</w:t>
                  </w:r>
                </w:p>
              </w:tc>
            </w:tr>
            <w:tr>
              <w:tc>
                <w:tcPr/>
                <w:p>
                  <w:pPr>
                    <w:pStyle w:val="Compact"/>
                    <w:jc w:val="left"/>
                    <w:jc w:val="center"/>
                  </w:pPr>
                  <w:r>
                    <w:t xml:space="preserve">cns13</w:t>
                  </w:r>
                </w:p>
              </w:tc>
              <w:tc>
                <w:tcPr/>
                <w:p>
                  <w:pPr>
                    <w:pStyle w:val="Compact"/>
                    <w:jc w:val="left"/>
                    <w:jc w:val="center"/>
                  </w:pPr>
                  <w:r>
                    <w:t xml:space="preserve">CNS</w:t>
                  </w:r>
                </w:p>
              </w:tc>
              <w:tc>
                <w:tcPr/>
                <w:p>
                  <w:pPr>
                    <w:pStyle w:val="Compact"/>
                    <w:jc w:val="left"/>
                    <w:jc w:val="center"/>
                  </w:pPr>
                  <w:r>
                    <w:t xml:space="preserve">forward</w:t>
                  </w:r>
                </w:p>
              </w:tc>
              <w:tc>
                <w:tcPr/>
                <w:p>
                  <w:pPr>
                    <w:pStyle w:val="Compact"/>
                    <w:jc w:val="right"/>
                    <w:jc w:val="center"/>
                  </w:pPr>
                  <w:r>
                    <w:t xml:space="preserve">1</w:t>
                  </w:r>
                </w:p>
              </w:tc>
              <w:tc>
                <w:tcPr/>
                <w:p>
                  <w:pPr>
                    <w:pStyle w:val="Compact"/>
                    <w:jc w:val="right"/>
                    <w:jc w:val="center"/>
                  </w:pPr>
                  <w:r>
                    <w:t xml:space="preserve">1</w:t>
                  </w:r>
                </w:p>
              </w:tc>
              <w:tc>
                <w:tcPr/>
                <w:p>
                  <w:pPr>
                    <w:pStyle w:val="Compact"/>
                    <w:jc w:val="right"/>
                    <w:jc w:val="center"/>
                  </w:pPr>
                  <w:r>
                    <w:t xml:space="preserve">0.706</w:t>
                  </w:r>
                </w:p>
              </w:tc>
            </w:tr>
            <w:tr>
              <w:tc>
                <w:tcPr/>
                <w:p>
                  <w:pPr>
                    <w:pStyle w:val="Compact"/>
                    <w:jc w:val="left"/>
                    <w:jc w:val="center"/>
                  </w:pPr>
                  <w:r>
                    <w:t xml:space="preserve">cns14_r</w:t>
                  </w:r>
                </w:p>
              </w:tc>
              <w:tc>
                <w:tcPr/>
                <w:p>
                  <w:pPr>
                    <w:pStyle w:val="Compact"/>
                    <w:jc w:val="left"/>
                    <w:jc w:val="center"/>
                  </w:pPr>
                  <w:r>
                    <w:t xml:space="preserve">CNS</w:t>
                  </w:r>
                </w:p>
              </w:tc>
              <w:tc>
                <w:tcPr/>
                <w:p>
                  <w:pPr>
                    <w:pStyle w:val="Compact"/>
                    <w:jc w:val="left"/>
                    <w:jc w:val="center"/>
                  </w:pPr>
                  <w:r>
                    <w:t xml:space="preserve">reverse</w:t>
                  </w:r>
                </w:p>
              </w:tc>
              <w:tc>
                <w:tcPr/>
                <w:p>
                  <w:pPr>
                    <w:pStyle w:val="Compact"/>
                    <w:jc w:val="right"/>
                    <w:jc w:val="center"/>
                  </w:pPr>
                  <w:r>
                    <w:t xml:space="preserve">2</w:t>
                  </w:r>
                </w:p>
              </w:tc>
              <w:tc>
                <w:tcPr/>
                <w:p>
                  <w:pPr>
                    <w:pStyle w:val="Compact"/>
                    <w:jc w:val="right"/>
                    <w:jc w:val="center"/>
                  </w:pPr>
                  <w:r>
                    <w:t xml:space="preserve">2</w:t>
                  </w:r>
                </w:p>
              </w:tc>
              <w:tc>
                <w:tcPr/>
                <w:p>
                  <w:pPr>
                    <w:pStyle w:val="Compact"/>
                    <w:jc w:val="right"/>
                    <w:jc w:val="center"/>
                  </w:pPr>
                  <w:r>
                    <w:t xml:space="preserve">0.954</w:t>
                  </w:r>
                </w:p>
              </w:tc>
            </w:tr>
          </w:tbl>
          <w:bookmarkEnd w:id="1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5" w:name="tbl-uva"/>
          <w:p>
            <w:pPr>
              <w:jc w:val="center"/>
            </w:pPr>
            <w:pPr>
              <w:jc w:val="left"/>
              <w:spacing w:before="200"/>
              <w:pStyle w:val="ImageCaption"/>
            </w:pPr>
            <w:r>
              <w:t xml:space="preserve">Table 3: The five largest weighted topological overlap (wTO) values per scale from unique variable analysis. No pair reaches the wTO = 0.25 redundancy threshold.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Scale</w:t>
                  </w:r>
                </w:p>
              </w:tc>
              <w:tc>
                <w:tcPr/>
                <w:p>
                  <w:pPr>
                    <w:pStyle w:val="Compact"/>
                    <w:jc w:val="left"/>
                    <w:jc w:val="center"/>
                  </w:pPr>
                  <w:r>
                    <w:t xml:space="preserve">Item i</w:t>
                  </w:r>
                </w:p>
              </w:tc>
              <w:tc>
                <w:tcPr/>
                <w:p>
                  <w:pPr>
                    <w:pStyle w:val="Compact"/>
                    <w:jc w:val="left"/>
                    <w:jc w:val="center"/>
                  </w:pPr>
                  <w:r>
                    <w:t xml:space="preserve">Item j</w:t>
                  </w:r>
                </w:p>
              </w:tc>
              <w:tc>
                <w:tcPr/>
                <w:p>
                  <w:pPr>
                    <w:pStyle w:val="Compact"/>
                    <w:jc w:val="right"/>
                    <w:jc w:val="center"/>
                  </w:pPr>
                  <w:r>
                    <w:t xml:space="preserve">wTO</w:t>
                  </w:r>
                </w:p>
              </w:tc>
            </w:tr>
            <w:tr>
              <w:tc>
                <w:tcPr/>
                <w:p>
                  <w:pPr>
                    <w:pStyle w:val="Compact"/>
                    <w:jc w:val="left"/>
                    <w:jc w:val="center"/>
                  </w:pPr>
                  <w:r>
                    <w:t xml:space="preserve">NEP</w:t>
                  </w:r>
                </w:p>
              </w:tc>
              <w:tc>
                <w:tcPr/>
                <w:p>
                  <w:pPr>
                    <w:pStyle w:val="Compact"/>
                    <w:jc w:val="left"/>
                    <w:jc w:val="center"/>
                  </w:pPr>
                  <w:r>
                    <w:t xml:space="preserve">nep8_r</w:t>
                  </w:r>
                </w:p>
              </w:tc>
              <w:tc>
                <w:tcPr/>
                <w:p>
                  <w:pPr>
                    <w:pStyle w:val="Compact"/>
                    <w:jc w:val="left"/>
                    <w:jc w:val="center"/>
                  </w:pPr>
                  <w:r>
                    <w:t xml:space="preserve">nep10_r</w:t>
                  </w:r>
                </w:p>
              </w:tc>
              <w:tc>
                <w:tcPr/>
                <w:p>
                  <w:pPr>
                    <w:pStyle w:val="Compact"/>
                    <w:jc w:val="right"/>
                    <w:jc w:val="center"/>
                  </w:pPr>
                  <w:r>
                    <w:t xml:space="preserve">0.230</w:t>
                  </w:r>
                </w:p>
              </w:tc>
            </w:tr>
            <w:tr>
              <w:tc>
                <w:tcPr/>
                <w:p>
                  <w:pPr>
                    <w:pStyle w:val="Compact"/>
                    <w:jc w:val="left"/>
                    <w:jc w:val="center"/>
                  </w:pPr>
                  <w:r>
                    <w:t xml:space="preserve">NEP</w:t>
                  </w:r>
                </w:p>
              </w:tc>
              <w:tc>
                <w:tcPr/>
                <w:p>
                  <w:pPr>
                    <w:pStyle w:val="Compact"/>
                    <w:jc w:val="left"/>
                    <w:jc w:val="center"/>
                  </w:pPr>
                  <w:r>
                    <w:t xml:space="preserve">nep1</w:t>
                  </w:r>
                </w:p>
              </w:tc>
              <w:tc>
                <w:tcPr/>
                <w:p>
                  <w:pPr>
                    <w:pStyle w:val="Compact"/>
                    <w:jc w:val="left"/>
                    <w:jc w:val="center"/>
                  </w:pPr>
                  <w:r>
                    <w:t xml:space="preserve">nep11</w:t>
                  </w:r>
                </w:p>
              </w:tc>
              <w:tc>
                <w:tcPr/>
                <w:p>
                  <w:pPr>
                    <w:pStyle w:val="Compact"/>
                    <w:jc w:val="right"/>
                    <w:jc w:val="center"/>
                  </w:pPr>
                  <w:r>
                    <w:t xml:space="preserve">0.214</w:t>
                  </w:r>
                </w:p>
              </w:tc>
            </w:tr>
            <w:tr>
              <w:tc>
                <w:tcPr/>
                <w:p>
                  <w:pPr>
                    <w:pStyle w:val="Compact"/>
                    <w:jc w:val="left"/>
                    <w:jc w:val="center"/>
                  </w:pPr>
                  <w:r>
                    <w:t xml:space="preserve">NEP</w:t>
                  </w:r>
                </w:p>
              </w:tc>
              <w:tc>
                <w:tcPr/>
                <w:p>
                  <w:pPr>
                    <w:pStyle w:val="Compact"/>
                    <w:jc w:val="left"/>
                    <w:jc w:val="center"/>
                  </w:pPr>
                  <w:r>
                    <w:t xml:space="preserve">nep3</w:t>
                  </w:r>
                </w:p>
              </w:tc>
              <w:tc>
                <w:tcPr/>
                <w:p>
                  <w:pPr>
                    <w:pStyle w:val="Compact"/>
                    <w:jc w:val="left"/>
                    <w:jc w:val="center"/>
                  </w:pPr>
                  <w:r>
                    <w:t xml:space="preserve">nep5</w:t>
                  </w:r>
                </w:p>
              </w:tc>
              <w:tc>
                <w:tcPr/>
                <w:p>
                  <w:pPr>
                    <w:pStyle w:val="Compact"/>
                    <w:jc w:val="right"/>
                    <w:jc w:val="center"/>
                  </w:pPr>
                  <w:r>
                    <w:t xml:space="preserve">0.195</w:t>
                  </w:r>
                </w:p>
              </w:tc>
            </w:tr>
            <w:tr>
              <w:tc>
                <w:tcPr/>
                <w:p>
                  <w:pPr>
                    <w:pStyle w:val="Compact"/>
                    <w:jc w:val="left"/>
                    <w:jc w:val="center"/>
                  </w:pPr>
                  <w:r>
                    <w:t xml:space="preserve">NEP</w:t>
                  </w:r>
                </w:p>
              </w:tc>
              <w:tc>
                <w:tcPr/>
                <w:p>
                  <w:pPr>
                    <w:pStyle w:val="Compact"/>
                    <w:jc w:val="left"/>
                    <w:jc w:val="center"/>
                  </w:pPr>
                  <w:r>
                    <w:t xml:space="preserve">nep8_r</w:t>
                  </w:r>
                </w:p>
              </w:tc>
              <w:tc>
                <w:tcPr/>
                <w:p>
                  <w:pPr>
                    <w:pStyle w:val="Compact"/>
                    <w:jc w:val="left"/>
                    <w:jc w:val="center"/>
                  </w:pPr>
                  <w:r>
                    <w:t xml:space="preserve">nep14_r</w:t>
                  </w:r>
                </w:p>
              </w:tc>
              <w:tc>
                <w:tcPr/>
                <w:p>
                  <w:pPr>
                    <w:pStyle w:val="Compact"/>
                    <w:jc w:val="right"/>
                    <w:jc w:val="center"/>
                  </w:pPr>
                  <w:r>
                    <w:t xml:space="preserve">0.185</w:t>
                  </w:r>
                </w:p>
              </w:tc>
            </w:tr>
            <w:tr>
              <w:tc>
                <w:tcPr/>
                <w:p>
                  <w:pPr>
                    <w:pStyle w:val="Compact"/>
                    <w:jc w:val="left"/>
                    <w:jc w:val="center"/>
                  </w:pPr>
                  <w:r>
                    <w:t xml:space="preserve">NEP</w:t>
                  </w:r>
                </w:p>
              </w:tc>
              <w:tc>
                <w:tcPr/>
                <w:p>
                  <w:pPr>
                    <w:pStyle w:val="Compact"/>
                    <w:jc w:val="left"/>
                    <w:jc w:val="center"/>
                  </w:pPr>
                  <w:r>
                    <w:t xml:space="preserve">nep5</w:t>
                  </w:r>
                </w:p>
              </w:tc>
              <w:tc>
                <w:tcPr/>
                <w:p>
                  <w:pPr>
                    <w:pStyle w:val="Compact"/>
                    <w:jc w:val="left"/>
                    <w:jc w:val="center"/>
                  </w:pPr>
                  <w:r>
                    <w:t xml:space="preserve">nep15</w:t>
                  </w:r>
                </w:p>
              </w:tc>
              <w:tc>
                <w:tcPr/>
                <w:p>
                  <w:pPr>
                    <w:pStyle w:val="Compact"/>
                    <w:jc w:val="right"/>
                    <w:jc w:val="center"/>
                  </w:pPr>
                  <w:r>
                    <w:t xml:space="preserve">0.185</w:t>
                  </w:r>
                </w:p>
              </w:tc>
            </w:tr>
            <w:tr>
              <w:tc>
                <w:tcPr/>
                <w:p>
                  <w:pPr>
                    <w:pStyle w:val="Compact"/>
                    <w:jc w:val="left"/>
                    <w:jc w:val="center"/>
                  </w:pPr>
                  <w:r>
                    <w:t xml:space="preserve">CNS</w:t>
                  </w:r>
                </w:p>
              </w:tc>
              <w:tc>
                <w:tcPr/>
                <w:p>
                  <w:pPr>
                    <w:pStyle w:val="Compact"/>
                    <w:jc w:val="left"/>
                    <w:jc w:val="center"/>
                  </w:pPr>
                  <w:r>
                    <w:t xml:space="preserve">cns1</w:t>
                  </w:r>
                </w:p>
              </w:tc>
              <w:tc>
                <w:tcPr/>
                <w:p>
                  <w:pPr>
                    <w:pStyle w:val="Compact"/>
                    <w:jc w:val="left"/>
                    <w:jc w:val="center"/>
                  </w:pPr>
                  <w:r>
                    <w:t xml:space="preserve">cns2</w:t>
                  </w:r>
                </w:p>
              </w:tc>
              <w:tc>
                <w:tcPr/>
                <w:p>
                  <w:pPr>
                    <w:pStyle w:val="Compact"/>
                    <w:jc w:val="right"/>
                    <w:jc w:val="center"/>
                  </w:pPr>
                  <w:r>
                    <w:t xml:space="preserve">0.217</w:t>
                  </w:r>
                </w:p>
              </w:tc>
            </w:tr>
            <w:tr>
              <w:tc>
                <w:tcPr/>
                <w:p>
                  <w:pPr>
                    <w:pStyle w:val="Compact"/>
                    <w:jc w:val="left"/>
                    <w:jc w:val="center"/>
                  </w:pPr>
                  <w:r>
                    <w:t xml:space="preserve">CNS</w:t>
                  </w:r>
                </w:p>
              </w:tc>
              <w:tc>
                <w:tcPr/>
                <w:p>
                  <w:pPr>
                    <w:pStyle w:val="Compact"/>
                    <w:jc w:val="left"/>
                    <w:jc w:val="center"/>
                  </w:pPr>
                  <w:r>
                    <w:t xml:space="preserve">cns12_r</w:t>
                  </w:r>
                </w:p>
              </w:tc>
              <w:tc>
                <w:tcPr/>
                <w:p>
                  <w:pPr>
                    <w:pStyle w:val="Compact"/>
                    <w:jc w:val="left"/>
                    <w:jc w:val="center"/>
                  </w:pPr>
                  <w:r>
                    <w:t xml:space="preserve">cns14_r</w:t>
                  </w:r>
                </w:p>
              </w:tc>
              <w:tc>
                <w:tcPr/>
                <w:p>
                  <w:pPr>
                    <w:pStyle w:val="Compact"/>
                    <w:jc w:val="right"/>
                    <w:jc w:val="center"/>
                  </w:pPr>
                  <w:r>
                    <w:t xml:space="preserve">0.165</w:t>
                  </w:r>
                </w:p>
              </w:tc>
            </w:tr>
            <w:tr>
              <w:tc>
                <w:tcPr/>
                <w:p>
                  <w:pPr>
                    <w:pStyle w:val="Compact"/>
                    <w:jc w:val="left"/>
                    <w:jc w:val="center"/>
                  </w:pPr>
                  <w:r>
                    <w:t xml:space="preserve">CNS</w:t>
                  </w:r>
                </w:p>
              </w:tc>
              <w:tc>
                <w:tcPr/>
                <w:p>
                  <w:pPr>
                    <w:pStyle w:val="Compact"/>
                    <w:jc w:val="left"/>
                    <w:jc w:val="center"/>
                  </w:pPr>
                  <w:r>
                    <w:t xml:space="preserve">cns9</w:t>
                  </w:r>
                </w:p>
              </w:tc>
              <w:tc>
                <w:tcPr/>
                <w:p>
                  <w:pPr>
                    <w:pStyle w:val="Compact"/>
                    <w:jc w:val="left"/>
                    <w:jc w:val="center"/>
                  </w:pPr>
                  <w:r>
                    <w:t xml:space="preserve">cns11</w:t>
                  </w:r>
                </w:p>
              </w:tc>
              <w:tc>
                <w:tcPr/>
                <w:p>
                  <w:pPr>
                    <w:pStyle w:val="Compact"/>
                    <w:jc w:val="right"/>
                    <w:jc w:val="center"/>
                  </w:pPr>
                  <w:r>
                    <w:t xml:space="preserve">0.163</w:t>
                  </w:r>
                </w:p>
              </w:tc>
            </w:tr>
            <w:tr>
              <w:tc>
                <w:tcPr/>
                <w:p>
                  <w:pPr>
                    <w:pStyle w:val="Compact"/>
                    <w:jc w:val="left"/>
                    <w:jc w:val="center"/>
                  </w:pPr>
                  <w:r>
                    <w:t xml:space="preserve">CNS</w:t>
                  </w:r>
                </w:p>
              </w:tc>
              <w:tc>
                <w:tcPr/>
                <w:p>
                  <w:pPr>
                    <w:pStyle w:val="Compact"/>
                    <w:jc w:val="left"/>
                    <w:jc w:val="center"/>
                  </w:pPr>
                  <w:r>
                    <w:t xml:space="preserve">cns10</w:t>
                  </w:r>
                </w:p>
              </w:tc>
              <w:tc>
                <w:tcPr/>
                <w:p>
                  <w:pPr>
                    <w:pStyle w:val="Compact"/>
                    <w:jc w:val="left"/>
                    <w:jc w:val="center"/>
                  </w:pPr>
                  <w:r>
                    <w:t xml:space="preserve">cns11</w:t>
                  </w:r>
                </w:p>
              </w:tc>
              <w:tc>
                <w:tcPr/>
                <w:p>
                  <w:pPr>
                    <w:pStyle w:val="Compact"/>
                    <w:jc w:val="right"/>
                    <w:jc w:val="center"/>
                  </w:pPr>
                  <w:r>
                    <w:t xml:space="preserve">0.156</w:t>
                  </w:r>
                </w:p>
              </w:tc>
            </w:tr>
            <w:tr>
              <w:tc>
                <w:tcPr/>
                <w:p>
                  <w:pPr>
                    <w:pStyle w:val="Compact"/>
                    <w:jc w:val="left"/>
                    <w:jc w:val="center"/>
                  </w:pPr>
                  <w:r>
                    <w:t xml:space="preserve">CNS</w:t>
                  </w:r>
                </w:p>
              </w:tc>
              <w:tc>
                <w:tcPr/>
                <w:p>
                  <w:pPr>
                    <w:pStyle w:val="Compact"/>
                    <w:jc w:val="left"/>
                    <w:jc w:val="center"/>
                  </w:pPr>
                  <w:r>
                    <w:t xml:space="preserve">cns6</w:t>
                  </w:r>
                </w:p>
              </w:tc>
              <w:tc>
                <w:tcPr/>
                <w:p>
                  <w:pPr>
                    <w:pStyle w:val="Compact"/>
                    <w:jc w:val="left"/>
                    <w:jc w:val="center"/>
                  </w:pPr>
                  <w:r>
                    <w:t xml:space="preserve">cns7</w:t>
                  </w:r>
                </w:p>
              </w:tc>
              <w:tc>
                <w:tcPr/>
                <w:p>
                  <w:pPr>
                    <w:pStyle w:val="Compact"/>
                    <w:jc w:val="right"/>
                    <w:jc w:val="center"/>
                  </w:pPr>
                  <w:r>
                    <w:t xml:space="preserve">0.145</w:t>
                  </w:r>
                </w:p>
              </w:tc>
            </w:tr>
          </w:tbl>
          <w:bookmarkEnd w:id="1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 w:name="tbl-ega-scorecor"/>
          <w:p>
            <w:pPr>
              <w:jc w:val="center"/>
            </w:pPr>
            <w:pPr>
              <w:jc w:val="left"/>
              <w:spacing w:before="200"/>
              <w:pStyle w:val="ImageCaption"/>
            </w:pPr>
            <w:r>
              <w:t xml:space="preserve">Table 4: Correlations among the item mean, the single-dimension EGA network score, the UVA-reduced mean for the NEP, and the public and private behavior measures. Scores are oriented so that higher values indicate more pro-environmental positions.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p>
              </w:tc>
              <w:tc>
                <w:tcPr/>
                <w:p>
                  <w:pPr>
                    <w:pStyle w:val="Compact"/>
                    <w:jc w:val="right"/>
                    <w:jc w:val="center"/>
                  </w:pPr>
                  <w:r>
                    <w:t xml:space="preserve">NEP_raw</w:t>
                  </w:r>
                </w:p>
              </w:tc>
              <w:tc>
                <w:tcPr/>
                <w:p>
                  <w:pPr>
                    <w:pStyle w:val="Compact"/>
                    <w:jc w:val="right"/>
                    <w:jc w:val="center"/>
                  </w:pPr>
                  <w:r>
                    <w:t xml:space="preserve">NEP_EGA</w:t>
                  </w:r>
                </w:p>
              </w:tc>
              <w:tc>
                <w:tcPr/>
                <w:p>
                  <w:pPr>
                    <w:pStyle w:val="Compact"/>
                    <w:jc w:val="right"/>
                    <w:jc w:val="center"/>
                  </w:pPr>
                  <w:r>
                    <w:t xml:space="preserve">NEP_UVA</w:t>
                  </w:r>
                </w:p>
              </w:tc>
              <w:tc>
                <w:tcPr/>
                <w:p>
                  <w:pPr>
                    <w:pStyle w:val="Compact"/>
                    <w:jc w:val="right"/>
                    <w:jc w:val="center"/>
                  </w:pPr>
                  <w:r>
                    <w:t xml:space="preserve">CNS_raw</w:t>
                  </w:r>
                </w:p>
              </w:tc>
              <w:tc>
                <w:tcPr/>
                <w:p>
                  <w:pPr>
                    <w:pStyle w:val="Compact"/>
                    <w:jc w:val="right"/>
                    <w:jc w:val="center"/>
                  </w:pPr>
                  <w:r>
                    <w:t xml:space="preserve">CNS_EGA</w:t>
                  </w:r>
                </w:p>
              </w:tc>
              <w:tc>
                <w:tcPr/>
                <w:p>
                  <w:pPr>
                    <w:pStyle w:val="Compact"/>
                    <w:jc w:val="right"/>
                    <w:jc w:val="center"/>
                  </w:pPr>
                  <w:r>
                    <w:t xml:space="preserve">public</w:t>
                  </w:r>
                </w:p>
              </w:tc>
              <w:tc>
                <w:tcPr/>
                <w:p>
                  <w:pPr>
                    <w:pStyle w:val="Compact"/>
                    <w:jc w:val="right"/>
                    <w:jc w:val="center"/>
                  </w:pPr>
                  <w:r>
                    <w:t xml:space="preserve">private</w:t>
                  </w:r>
                </w:p>
              </w:tc>
            </w:tr>
            <w:tr>
              <w:tc>
                <w:tcPr/>
                <w:p>
                  <w:pPr>
                    <w:pStyle w:val="Compact"/>
                    <w:jc w:val="left"/>
                    <w:jc w:val="center"/>
                  </w:pPr>
                  <w:r>
                    <w:t xml:space="preserve">NEP_raw</w:t>
                  </w:r>
                </w:p>
              </w:tc>
              <w:tc>
                <w:tcPr/>
                <w:p>
                  <w:pPr>
                    <w:pStyle w:val="Compact"/>
                    <w:jc w:val="right"/>
                    <w:jc w:val="center"/>
                  </w:pPr>
                  <w:r>
                    <w:t xml:space="preserve">1.000</w:t>
                  </w:r>
                </w:p>
              </w:tc>
              <w:tc>
                <w:tcPr/>
                <w:p>
                  <w:pPr>
                    <w:pStyle w:val="Compact"/>
                    <w:jc w:val="right"/>
                    <w:jc w:val="center"/>
                  </w:pPr>
                  <w:r>
                    <w:t xml:space="preserve">0.992</w:t>
                  </w:r>
                </w:p>
              </w:tc>
              <w:tc>
                <w:tcPr/>
                <w:p>
                  <w:pPr>
                    <w:pStyle w:val="Compact"/>
                    <w:jc w:val="right"/>
                    <w:jc w:val="center"/>
                  </w:pPr>
                  <w:r>
                    <w:t xml:space="preserve">0.987</w:t>
                  </w:r>
                </w:p>
              </w:tc>
              <w:tc>
                <w:tcPr/>
                <w:p>
                  <w:pPr>
                    <w:pStyle w:val="Compact"/>
                    <w:jc w:val="right"/>
                    <w:jc w:val="center"/>
                  </w:pPr>
                  <w:r>
                    <w:t xml:space="preserve">0.447</w:t>
                  </w:r>
                </w:p>
              </w:tc>
              <w:tc>
                <w:tcPr/>
                <w:p>
                  <w:pPr>
                    <w:pStyle w:val="Compact"/>
                    <w:jc w:val="right"/>
                    <w:jc w:val="center"/>
                  </w:pPr>
                  <w:r>
                    <w:t xml:space="preserve">0.372</w:t>
                  </w:r>
                </w:p>
              </w:tc>
              <w:tc>
                <w:tcPr/>
                <w:p>
                  <w:pPr>
                    <w:pStyle w:val="Compact"/>
                    <w:jc w:val="right"/>
                    <w:jc w:val="center"/>
                  </w:pPr>
                  <w:r>
                    <w:t xml:space="preserve">0.170</w:t>
                  </w:r>
                </w:p>
              </w:tc>
              <w:tc>
                <w:tcPr/>
                <w:p>
                  <w:pPr>
                    <w:pStyle w:val="Compact"/>
                    <w:jc w:val="right"/>
                    <w:jc w:val="center"/>
                  </w:pPr>
                  <w:r>
                    <w:t xml:space="preserve">0.304</w:t>
                  </w:r>
                </w:p>
              </w:tc>
            </w:tr>
            <w:tr>
              <w:tc>
                <w:tcPr/>
                <w:p>
                  <w:pPr>
                    <w:pStyle w:val="Compact"/>
                    <w:jc w:val="left"/>
                    <w:jc w:val="center"/>
                  </w:pPr>
                  <w:r>
                    <w:t xml:space="preserve">NEP_EGA</w:t>
                  </w:r>
                </w:p>
              </w:tc>
              <w:tc>
                <w:tcPr/>
                <w:p>
                  <w:pPr>
                    <w:pStyle w:val="Compact"/>
                    <w:jc w:val="right"/>
                    <w:jc w:val="center"/>
                  </w:pPr>
                  <w:r>
                    <w:t xml:space="preserve">0.992</w:t>
                  </w:r>
                </w:p>
              </w:tc>
              <w:tc>
                <w:tcPr/>
                <w:p>
                  <w:pPr>
                    <w:pStyle w:val="Compact"/>
                    <w:jc w:val="right"/>
                    <w:jc w:val="center"/>
                  </w:pPr>
                  <w:r>
                    <w:t xml:space="preserve">1.000</w:t>
                  </w:r>
                </w:p>
              </w:tc>
              <w:tc>
                <w:tcPr/>
                <w:p>
                  <w:pPr>
                    <w:pStyle w:val="Compact"/>
                    <w:jc w:val="right"/>
                    <w:jc w:val="center"/>
                  </w:pPr>
                  <w:r>
                    <w:t xml:space="preserve">0.980</w:t>
                  </w:r>
                </w:p>
              </w:tc>
              <w:tc>
                <w:tcPr/>
                <w:p>
                  <w:pPr>
                    <w:pStyle w:val="Compact"/>
                    <w:jc w:val="right"/>
                    <w:jc w:val="center"/>
                  </w:pPr>
                  <w:r>
                    <w:t xml:space="preserve">0.465</w:t>
                  </w:r>
                </w:p>
              </w:tc>
              <w:tc>
                <w:tcPr/>
                <w:p>
                  <w:pPr>
                    <w:pStyle w:val="Compact"/>
                    <w:jc w:val="right"/>
                    <w:jc w:val="center"/>
                  </w:pPr>
                  <w:r>
                    <w:t xml:space="preserve">0.397</w:t>
                  </w:r>
                </w:p>
              </w:tc>
              <w:tc>
                <w:tcPr/>
                <w:p>
                  <w:pPr>
                    <w:pStyle w:val="Compact"/>
                    <w:jc w:val="right"/>
                    <w:jc w:val="center"/>
                  </w:pPr>
                  <w:r>
                    <w:t xml:space="preserve">0.190</w:t>
                  </w:r>
                </w:p>
              </w:tc>
              <w:tc>
                <w:tcPr/>
                <w:p>
                  <w:pPr>
                    <w:pStyle w:val="Compact"/>
                    <w:jc w:val="right"/>
                    <w:jc w:val="center"/>
                  </w:pPr>
                  <w:r>
                    <w:t xml:space="preserve">0.320</w:t>
                  </w:r>
                </w:p>
              </w:tc>
            </w:tr>
            <w:tr>
              <w:tc>
                <w:tcPr/>
                <w:p>
                  <w:pPr>
                    <w:pStyle w:val="Compact"/>
                    <w:jc w:val="left"/>
                    <w:jc w:val="center"/>
                  </w:pPr>
                  <w:r>
                    <w:t xml:space="preserve">NEP_UVA</w:t>
                  </w:r>
                </w:p>
              </w:tc>
              <w:tc>
                <w:tcPr/>
                <w:p>
                  <w:pPr>
                    <w:pStyle w:val="Compact"/>
                    <w:jc w:val="right"/>
                    <w:jc w:val="center"/>
                  </w:pPr>
                  <w:r>
                    <w:t xml:space="preserve">0.987</w:t>
                  </w:r>
                </w:p>
              </w:tc>
              <w:tc>
                <w:tcPr/>
                <w:p>
                  <w:pPr>
                    <w:pStyle w:val="Compact"/>
                    <w:jc w:val="right"/>
                    <w:jc w:val="center"/>
                  </w:pPr>
                  <w:r>
                    <w:t xml:space="preserve">0.980</w:t>
                  </w:r>
                </w:p>
              </w:tc>
              <w:tc>
                <w:tcPr/>
                <w:p>
                  <w:pPr>
                    <w:pStyle w:val="Compact"/>
                    <w:jc w:val="right"/>
                    <w:jc w:val="center"/>
                  </w:pPr>
                  <w:r>
                    <w:t xml:space="preserve">1.000</w:t>
                  </w:r>
                </w:p>
              </w:tc>
              <w:tc>
                <w:tcPr/>
                <w:p>
                  <w:pPr>
                    <w:pStyle w:val="Compact"/>
                    <w:jc w:val="right"/>
                    <w:jc w:val="center"/>
                  </w:pPr>
                  <w:r>
                    <w:t xml:space="preserve">0.469</w:t>
                  </w:r>
                </w:p>
              </w:tc>
              <w:tc>
                <w:tcPr/>
                <w:p>
                  <w:pPr>
                    <w:pStyle w:val="Compact"/>
                    <w:jc w:val="right"/>
                    <w:jc w:val="center"/>
                  </w:pPr>
                  <w:r>
                    <w:t xml:space="preserve">0.398</w:t>
                  </w:r>
                </w:p>
              </w:tc>
              <w:tc>
                <w:tcPr/>
                <w:p>
                  <w:pPr>
                    <w:pStyle w:val="Compact"/>
                    <w:jc w:val="right"/>
                    <w:jc w:val="center"/>
                  </w:pPr>
                  <w:r>
                    <w:t xml:space="preserve">0.178</w:t>
                  </w:r>
                </w:p>
              </w:tc>
              <w:tc>
                <w:tcPr/>
                <w:p>
                  <w:pPr>
                    <w:pStyle w:val="Compact"/>
                    <w:jc w:val="right"/>
                    <w:jc w:val="center"/>
                  </w:pPr>
                  <w:r>
                    <w:t xml:space="preserve">0.310</w:t>
                  </w:r>
                </w:p>
              </w:tc>
            </w:tr>
            <w:tr>
              <w:tc>
                <w:tcPr/>
                <w:p>
                  <w:pPr>
                    <w:pStyle w:val="Compact"/>
                    <w:jc w:val="left"/>
                    <w:jc w:val="center"/>
                  </w:pPr>
                  <w:r>
                    <w:t xml:space="preserve">CNS_raw</w:t>
                  </w:r>
                </w:p>
              </w:tc>
              <w:tc>
                <w:tcPr/>
                <w:p>
                  <w:pPr>
                    <w:pStyle w:val="Compact"/>
                    <w:jc w:val="right"/>
                    <w:jc w:val="center"/>
                  </w:pPr>
                  <w:r>
                    <w:t xml:space="preserve">0.447</w:t>
                  </w:r>
                </w:p>
              </w:tc>
              <w:tc>
                <w:tcPr/>
                <w:p>
                  <w:pPr>
                    <w:pStyle w:val="Compact"/>
                    <w:jc w:val="right"/>
                    <w:jc w:val="center"/>
                  </w:pPr>
                  <w:r>
                    <w:t xml:space="preserve">0.465</w:t>
                  </w:r>
                </w:p>
              </w:tc>
              <w:tc>
                <w:tcPr/>
                <w:p>
                  <w:pPr>
                    <w:pStyle w:val="Compact"/>
                    <w:jc w:val="right"/>
                    <w:jc w:val="center"/>
                  </w:pPr>
                  <w:r>
                    <w:t xml:space="preserve">0.469</w:t>
                  </w:r>
                </w:p>
              </w:tc>
              <w:tc>
                <w:tcPr/>
                <w:p>
                  <w:pPr>
                    <w:pStyle w:val="Compact"/>
                    <w:jc w:val="right"/>
                    <w:jc w:val="center"/>
                  </w:pPr>
                  <w:r>
                    <w:t xml:space="preserve">1.000</w:t>
                  </w:r>
                </w:p>
              </w:tc>
              <w:tc>
                <w:tcPr/>
                <w:p>
                  <w:pPr>
                    <w:pStyle w:val="Compact"/>
                    <w:jc w:val="right"/>
                    <w:jc w:val="center"/>
                  </w:pPr>
                  <w:r>
                    <w:t xml:space="preserve">0.973</w:t>
                  </w:r>
                </w:p>
              </w:tc>
              <w:tc>
                <w:tcPr/>
                <w:p>
                  <w:pPr>
                    <w:pStyle w:val="Compact"/>
                    <w:jc w:val="right"/>
                    <w:jc w:val="center"/>
                  </w:pPr>
                  <w:r>
                    <w:t xml:space="preserve">0.356</w:t>
                  </w:r>
                </w:p>
              </w:tc>
              <w:tc>
                <w:tcPr/>
                <w:p>
                  <w:pPr>
                    <w:pStyle w:val="Compact"/>
                    <w:jc w:val="right"/>
                    <w:jc w:val="center"/>
                  </w:pPr>
                  <w:r>
                    <w:t xml:space="preserve">0.428</w:t>
                  </w:r>
                </w:p>
              </w:tc>
            </w:tr>
            <w:tr>
              <w:tc>
                <w:tcPr/>
                <w:p>
                  <w:pPr>
                    <w:pStyle w:val="Compact"/>
                    <w:jc w:val="left"/>
                    <w:jc w:val="center"/>
                  </w:pPr>
                  <w:r>
                    <w:t xml:space="preserve">CNS_EGA</w:t>
                  </w:r>
                </w:p>
              </w:tc>
              <w:tc>
                <w:tcPr/>
                <w:p>
                  <w:pPr>
                    <w:pStyle w:val="Compact"/>
                    <w:jc w:val="right"/>
                    <w:jc w:val="center"/>
                  </w:pPr>
                  <w:r>
                    <w:t xml:space="preserve">0.372</w:t>
                  </w:r>
                </w:p>
              </w:tc>
              <w:tc>
                <w:tcPr/>
                <w:p>
                  <w:pPr>
                    <w:pStyle w:val="Compact"/>
                    <w:jc w:val="right"/>
                    <w:jc w:val="center"/>
                  </w:pPr>
                  <w:r>
                    <w:t xml:space="preserve">0.397</w:t>
                  </w:r>
                </w:p>
              </w:tc>
              <w:tc>
                <w:tcPr/>
                <w:p>
                  <w:pPr>
                    <w:pStyle w:val="Compact"/>
                    <w:jc w:val="right"/>
                    <w:jc w:val="center"/>
                  </w:pPr>
                  <w:r>
                    <w:t xml:space="preserve">0.398</w:t>
                  </w:r>
                </w:p>
              </w:tc>
              <w:tc>
                <w:tcPr/>
                <w:p>
                  <w:pPr>
                    <w:pStyle w:val="Compact"/>
                    <w:jc w:val="right"/>
                    <w:jc w:val="center"/>
                  </w:pPr>
                  <w:r>
                    <w:t xml:space="preserve">0.973</w:t>
                  </w:r>
                </w:p>
              </w:tc>
              <w:tc>
                <w:tcPr/>
                <w:p>
                  <w:pPr>
                    <w:pStyle w:val="Compact"/>
                    <w:jc w:val="right"/>
                    <w:jc w:val="center"/>
                  </w:pPr>
                  <w:r>
                    <w:t xml:space="preserve">1.000</w:t>
                  </w:r>
                </w:p>
              </w:tc>
              <w:tc>
                <w:tcPr/>
                <w:p>
                  <w:pPr>
                    <w:pStyle w:val="Compact"/>
                    <w:jc w:val="right"/>
                    <w:jc w:val="center"/>
                  </w:pPr>
                  <w:r>
                    <w:t xml:space="preserve">0.381</w:t>
                  </w:r>
                </w:p>
              </w:tc>
              <w:tc>
                <w:tcPr/>
                <w:p>
                  <w:pPr>
                    <w:pStyle w:val="Compact"/>
                    <w:jc w:val="right"/>
                    <w:jc w:val="center"/>
                  </w:pPr>
                  <w:r>
                    <w:t xml:space="preserve">0.422</w:t>
                  </w:r>
                </w:p>
              </w:tc>
            </w:tr>
            <w:tr>
              <w:tc>
                <w:tcPr/>
                <w:p>
                  <w:pPr>
                    <w:pStyle w:val="Compact"/>
                    <w:jc w:val="left"/>
                    <w:jc w:val="center"/>
                  </w:pPr>
                  <w:r>
                    <w:t xml:space="preserve">public</w:t>
                  </w:r>
                </w:p>
              </w:tc>
              <w:tc>
                <w:tcPr/>
                <w:p>
                  <w:pPr>
                    <w:pStyle w:val="Compact"/>
                    <w:jc w:val="right"/>
                    <w:jc w:val="center"/>
                  </w:pPr>
                  <w:r>
                    <w:t xml:space="preserve">0.170</w:t>
                  </w:r>
                </w:p>
              </w:tc>
              <w:tc>
                <w:tcPr/>
                <w:p>
                  <w:pPr>
                    <w:pStyle w:val="Compact"/>
                    <w:jc w:val="right"/>
                    <w:jc w:val="center"/>
                  </w:pPr>
                  <w:r>
                    <w:t xml:space="preserve">0.190</w:t>
                  </w:r>
                </w:p>
              </w:tc>
              <w:tc>
                <w:tcPr/>
                <w:p>
                  <w:pPr>
                    <w:pStyle w:val="Compact"/>
                    <w:jc w:val="right"/>
                    <w:jc w:val="center"/>
                  </w:pPr>
                  <w:r>
                    <w:t xml:space="preserve">0.178</w:t>
                  </w:r>
                </w:p>
              </w:tc>
              <w:tc>
                <w:tcPr/>
                <w:p>
                  <w:pPr>
                    <w:pStyle w:val="Compact"/>
                    <w:jc w:val="right"/>
                    <w:jc w:val="center"/>
                  </w:pPr>
                  <w:r>
                    <w:t xml:space="preserve">0.356</w:t>
                  </w:r>
                </w:p>
              </w:tc>
              <w:tc>
                <w:tcPr/>
                <w:p>
                  <w:pPr>
                    <w:pStyle w:val="Compact"/>
                    <w:jc w:val="right"/>
                    <w:jc w:val="center"/>
                  </w:pPr>
                  <w:r>
                    <w:t xml:space="preserve">0.381</w:t>
                  </w:r>
                </w:p>
              </w:tc>
              <w:tc>
                <w:tcPr/>
                <w:p>
                  <w:pPr>
                    <w:pStyle w:val="Compact"/>
                    <w:jc w:val="right"/>
                    <w:jc w:val="center"/>
                  </w:pPr>
                  <w:r>
                    <w:t xml:space="preserve">1.000</w:t>
                  </w:r>
                </w:p>
              </w:tc>
              <w:tc>
                <w:tcPr/>
                <w:p>
                  <w:pPr>
                    <w:pStyle w:val="Compact"/>
                    <w:jc w:val="right"/>
                    <w:jc w:val="center"/>
                  </w:pPr>
                  <w:r>
                    <w:t xml:space="preserve">0.333</w:t>
                  </w:r>
                </w:p>
              </w:tc>
            </w:tr>
            <w:tr>
              <w:tc>
                <w:tcPr/>
                <w:p>
                  <w:pPr>
                    <w:pStyle w:val="Compact"/>
                    <w:jc w:val="left"/>
                    <w:jc w:val="center"/>
                  </w:pPr>
                  <w:r>
                    <w:t xml:space="preserve">private</w:t>
                  </w:r>
                </w:p>
              </w:tc>
              <w:tc>
                <w:tcPr/>
                <w:p>
                  <w:pPr>
                    <w:pStyle w:val="Compact"/>
                    <w:jc w:val="right"/>
                    <w:jc w:val="center"/>
                  </w:pPr>
                  <w:r>
                    <w:t xml:space="preserve">0.304</w:t>
                  </w:r>
                </w:p>
              </w:tc>
              <w:tc>
                <w:tcPr/>
                <w:p>
                  <w:pPr>
                    <w:pStyle w:val="Compact"/>
                    <w:jc w:val="right"/>
                    <w:jc w:val="center"/>
                  </w:pPr>
                  <w:r>
                    <w:t xml:space="preserve">0.320</w:t>
                  </w:r>
                </w:p>
              </w:tc>
              <w:tc>
                <w:tcPr/>
                <w:p>
                  <w:pPr>
                    <w:pStyle w:val="Compact"/>
                    <w:jc w:val="right"/>
                    <w:jc w:val="center"/>
                  </w:pPr>
                  <w:r>
                    <w:t xml:space="preserve">0.310</w:t>
                  </w:r>
                </w:p>
              </w:tc>
              <w:tc>
                <w:tcPr/>
                <w:p>
                  <w:pPr>
                    <w:pStyle w:val="Compact"/>
                    <w:jc w:val="right"/>
                    <w:jc w:val="center"/>
                  </w:pPr>
                  <w:r>
                    <w:t xml:space="preserve">0.428</w:t>
                  </w:r>
                </w:p>
              </w:tc>
              <w:tc>
                <w:tcPr/>
                <w:p>
                  <w:pPr>
                    <w:pStyle w:val="Compact"/>
                    <w:jc w:val="right"/>
                    <w:jc w:val="center"/>
                  </w:pPr>
                  <w:r>
                    <w:t xml:space="preserve">0.422</w:t>
                  </w:r>
                </w:p>
              </w:tc>
              <w:tc>
                <w:tcPr/>
                <w:p>
                  <w:pPr>
                    <w:pStyle w:val="Compact"/>
                    <w:jc w:val="right"/>
                    <w:jc w:val="center"/>
                  </w:pPr>
                  <w:r>
                    <w:t xml:space="preserve">0.333</w:t>
                  </w:r>
                </w:p>
              </w:tc>
              <w:tc>
                <w:tcPr/>
                <w:p>
                  <w:pPr>
                    <w:pStyle w:val="Compact"/>
                    <w:jc w:val="right"/>
                    <w:jc w:val="center"/>
                  </w:pPr>
                  <w:r>
                    <w:t xml:space="preserve">1.000</w:t>
                  </w:r>
                </w:p>
              </w:tc>
            </w:tr>
          </w:tbl>
          <w:bookmarkEnd w:id="16"/>
          <w:p/>
        </w:tc>
      </w:tr>
    </w:tbl>
    <w:p>
      <w:r>
        <w:br w:type="page"/>
      </w:r>
    </w:p>
    <w:bookmarkEnd w:id="17"/>
    <w:bookmarkStart w:id="22" w:name="X5f0ebfbf9ea6e168eadef3ff3c9016ee7cc3c07"/>
    <w:p>
      <w:pPr>
        <w:pStyle w:val="Heading1"/>
      </w:pPr>
      <w:r>
        <w:t xml:space="preserve">S2. Construction of the Study 2 belief scales</w:t>
      </w:r>
    </w:p>
    <w:p>
      <w:pPr>
        <w:pStyle w:val="FirstParagraph"/>
      </w:pPr>
      <w:r>
        <w:t xml:space="preserve">The ISSP environment module does not field the NEP or CNS scales, so I construct comparable belief measures from the module’s attitude items. I start from 28 items covering concern, climate-change attribution, environment-economy tradeoffs, personal efficacy and commitment, the perceived danger of specific hazards, and enjoyment of nature. I orient every item so that higher values indicate more pro-environmental positions and then use exploratory graph analysis to identify the belief dimensions among them.</w:t>
      </w:r>
    </w:p>
    <w:p>
      <w:pPr>
        <w:pStyle w:val="BodyText"/>
      </w:pPr>
      <w:r>
        <w:t xml:space="preserve">I compare candidate groupings with the Total Entropy Fit Index, where lower values indicate better fit (</w:t>
      </w:r>
      <w:hyperlink w:anchor="tbl-issp-struct">
        <w:r>
          <w:rPr>
            <w:rStyle w:val="Hyperlink"/>
          </w:rPr>
          <w:t xml:space="preserve">Table 5</w:t>
        </w:r>
      </w:hyperlink>
      <w:r>
        <w:t xml:space="preserve">). The theoretical grouping by survey battery fits worst. A Louvain community solution over the full item pool fits best and recovers 5 communities, and dropping items does not improve fit. A bootstrap with 500 resamples recovers this solution in 95 percent of samples, and the structural consistency of each community is at least 0.95.</w:t>
      </w:r>
    </w:p>
    <w:p>
      <w:pPr>
        <w:pStyle w:val="BodyText"/>
      </w:pPr>
      <w:r>
        <w:t xml:space="preserve">The survey battery grouping assigns each item to the part of the questionnaire in which it was asked. Concern is its own group, the climate change item joins the items about the environment and the economy, and the remaining groups are willingness to make sacrifices for the environment, personal efficacy and commitment, the danger of specific hazards, and enjoyment of nature. This six-group structure has a TEFI of -21.0, compared with -31.4 for the Louvain solution, so responses do not sort cleanly by where the items appear in the questionnaire. The hazard items and the two nature items hold together as their own communities. However, the items about willingness to pay higher prices, pay higher taxes, and cut one’s standard of living join concern, doing what is right even when it costs more, and the view that environmental problems affect everyday life to form an environmental commitment community. The remaining sacrifice item, accepting a reduction in protected nature areas for economic development, joins most of the environment and economy items and most of the efficacy and commitment items in an ecological worldview community.</w:t>
      </w:r>
    </w:p>
    <w:p>
      <w:pPr>
        <w:pStyle w:val="BodyText"/>
      </w:pPr>
      <w:hyperlink w:anchor="tbl-issp-comm">
        <w:r>
          <w:rPr>
            <w:rStyle w:val="Hyperlink"/>
          </w:rPr>
          <w:t xml:space="preserve">Table 6</w:t>
        </w:r>
      </w:hyperlink>
      <w:r>
        <w:t xml:space="preserve"> </w:t>
      </w:r>
      <w:r>
        <w:t xml:space="preserve">lists the communities. Two survey batteries, the agree-disagree items about the environment and the economy and the items about personal efficacy and commitment, each split into a pro-environmental cluster and a skeptical cluster along the wording of the items rather than by content. This is the same wording artifact found for the NEP and CNS scales in Study 1. I therefore fold the small pro-environmental cluster into the larger ecological worldview community, which yields four scales.</w:t>
      </w:r>
      <w:r>
        <w:t xml:space="preserve"> </w:t>
      </w:r>
      <w:hyperlink w:anchor="tbl-issp-scales">
        <w:r>
          <w:rPr>
            <w:rStyle w:val="Hyperlink"/>
          </w:rPr>
          <w:t xml:space="preserve">Table 7</w:t>
        </w:r>
      </w:hyperlink>
      <w:r>
        <w:t xml:space="preserve"> </w:t>
      </w:r>
      <w:r>
        <w:t xml:space="preserve">gives the items and reliability of each scale and</w:t>
      </w:r>
      <w:r>
        <w:t xml:space="preserve"> </w:t>
      </w:r>
      <w:hyperlink w:anchor="tbl-issp-scalecor">
        <w:r>
          <w:rPr>
            <w:rStyle w:val="Hyperlink"/>
          </w:rPr>
          <w:t xml:space="preserve">Table 8</w:t>
        </w:r>
      </w:hyperlink>
      <w:r>
        <w:t xml:space="preserve"> </w:t>
      </w:r>
      <w:r>
        <w:t xml:space="preserve">the correlations among them and with a left-right ideology measure.</w:t>
      </w:r>
    </w:p>
    <w:p>
      <w:pPr>
        <w:pStyle w:val="BodyText"/>
      </w:pPr>
      <w:r>
        <w:t xml:space="preserve">For the behavior side, exploratory graph analysis of the six ISSP behavior items recovers 2 communities that match the public and private distinction used in Study 1. Recycling and product avoidance form one community, and group membership, petitions, donations, and protest form the other.</w:t>
      </w:r>
    </w:p>
    <w:tbl>
      <w:tblPr>
        <w:tblStyle w:val="Table"/>
        <w:tblW w:type="pct" w:w="5000"/>
        <w:tblLayout w:type="fixed"/>
        <w:tblLook w:firstRow="0" w:lastRow="0" w:firstColumn="0" w:lastColumn="0" w:noHBand="0" w:noVBand="0" w:val="0000"/>
      </w:tblPr>
      <w:tblGrid>
        <w:gridCol w:w="7920"/>
      </w:tblGrid>
      <w:tr>
        <w:tc>
          <w:tcPr/>
          <w:bookmarkStart w:id="18" w:name="tbl-issp-struct"/>
          <w:p>
            <w:pPr>
              <w:jc w:val="center"/>
            </w:pPr>
            <w:pPr>
              <w:jc w:val="left"/>
              <w:spacing w:before="200"/>
              <w:pStyle w:val="ImageCaption"/>
            </w:pPr>
            <w:r>
              <w:t xml:space="preserve">Table 5: Fit of candidate item groupings for the Study 2 belief items (pooled ISSP sample). TEFI is the Total Entropy Fit Index, where lower values indicate better fit.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Grouping</w:t>
                  </w:r>
                </w:p>
              </w:tc>
              <w:tc>
                <w:tcPr/>
                <w:p>
                  <w:pPr>
                    <w:pStyle w:val="Compact"/>
                    <w:jc w:val="right"/>
                    <w:jc w:val="center"/>
                  </w:pPr>
                  <w:r>
                    <w:t xml:space="preserve">Dimensions</w:t>
                  </w:r>
                </w:p>
              </w:tc>
              <w:tc>
                <w:tcPr/>
                <w:p>
                  <w:pPr>
                    <w:pStyle w:val="Compact"/>
                    <w:jc w:val="right"/>
                    <w:jc w:val="center"/>
                  </w:pPr>
                  <w:r>
                    <w:t xml:space="preserve">TEFI</w:t>
                  </w:r>
                </w:p>
              </w:tc>
            </w:tr>
            <w:tr>
              <w:tc>
                <w:tcPr/>
                <w:p>
                  <w:pPr>
                    <w:pStyle w:val="Compact"/>
                    <w:jc w:val="left"/>
                    <w:jc w:val="center"/>
                  </w:pPr>
                  <w:r>
                    <w:t xml:space="preserve">a-priori batteries (crosswalk s7)</w:t>
                  </w:r>
                </w:p>
              </w:tc>
              <w:tc>
                <w:tcPr/>
                <w:p>
                  <w:pPr>
                    <w:pStyle w:val="Compact"/>
                    <w:jc w:val="right"/>
                    <w:jc w:val="center"/>
                  </w:pPr>
                  <w:r>
                    <w:t xml:space="preserve">6</w:t>
                  </w:r>
                </w:p>
              </w:tc>
              <w:tc>
                <w:tcPr/>
                <w:p>
                  <w:pPr>
                    <w:pStyle w:val="Compact"/>
                    <w:jc w:val="right"/>
                    <w:jc w:val="center"/>
                  </w:pPr>
                  <w:r>
                    <w:t xml:space="preserve">-21.0</w:t>
                  </w:r>
                </w:p>
              </w:tc>
            </w:tr>
            <w:tr>
              <w:tc>
                <w:tcPr/>
                <w:p>
                  <w:pPr>
                    <w:pStyle w:val="Compact"/>
                    <w:jc w:val="left"/>
                    <w:jc w:val="center"/>
                  </w:pPr>
                  <w:r>
                    <w:t xml:space="preserve">EGA walktrap, full pool</w:t>
                  </w:r>
                </w:p>
              </w:tc>
              <w:tc>
                <w:tcPr/>
                <w:p>
                  <w:pPr>
                    <w:pStyle w:val="Compact"/>
                    <w:jc w:val="right"/>
                    <w:jc w:val="center"/>
                  </w:pPr>
                  <w:r>
                    <w:t xml:space="preserve">3</w:t>
                  </w:r>
                </w:p>
              </w:tc>
              <w:tc>
                <w:tcPr/>
                <w:p>
                  <w:pPr>
                    <w:pStyle w:val="Compact"/>
                    <w:jc w:val="right"/>
                    <w:jc w:val="center"/>
                  </w:pPr>
                  <w:r>
                    <w:t xml:space="preserve">-26.2</w:t>
                  </w:r>
                </w:p>
              </w:tc>
            </w:tr>
            <w:tr>
              <w:tc>
                <w:tcPr/>
                <w:p>
                  <w:pPr>
                    <w:pStyle w:val="Compact"/>
                    <w:jc w:val="left"/>
                    <w:jc w:val="center"/>
                  </w:pPr>
                  <w:r>
                    <w:t xml:space="preserve">EGA louvain, full pool (chosen)</w:t>
                  </w:r>
                </w:p>
              </w:tc>
              <w:tc>
                <w:tcPr/>
                <w:p>
                  <w:pPr>
                    <w:pStyle w:val="Compact"/>
                    <w:jc w:val="right"/>
                    <w:jc w:val="center"/>
                  </w:pPr>
                  <w:r>
                    <w:t xml:space="preserve">5</w:t>
                  </w:r>
                </w:p>
              </w:tc>
              <w:tc>
                <w:tcPr/>
                <w:p>
                  <w:pPr>
                    <w:pStyle w:val="Compact"/>
                    <w:jc w:val="right"/>
                    <w:jc w:val="center"/>
                  </w:pPr>
                  <w:r>
                    <w:t xml:space="preserve">-31.4</w:t>
                  </w:r>
                </w:p>
              </w:tc>
            </w:tr>
            <w:tr>
              <w:tc>
                <w:tcPr/>
                <w:p>
                  <w:pPr>
                    <w:pStyle w:val="Compact"/>
                    <w:jc w:val="left"/>
                    <w:jc w:val="center"/>
                  </w:pPr>
                  <w:r>
                    <w:t xml:space="preserve">EGA.fit optimized, full pool</w:t>
                  </w:r>
                </w:p>
              </w:tc>
              <w:tc>
                <w:tcPr/>
                <w:p>
                  <w:pPr>
                    <w:pStyle w:val="Compact"/>
                    <w:jc w:val="right"/>
                    <w:jc w:val="center"/>
                  </w:pPr>
                  <w:r>
                    <w:t xml:space="preserve">5</w:t>
                  </w:r>
                </w:p>
              </w:tc>
              <w:tc>
                <w:tcPr/>
                <w:p>
                  <w:pPr>
                    <w:pStyle w:val="Compact"/>
                    <w:jc w:val="right"/>
                    <w:jc w:val="center"/>
                  </w:pPr>
                  <w:r>
                    <w:t xml:space="preserve">-31.4</w:t>
                  </w:r>
                </w:p>
              </w:tc>
            </w:tr>
            <w:tr>
              <w:tc>
                <w:tcPr/>
                <w:p>
                  <w:pPr>
                    <w:pStyle w:val="Compact"/>
                    <w:jc w:val="left"/>
                    <w:jc w:val="center"/>
                  </w:pPr>
                  <w:r>
                    <w:t xml:space="preserve">EGA louvain, drop v17</w:t>
                  </w:r>
                </w:p>
              </w:tc>
              <w:tc>
                <w:tcPr/>
                <w:p>
                  <w:pPr>
                    <w:pStyle w:val="Compact"/>
                    <w:jc w:val="right"/>
                    <w:jc w:val="center"/>
                  </w:pPr>
                  <w:r>
                    <w:t xml:space="preserve">5</w:t>
                  </w:r>
                </w:p>
              </w:tc>
              <w:tc>
                <w:tcPr/>
                <w:p>
                  <w:pPr>
                    <w:pStyle w:val="Compact"/>
                    <w:jc w:val="right"/>
                    <w:jc w:val="center"/>
                  </w:pPr>
                  <w:r>
                    <w:t xml:space="preserve">-30.4</w:t>
                  </w:r>
                </w:p>
              </w:tc>
            </w:tr>
            <w:tr>
              <w:tc>
                <w:tcPr/>
                <w:p>
                  <w:pPr>
                    <w:pStyle w:val="Compact"/>
                    <w:jc w:val="left"/>
                    <w:jc w:val="center"/>
                  </w:pPr>
                  <w:r>
                    <w:t xml:space="preserve">EGA louvain, drop v17/v24/v35</w:t>
                  </w:r>
                </w:p>
              </w:tc>
              <w:tc>
                <w:tcPr/>
                <w:p>
                  <w:pPr>
                    <w:pStyle w:val="Compact"/>
                    <w:jc w:val="right"/>
                    <w:jc w:val="center"/>
                  </w:pPr>
                  <w:r>
                    <w:t xml:space="preserve">4</w:t>
                  </w:r>
                </w:p>
              </w:tc>
              <w:tc>
                <w:tcPr/>
                <w:p>
                  <w:pPr>
                    <w:pStyle w:val="Compact"/>
                    <w:jc w:val="right"/>
                    <w:jc w:val="center"/>
                  </w:pPr>
                  <w:r>
                    <w:t xml:space="preserve">-26.2</w:t>
                  </w:r>
                </w:p>
              </w:tc>
            </w:tr>
            <w:tr>
              <w:tc>
                <w:tcPr/>
                <w:p>
                  <w:pPr>
                    <w:pStyle w:val="Compact"/>
                    <w:jc w:val="left"/>
                    <w:jc w:val="center"/>
                  </w:pPr>
                  <w:r>
                    <w:t xml:space="preserve">EGA louvain, drop nature (v46/v47)</w:t>
                  </w:r>
                </w:p>
              </w:tc>
              <w:tc>
                <w:tcPr/>
                <w:p>
                  <w:pPr>
                    <w:pStyle w:val="Compact"/>
                    <w:jc w:val="right"/>
                    <w:jc w:val="center"/>
                  </w:pPr>
                  <w:r>
                    <w:t xml:space="preserve">4</w:t>
                  </w:r>
                </w:p>
              </w:tc>
              <w:tc>
                <w:tcPr/>
                <w:p>
                  <w:pPr>
                    <w:pStyle w:val="Compact"/>
                    <w:jc w:val="right"/>
                    <w:jc w:val="center"/>
                  </w:pPr>
                  <w:r>
                    <w:t xml:space="preserve">-27.7</w:t>
                  </w:r>
                </w:p>
              </w:tc>
            </w:tr>
            <w:tr>
              <w:tc>
                <w:tcPr/>
                <w:p>
                  <w:pPr>
                    <w:pStyle w:val="Compact"/>
                    <w:jc w:val="left"/>
                    <w:jc w:val="center"/>
                  </w:pPr>
                  <w:r>
                    <w:t xml:space="preserve">EGA louvain, US only</w:t>
                  </w:r>
                </w:p>
              </w:tc>
              <w:tc>
                <w:tcPr/>
                <w:p>
                  <w:pPr>
                    <w:pStyle w:val="Compact"/>
                    <w:jc w:val="right"/>
                    <w:jc w:val="center"/>
                  </w:pPr>
                  <w:r>
                    <w:t xml:space="preserve">5</w:t>
                  </w:r>
                </w:p>
              </w:tc>
              <w:tc>
                <w:tcPr/>
                <w:p>
                  <w:pPr>
                    <w:pStyle w:val="Compact"/>
                    <w:jc w:val="right"/>
                    <w:jc w:val="center"/>
                  </w:pPr>
                  <w:r>
                    <w:t xml:space="preserve">-21.2</w:t>
                  </w:r>
                </w:p>
              </w:tc>
            </w:tr>
          </w:tbl>
          <w:bookmarkEnd w:id="1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 w:name="tbl-issp-comm"/>
          <w:p>
            <w:pPr>
              <w:jc w:val="center"/>
            </w:pPr>
            <w:pPr>
              <w:jc w:val="left"/>
              <w:spacing w:before="200"/>
              <w:pStyle w:val="ImageCaption"/>
            </w:pPr>
            <w:r>
              <w:t xml:space="preserve">Table 6: The five communities recovered by exploratory graph analysis of the Study 2 belief items.</w:t>
            </w:r>
          </w:p>
          <w:tbl>
            <w:tblPr>
              <w:tblStyle w:val="Table"/>
              <w:tblW w:type="pct" w:w="5000"/>
              <w:tblLayout w:type="fixed"/>
              <w:tblLook w:firstRow="1" w:lastRow="0" w:firstColumn="0" w:lastColumn="0" w:noHBand="0" w:noVBand="0" w:val="0020"/>
            </w:tblPr>
            <w:tblGrid>
              <w:gridCol w:w="754"/>
              <w:gridCol w:w="3092"/>
              <w:gridCol w:w="4073"/>
            </w:tblGrid>
            <w:tr>
              <w:trPr>
                <w:tblHeader w:val="on"/>
              </w:trPr>
              <w:tc>
                <w:tcPr/>
                <w:p>
                  <w:pPr>
                    <w:pStyle w:val="Compact"/>
                    <w:jc w:val="left"/>
                    <w:jc w:val="center"/>
                  </w:pPr>
                  <w:r>
                    <w:t xml:space="preserve">Community</w:t>
                  </w:r>
                </w:p>
              </w:tc>
              <w:tc>
                <w:tcPr/>
                <w:p>
                  <w:pPr>
                    <w:pStyle w:val="Compact"/>
                    <w:jc w:val="left"/>
                    <w:jc w:val="center"/>
                  </w:pPr>
                  <w:r>
                    <w:t xml:space="preserve">Label</w:t>
                  </w:r>
                </w:p>
              </w:tc>
              <w:tc>
                <w:tcPr/>
                <w:p>
                  <w:pPr>
                    <w:pStyle w:val="Compact"/>
                    <w:jc w:val="left"/>
                    <w:jc w:val="center"/>
                  </w:pPr>
                  <w:r>
                    <w:t xml:space="preserve">Items</w:t>
                  </w:r>
                </w:p>
              </w:tc>
            </w:tr>
            <w:tr>
              <w:tc>
                <w:tcPr/>
                <w:p>
                  <w:pPr>
                    <w:pStyle w:val="Compact"/>
                    <w:jc w:val="left"/>
                    <w:jc w:val="center"/>
                  </w:pPr>
                  <w:r>
                    <w:t xml:space="preserve">1</w:t>
                  </w:r>
                </w:p>
              </w:tc>
              <w:tc>
                <w:tcPr/>
                <w:p>
                  <w:pPr>
                    <w:pStyle w:val="Compact"/>
                    <w:jc w:val="left"/>
                    <w:jc w:val="center"/>
                  </w:pPr>
                  <w:r>
                    <w:t xml:space="preserve">Environmental commitment</w:t>
                  </w:r>
                </w:p>
              </w:tc>
              <w:tc>
                <w:tcPr/>
                <w:p>
                  <w:pPr>
                    <w:pStyle w:val="Compact"/>
                    <w:jc w:val="left"/>
                    <w:jc w:val="center"/>
                  </w:pPr>
                  <w:r>
                    <w:t xml:space="preserve">v15, v26, v27, v28, v31, v36</w:t>
                  </w:r>
                </w:p>
              </w:tc>
            </w:tr>
            <w:tr>
              <w:tc>
                <w:tcPr/>
                <w:p>
                  <w:pPr>
                    <w:pStyle w:val="Compact"/>
                    <w:jc w:val="left"/>
                    <w:jc w:val="center"/>
                  </w:pPr>
                  <w:r>
                    <w:t xml:space="preserve">2</w:t>
                  </w:r>
                </w:p>
              </w:tc>
              <w:tc>
                <w:tcPr/>
                <w:p>
                  <w:pPr>
                    <w:pStyle w:val="Compact"/>
                    <w:jc w:val="left"/>
                    <w:jc w:val="center"/>
                  </w:pPr>
                  <w:r>
                    <w:t xml:space="preserve">Ecological worldview (skeptical wording)</w:t>
                  </w:r>
                </w:p>
              </w:tc>
              <w:tc>
                <w:tcPr/>
                <w:p>
                  <w:pPr>
                    <w:pStyle w:val="Compact"/>
                    <w:jc w:val="left"/>
                    <w:jc w:val="center"/>
                  </w:pPr>
                  <w:r>
                    <w:t xml:space="preserve">v17, v20, v21, v23, v24, v29, v30, v32, v33, v34, v35</w:t>
                  </w:r>
                </w:p>
              </w:tc>
            </w:tr>
            <w:tr>
              <w:tc>
                <w:tcPr/>
                <w:p>
                  <w:pPr>
                    <w:pStyle w:val="Compact"/>
                    <w:jc w:val="left"/>
                    <w:jc w:val="center"/>
                  </w:pPr>
                  <w:r>
                    <w:t xml:space="preserve">3</w:t>
                  </w:r>
                </w:p>
              </w:tc>
              <w:tc>
                <w:tcPr/>
                <w:p>
                  <w:pPr>
                    <w:pStyle w:val="Compact"/>
                    <w:jc w:val="left"/>
                    <w:jc w:val="center"/>
                  </w:pPr>
                  <w:r>
                    <w:t xml:space="preserve">Growth harms the environment</w:t>
                  </w:r>
                </w:p>
              </w:tc>
              <w:tc>
                <w:tcPr/>
                <w:p>
                  <w:pPr>
                    <w:pStyle w:val="Compact"/>
                    <w:jc w:val="left"/>
                    <w:jc w:val="center"/>
                  </w:pPr>
                  <w:r>
                    <w:t xml:space="preserve">v22, v25</w:t>
                  </w:r>
                </w:p>
              </w:tc>
            </w:tr>
            <w:tr>
              <w:tc>
                <w:tcPr/>
                <w:p>
                  <w:pPr>
                    <w:pStyle w:val="Compact"/>
                    <w:jc w:val="left"/>
                    <w:jc w:val="center"/>
                  </w:pPr>
                  <w:r>
                    <w:t xml:space="preserve">4</w:t>
                  </w:r>
                </w:p>
              </w:tc>
              <w:tc>
                <w:tcPr/>
                <w:p>
                  <w:pPr>
                    <w:pStyle w:val="Compact"/>
                    <w:jc w:val="left"/>
                    <w:jc w:val="center"/>
                  </w:pPr>
                  <w:r>
                    <w:t xml:space="preserve">Perceived hazard danger</w:t>
                  </w:r>
                </w:p>
              </w:tc>
              <w:tc>
                <w:tcPr/>
                <w:p>
                  <w:pPr>
                    <w:pStyle w:val="Compact"/>
                    <w:jc w:val="left"/>
                    <w:jc w:val="center"/>
                  </w:pPr>
                  <w:r>
                    <w:t xml:space="preserve">v37, v38, v39, v40, v41, v42, v43</w:t>
                  </w:r>
                </w:p>
              </w:tc>
            </w:tr>
            <w:tr>
              <w:tc>
                <w:tcPr/>
                <w:p>
                  <w:pPr>
                    <w:pStyle w:val="Compact"/>
                    <w:jc w:val="left"/>
                    <w:jc w:val="center"/>
                  </w:pPr>
                  <w:r>
                    <w:t xml:space="preserve">5</w:t>
                  </w:r>
                </w:p>
              </w:tc>
              <w:tc>
                <w:tcPr/>
                <w:p>
                  <w:pPr>
                    <w:pStyle w:val="Compact"/>
                    <w:jc w:val="left"/>
                    <w:jc w:val="center"/>
                  </w:pPr>
                  <w:r>
                    <w:t xml:space="preserve">Nature affinity</w:t>
                  </w:r>
                </w:p>
              </w:tc>
              <w:tc>
                <w:tcPr/>
                <w:p>
                  <w:pPr>
                    <w:pStyle w:val="Compact"/>
                    <w:jc w:val="left"/>
                    <w:jc w:val="center"/>
                  </w:pPr>
                  <w:r>
                    <w:t xml:space="preserve">v46, v47</w:t>
                  </w:r>
                </w:p>
              </w:tc>
            </w:tr>
          </w:tbl>
          <w:bookmarkEnd w:id="1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 w:name="tbl-issp-scales"/>
          <w:p>
            <w:pPr>
              <w:jc w:val="center"/>
            </w:pPr>
            <w:pPr>
              <w:jc w:val="left"/>
              <w:spacing w:before="200"/>
              <w:pStyle w:val="ImageCaption"/>
            </w:pPr>
            <w:r>
              <w:t xml:space="preserve">Table 7: The four Study 2 belief scales, their items, and reliability (pooled ISSP sample). The two-item growth-harms community is folded into the ecological worldview scale.</w:t>
            </w:r>
          </w:p>
          <w:tbl>
            <w:tblPr>
              <w:tblStyle w:val="Table"/>
              <w:tblW w:type="pct" w:w="5000"/>
              <w:tblLayout w:type="fixed"/>
              <w:tblLook w:firstRow="1" w:lastRow="0" w:firstColumn="0" w:lastColumn="0" w:noHBand="0" w:noVBand="0" w:val="0020"/>
            </w:tblPr>
            <w:tblGrid>
              <w:gridCol w:w="1885"/>
              <w:gridCol w:w="754"/>
              <w:gridCol w:w="4827"/>
              <w:gridCol w:w="452"/>
            </w:tblGrid>
            <w:tr>
              <w:trPr>
                <w:tblHeader w:val="on"/>
              </w:trPr>
              <w:tc>
                <w:tcPr/>
                <w:p>
                  <w:pPr>
                    <w:pStyle w:val="Compact"/>
                    <w:jc w:val="left"/>
                    <w:jc w:val="center"/>
                  </w:pPr>
                  <w:r>
                    <w:t xml:space="preserve">Scale</w:t>
                  </w:r>
                </w:p>
              </w:tc>
              <w:tc>
                <w:tcPr/>
                <w:p>
                  <w:pPr>
                    <w:pStyle w:val="Compact"/>
                    <w:jc w:val="left"/>
                    <w:jc w:val="center"/>
                  </w:pPr>
                  <w:r>
                    <w:t xml:space="preserve">Name</w:t>
                  </w:r>
                </w:p>
              </w:tc>
              <w:tc>
                <w:tcPr/>
                <w:p>
                  <w:pPr>
                    <w:pStyle w:val="Compact"/>
                    <w:jc w:val="left"/>
                    <w:jc w:val="center"/>
                  </w:pPr>
                  <w:r>
                    <w:t xml:space="preserve">Items</w:t>
                  </w:r>
                </w:p>
              </w:tc>
              <w:tc>
                <w:tcPr/>
                <w:p>
                  <w:pPr>
                    <w:pStyle w:val="Compact"/>
                    <w:jc w:val="left"/>
                    <w:jc w:val="center"/>
                  </w:pPr>
                  <w:r>
                    <w:t xml:space="preserve">Alpha</w:t>
                  </w:r>
                </w:p>
              </w:tc>
            </w:tr>
            <w:tr>
              <w:tc>
                <w:tcPr/>
                <w:p>
                  <w:pPr>
                    <w:pStyle w:val="Compact"/>
                    <w:jc w:val="left"/>
                    <w:jc w:val="center"/>
                  </w:pPr>
                  <w:r>
                    <w:t xml:space="preserve">Environmental commitment</w:t>
                  </w:r>
                </w:p>
              </w:tc>
              <w:tc>
                <w:tcPr/>
                <w:p>
                  <w:pPr>
                    <w:pStyle w:val="Compact"/>
                    <w:jc w:val="left"/>
                    <w:jc w:val="center"/>
                  </w:pPr>
                  <w:r>
                    <w:t xml:space="preserve">envcom</w:t>
                  </w:r>
                </w:p>
              </w:tc>
              <w:tc>
                <w:tcPr/>
                <w:p>
                  <w:pPr>
                    <w:pStyle w:val="Compact"/>
                    <w:jc w:val="left"/>
                    <w:jc w:val="center"/>
                  </w:pPr>
                  <w:r>
                    <w:t xml:space="preserve">v15, v26, v27, v28, v31, v36</w:t>
                  </w:r>
                </w:p>
              </w:tc>
              <w:tc>
                <w:tcPr/>
                <w:p>
                  <w:pPr>
                    <w:pStyle w:val="Compact"/>
                    <w:jc w:val="left"/>
                    <w:jc w:val="center"/>
                  </w:pPr>
                  <w:r>
                    <w:t xml:space="preserve">0.75</w:t>
                  </w:r>
                </w:p>
              </w:tc>
            </w:tr>
            <w:tr>
              <w:tc>
                <w:tcPr/>
                <w:p>
                  <w:pPr>
                    <w:pStyle w:val="Compact"/>
                    <w:jc w:val="left"/>
                    <w:jc w:val="center"/>
                  </w:pPr>
                  <w:r>
                    <w:t xml:space="preserve">Ecological worldview</w:t>
                  </w:r>
                </w:p>
              </w:tc>
              <w:tc>
                <w:tcPr/>
                <w:p>
                  <w:pPr>
                    <w:pStyle w:val="Compact"/>
                    <w:jc w:val="left"/>
                    <w:jc w:val="center"/>
                  </w:pPr>
                  <w:r>
                    <w:t xml:space="preserve">worldview</w:t>
                  </w:r>
                </w:p>
              </w:tc>
              <w:tc>
                <w:tcPr/>
                <w:p>
                  <w:pPr>
                    <w:pStyle w:val="Compact"/>
                    <w:jc w:val="left"/>
                    <w:jc w:val="center"/>
                  </w:pPr>
                  <w:r>
                    <w:t xml:space="preserve">v17, v20, v21, v23, v24, v29, v30, v32, v33, v34, v35, v22, v25</w:t>
                  </w:r>
                </w:p>
              </w:tc>
              <w:tc>
                <w:tcPr/>
                <w:p>
                  <w:pPr>
                    <w:pStyle w:val="Compact"/>
                    <w:jc w:val="left"/>
                    <w:jc w:val="center"/>
                  </w:pPr>
                  <w:r>
                    <w:t xml:space="preserve">0.76</w:t>
                  </w:r>
                </w:p>
              </w:tc>
            </w:tr>
            <w:tr>
              <w:tc>
                <w:tcPr/>
                <w:p>
                  <w:pPr>
                    <w:pStyle w:val="Compact"/>
                    <w:jc w:val="left"/>
                    <w:jc w:val="center"/>
                  </w:pPr>
                  <w:r>
                    <w:t xml:space="preserve">Perceived threat</w:t>
                  </w:r>
                </w:p>
              </w:tc>
              <w:tc>
                <w:tcPr/>
                <w:p>
                  <w:pPr>
                    <w:pStyle w:val="Compact"/>
                    <w:jc w:val="left"/>
                    <w:jc w:val="center"/>
                  </w:pPr>
                  <w:r>
                    <w:t xml:space="preserve">threat</w:t>
                  </w:r>
                </w:p>
              </w:tc>
              <w:tc>
                <w:tcPr/>
                <w:p>
                  <w:pPr>
                    <w:pStyle w:val="Compact"/>
                    <w:jc w:val="left"/>
                    <w:jc w:val="center"/>
                  </w:pPr>
                  <w:r>
                    <w:t xml:space="preserve">v37, v38, v39, v40, v41, v42, v43</w:t>
                  </w:r>
                </w:p>
              </w:tc>
              <w:tc>
                <w:tcPr/>
                <w:p>
                  <w:pPr>
                    <w:pStyle w:val="Compact"/>
                    <w:jc w:val="left"/>
                    <w:jc w:val="center"/>
                  </w:pPr>
                  <w:r>
                    <w:t xml:space="preserve">0.80</w:t>
                  </w:r>
                </w:p>
              </w:tc>
            </w:tr>
            <w:tr>
              <w:tc>
                <w:tcPr/>
                <w:p>
                  <w:pPr>
                    <w:pStyle w:val="Compact"/>
                    <w:jc w:val="left"/>
                    <w:jc w:val="center"/>
                  </w:pPr>
                  <w:r>
                    <w:t xml:space="preserve">Nature affinity</w:t>
                  </w:r>
                </w:p>
              </w:tc>
              <w:tc>
                <w:tcPr/>
                <w:p>
                  <w:pPr>
                    <w:pStyle w:val="Compact"/>
                    <w:jc w:val="left"/>
                    <w:jc w:val="center"/>
                  </w:pPr>
                  <w:r>
                    <w:t xml:space="preserve">nature</w:t>
                  </w:r>
                </w:p>
              </w:tc>
              <w:tc>
                <w:tcPr/>
                <w:p>
                  <w:pPr>
                    <w:pStyle w:val="Compact"/>
                    <w:jc w:val="left"/>
                    <w:jc w:val="center"/>
                  </w:pPr>
                  <w:r>
                    <w:t xml:space="preserve">v46, v47</w:t>
                  </w:r>
                </w:p>
              </w:tc>
              <w:tc>
                <w:tcPr/>
                <w:p>
                  <w:pPr>
                    <w:pStyle w:val="Compact"/>
                    <w:jc w:val="left"/>
                    <w:jc w:val="center"/>
                  </w:pPr>
                  <w:r>
                    <w:t xml:space="preserve">0.61</w:t>
                  </w:r>
                </w:p>
              </w:tc>
            </w:tr>
          </w:tbl>
          <w:bookmarkEnd w:id="2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 w:name="tbl-issp-scalecor"/>
          <w:p>
            <w:pPr>
              <w:jc w:val="center"/>
            </w:pPr>
            <w:pPr>
              <w:jc w:val="left"/>
              <w:spacing w:before="200"/>
              <w:pStyle w:val="ImageCaption"/>
            </w:pPr>
            <w:r>
              <w:t xml:space="preserve">Table 8: Correlations among the Study 2 belief scales, a left-right ideology measure, and the six behavior items (pooled ISSP sample). Higher values on every measure indicate more pro-environmental positions or more frequent behavior.</w:t>
            </w:r>
          </w:p>
          <w:tbl>
            <w:tblPr>
              <w:tblStyle w:val="Table"/>
              <w:tblW w:type="pct" w:w="5000"/>
              <w:tblLayout w:type="fixed"/>
              <w:tblLook w:firstRow="1" w:lastRow="0" w:firstColumn="0" w:lastColumn="0" w:noHBand="0" w:noVBand="0" w:val="0020"/>
            </w:tblPr>
            <w:tblGrid>
              <w:gridCol w:w="953"/>
              <w:gridCol w:w="513"/>
              <w:gridCol w:w="733"/>
              <w:gridCol w:w="513"/>
              <w:gridCol w:w="513"/>
              <w:gridCol w:w="660"/>
              <w:gridCol w:w="586"/>
              <w:gridCol w:w="733"/>
              <w:gridCol w:w="953"/>
              <w:gridCol w:w="660"/>
              <w:gridCol w:w="513"/>
              <w:gridCol w:w="586"/>
            </w:tblGrid>
            <w:tr>
              <w:trPr>
                <w:tblHeader w:val="on"/>
              </w:trPr>
              <w:tc>
                <w:tcPr/>
                <w:p>
                  <w:pPr>
                    <w:pStyle w:val="Compact"/>
                  </w:pPr>
                </w:p>
              </w:tc>
              <w:tc>
                <w:tcPr/>
                <w:p>
                  <w:pPr>
                    <w:pStyle w:val="Compact"/>
                    <w:jc w:val="right"/>
                    <w:jc w:val="center"/>
                  </w:pPr>
                  <w:r>
                    <w:t xml:space="preserve">envcom</w:t>
                  </w:r>
                </w:p>
              </w:tc>
              <w:tc>
                <w:tcPr/>
                <w:p>
                  <w:pPr>
                    <w:pStyle w:val="Compact"/>
                    <w:jc w:val="right"/>
                    <w:jc w:val="center"/>
                  </w:pPr>
                  <w:r>
                    <w:t xml:space="preserve">worldview</w:t>
                  </w:r>
                </w:p>
              </w:tc>
              <w:tc>
                <w:tcPr/>
                <w:p>
                  <w:pPr>
                    <w:pStyle w:val="Compact"/>
                    <w:jc w:val="right"/>
                    <w:jc w:val="center"/>
                  </w:pPr>
                  <w:r>
                    <w:t xml:space="preserve">threat</w:t>
                  </w:r>
                </w:p>
              </w:tc>
              <w:tc>
                <w:tcPr/>
                <w:p>
                  <w:pPr>
                    <w:pStyle w:val="Compact"/>
                    <w:jc w:val="right"/>
                    <w:jc w:val="center"/>
                  </w:pPr>
                  <w:r>
                    <w:t xml:space="preserve">nature</w:t>
                  </w:r>
                </w:p>
              </w:tc>
              <w:tc>
                <w:tcPr/>
                <w:p>
                  <w:pPr>
                    <w:pStyle w:val="Compact"/>
                    <w:jc w:val="right"/>
                    <w:jc w:val="center"/>
                  </w:pPr>
                  <w:r>
                    <w:t xml:space="preserve">PARTY_LR</w:t>
                  </w:r>
                </w:p>
              </w:tc>
              <w:tc>
                <w:tcPr/>
                <w:p>
                  <w:pPr>
                    <w:pStyle w:val="Compact"/>
                    <w:jc w:val="right"/>
                    <w:jc w:val="center"/>
                  </w:pPr>
                  <w:r>
                    <w:t xml:space="preserve">recycle</w:t>
                  </w:r>
                </w:p>
              </w:tc>
              <w:tc>
                <w:tcPr/>
                <w:p>
                  <w:pPr>
                    <w:pStyle w:val="Compact"/>
                    <w:jc w:val="right"/>
                    <w:jc w:val="center"/>
                  </w:pPr>
                  <w:r>
                    <w:t xml:space="preserve">avoid_buy</w:t>
                  </w:r>
                </w:p>
              </w:tc>
              <w:tc>
                <w:tcPr/>
                <w:p>
                  <w:pPr>
                    <w:pStyle w:val="Compact"/>
                    <w:jc w:val="right"/>
                    <w:jc w:val="center"/>
                  </w:pPr>
                  <w:r>
                    <w:t xml:space="preserve">group_member</w:t>
                  </w:r>
                </w:p>
              </w:tc>
              <w:tc>
                <w:tcPr/>
                <w:p>
                  <w:pPr>
                    <w:pStyle w:val="Compact"/>
                    <w:jc w:val="right"/>
                    <w:jc w:val="center"/>
                  </w:pPr>
                  <w:r>
                    <w:t xml:space="preserve">petition</w:t>
                  </w:r>
                </w:p>
              </w:tc>
              <w:tc>
                <w:tcPr/>
                <w:p>
                  <w:pPr>
                    <w:pStyle w:val="Compact"/>
                    <w:jc w:val="right"/>
                    <w:jc w:val="center"/>
                  </w:pPr>
                  <w:r>
                    <w:t xml:space="preserve">donate</w:t>
                  </w:r>
                </w:p>
              </w:tc>
              <w:tc>
                <w:tcPr/>
                <w:p>
                  <w:pPr>
                    <w:pStyle w:val="Compact"/>
                    <w:jc w:val="right"/>
                    <w:jc w:val="center"/>
                  </w:pPr>
                  <w:r>
                    <w:t xml:space="preserve">protest</w:t>
                  </w:r>
                </w:p>
              </w:tc>
            </w:tr>
            <w:tr>
              <w:tc>
                <w:tcPr/>
                <w:p>
                  <w:pPr>
                    <w:pStyle w:val="Compact"/>
                    <w:jc w:val="left"/>
                    <w:jc w:val="center"/>
                  </w:pPr>
                  <w:r>
                    <w:t xml:space="preserve">envcom</w:t>
                  </w:r>
                </w:p>
              </w:tc>
              <w:tc>
                <w:tcPr/>
                <w:p>
                  <w:pPr>
                    <w:pStyle w:val="Compact"/>
                    <w:jc w:val="right"/>
                    <w:jc w:val="center"/>
                  </w:pPr>
                  <w:r>
                    <w:t xml:space="preserve">1.00</w:t>
                  </w:r>
                </w:p>
              </w:tc>
              <w:tc>
                <w:tcPr/>
                <w:p>
                  <w:pPr>
                    <w:pStyle w:val="Compact"/>
                    <w:jc w:val="right"/>
                    <w:jc w:val="center"/>
                  </w:pPr>
                  <w:r>
                    <w:t xml:space="preserve">0.34</w:t>
                  </w:r>
                </w:p>
              </w:tc>
              <w:tc>
                <w:tcPr/>
                <w:p>
                  <w:pPr>
                    <w:pStyle w:val="Compact"/>
                    <w:jc w:val="right"/>
                    <w:jc w:val="center"/>
                  </w:pPr>
                  <w:r>
                    <w:t xml:space="preserve">0.28</w:t>
                  </w:r>
                </w:p>
              </w:tc>
              <w:tc>
                <w:tcPr/>
                <w:p>
                  <w:pPr>
                    <w:pStyle w:val="Compact"/>
                    <w:jc w:val="right"/>
                    <w:jc w:val="center"/>
                  </w:pPr>
                  <w:r>
                    <w:t xml:space="preserve">0.15</w:t>
                  </w:r>
                </w:p>
              </w:tc>
              <w:tc>
                <w:tcPr/>
                <w:p>
                  <w:pPr>
                    <w:pStyle w:val="Compact"/>
                    <w:jc w:val="right"/>
                    <w:jc w:val="center"/>
                  </w:pPr>
                  <w:r>
                    <w:t xml:space="preserve">-0.22</w:t>
                  </w:r>
                </w:p>
              </w:tc>
              <w:tc>
                <w:tcPr/>
                <w:p>
                  <w:pPr>
                    <w:pStyle w:val="Compact"/>
                    <w:jc w:val="right"/>
                    <w:jc w:val="center"/>
                  </w:pPr>
                  <w:r>
                    <w:t xml:space="preserve">0.20</w:t>
                  </w:r>
                </w:p>
              </w:tc>
              <w:tc>
                <w:tcPr/>
                <w:p>
                  <w:pPr>
                    <w:pStyle w:val="Compact"/>
                    <w:jc w:val="right"/>
                    <w:jc w:val="center"/>
                  </w:pPr>
                  <w:r>
                    <w:t xml:space="preserve">0.36</w:t>
                  </w:r>
                </w:p>
              </w:tc>
              <w:tc>
                <w:tcPr/>
                <w:p>
                  <w:pPr>
                    <w:pStyle w:val="Compact"/>
                    <w:jc w:val="right"/>
                    <w:jc w:val="center"/>
                  </w:pPr>
                  <w:r>
                    <w:t xml:space="preserve">0.18</w:t>
                  </w:r>
                </w:p>
              </w:tc>
              <w:tc>
                <w:tcPr/>
                <w:p>
                  <w:pPr>
                    <w:pStyle w:val="Compact"/>
                    <w:jc w:val="right"/>
                    <w:jc w:val="center"/>
                  </w:pPr>
                  <w:r>
                    <w:t xml:space="preserve">0.26</w:t>
                  </w:r>
                </w:p>
              </w:tc>
              <w:tc>
                <w:tcPr/>
                <w:p>
                  <w:pPr>
                    <w:pStyle w:val="Compact"/>
                    <w:jc w:val="right"/>
                    <w:jc w:val="center"/>
                  </w:pPr>
                  <w:r>
                    <w:t xml:space="preserve">0.25</w:t>
                  </w:r>
                </w:p>
              </w:tc>
              <w:tc>
                <w:tcPr/>
                <w:p>
                  <w:pPr>
                    <w:pStyle w:val="Compact"/>
                    <w:jc w:val="right"/>
                    <w:jc w:val="center"/>
                  </w:pPr>
                  <w:r>
                    <w:t xml:space="preserve">0.17</w:t>
                  </w:r>
                </w:p>
              </w:tc>
            </w:tr>
            <w:tr>
              <w:tc>
                <w:tcPr/>
                <w:p>
                  <w:pPr>
                    <w:pStyle w:val="Compact"/>
                    <w:jc w:val="left"/>
                    <w:jc w:val="center"/>
                  </w:pPr>
                  <w:r>
                    <w:t xml:space="preserve">worldview</w:t>
                  </w:r>
                </w:p>
              </w:tc>
              <w:tc>
                <w:tcPr/>
                <w:p>
                  <w:pPr>
                    <w:pStyle w:val="Compact"/>
                    <w:jc w:val="right"/>
                    <w:jc w:val="center"/>
                  </w:pPr>
                  <w:r>
                    <w:t xml:space="preserve">0.34</w:t>
                  </w:r>
                </w:p>
              </w:tc>
              <w:tc>
                <w:tcPr/>
                <w:p>
                  <w:pPr>
                    <w:pStyle w:val="Compact"/>
                    <w:jc w:val="right"/>
                    <w:jc w:val="center"/>
                  </w:pPr>
                  <w:r>
                    <w:t xml:space="preserve">1.00</w:t>
                  </w:r>
                </w:p>
              </w:tc>
              <w:tc>
                <w:tcPr/>
                <w:p>
                  <w:pPr>
                    <w:pStyle w:val="Compact"/>
                    <w:jc w:val="right"/>
                    <w:jc w:val="center"/>
                  </w:pPr>
                  <w:r>
                    <w:t xml:space="preserve">0.30</w:t>
                  </w:r>
                </w:p>
              </w:tc>
              <w:tc>
                <w:tcPr/>
                <w:p>
                  <w:pPr>
                    <w:pStyle w:val="Compact"/>
                    <w:jc w:val="right"/>
                    <w:jc w:val="center"/>
                  </w:pPr>
                  <w:r>
                    <w:t xml:space="preserve">0.34</w:t>
                  </w:r>
                </w:p>
              </w:tc>
              <w:tc>
                <w:tcPr/>
                <w:p>
                  <w:pPr>
                    <w:pStyle w:val="Compact"/>
                    <w:jc w:val="right"/>
                    <w:jc w:val="center"/>
                  </w:pPr>
                  <w:r>
                    <w:t xml:space="preserve">-0.23</w:t>
                  </w:r>
                </w:p>
              </w:tc>
              <w:tc>
                <w:tcPr/>
                <w:p>
                  <w:pPr>
                    <w:pStyle w:val="Compact"/>
                    <w:jc w:val="right"/>
                    <w:jc w:val="center"/>
                  </w:pPr>
                  <w:r>
                    <w:t xml:space="preserve">0.33</w:t>
                  </w:r>
                </w:p>
              </w:tc>
              <w:tc>
                <w:tcPr/>
                <w:p>
                  <w:pPr>
                    <w:pStyle w:val="Compact"/>
                    <w:jc w:val="right"/>
                    <w:jc w:val="center"/>
                  </w:pPr>
                  <w:r>
                    <w:t xml:space="preserve">0.27</w:t>
                  </w:r>
                </w:p>
              </w:tc>
              <w:tc>
                <w:tcPr/>
                <w:p>
                  <w:pPr>
                    <w:pStyle w:val="Compact"/>
                    <w:jc w:val="right"/>
                    <w:jc w:val="center"/>
                  </w:pPr>
                  <w:r>
                    <w:t xml:space="preserve">0.10</w:t>
                  </w:r>
                </w:p>
              </w:tc>
              <w:tc>
                <w:tcPr/>
                <w:p>
                  <w:pPr>
                    <w:pStyle w:val="Compact"/>
                    <w:jc w:val="right"/>
                    <w:jc w:val="center"/>
                  </w:pPr>
                  <w:r>
                    <w:t xml:space="preserve">0.34</w:t>
                  </w:r>
                </w:p>
              </w:tc>
              <w:tc>
                <w:tcPr/>
                <w:p>
                  <w:pPr>
                    <w:pStyle w:val="Compact"/>
                    <w:jc w:val="right"/>
                    <w:jc w:val="center"/>
                  </w:pPr>
                  <w:r>
                    <w:t xml:space="preserve">0.25</w:t>
                  </w:r>
                </w:p>
              </w:tc>
              <w:tc>
                <w:tcPr/>
                <w:p>
                  <w:pPr>
                    <w:pStyle w:val="Compact"/>
                    <w:jc w:val="right"/>
                    <w:jc w:val="center"/>
                  </w:pPr>
                  <w:r>
                    <w:t xml:space="preserve">0.14</w:t>
                  </w:r>
                </w:p>
              </w:tc>
            </w:tr>
            <w:tr>
              <w:tc>
                <w:tcPr/>
                <w:p>
                  <w:pPr>
                    <w:pStyle w:val="Compact"/>
                    <w:jc w:val="left"/>
                    <w:jc w:val="center"/>
                  </w:pPr>
                  <w:r>
                    <w:t xml:space="preserve">threat</w:t>
                  </w:r>
                </w:p>
              </w:tc>
              <w:tc>
                <w:tcPr/>
                <w:p>
                  <w:pPr>
                    <w:pStyle w:val="Compact"/>
                    <w:jc w:val="right"/>
                    <w:jc w:val="center"/>
                  </w:pPr>
                  <w:r>
                    <w:t xml:space="preserve">0.28</w:t>
                  </w:r>
                </w:p>
              </w:tc>
              <w:tc>
                <w:tcPr/>
                <w:p>
                  <w:pPr>
                    <w:pStyle w:val="Compact"/>
                    <w:jc w:val="right"/>
                    <w:jc w:val="center"/>
                  </w:pPr>
                  <w:r>
                    <w:t xml:space="preserve">0.30</w:t>
                  </w:r>
                </w:p>
              </w:tc>
              <w:tc>
                <w:tcPr/>
                <w:p>
                  <w:pPr>
                    <w:pStyle w:val="Compact"/>
                    <w:jc w:val="right"/>
                    <w:jc w:val="center"/>
                  </w:pPr>
                  <w:r>
                    <w:t xml:space="preserve">1.00</w:t>
                  </w:r>
                </w:p>
              </w:tc>
              <w:tc>
                <w:tcPr/>
                <w:p>
                  <w:pPr>
                    <w:pStyle w:val="Compact"/>
                    <w:jc w:val="right"/>
                    <w:jc w:val="center"/>
                  </w:pPr>
                  <w:r>
                    <w:t xml:space="preserve">0.07</w:t>
                  </w:r>
                </w:p>
              </w:tc>
              <w:tc>
                <w:tcPr/>
                <w:p>
                  <w:pPr>
                    <w:pStyle w:val="Compact"/>
                    <w:jc w:val="right"/>
                    <w:jc w:val="center"/>
                  </w:pPr>
                  <w:r>
                    <w:t xml:space="preserve">-0.22</w:t>
                  </w:r>
                </w:p>
              </w:tc>
              <w:tc>
                <w:tcPr/>
                <w:p>
                  <w:pPr>
                    <w:pStyle w:val="Compact"/>
                    <w:jc w:val="right"/>
                    <w:jc w:val="center"/>
                  </w:pPr>
                  <w:r>
                    <w:t xml:space="preserve">0.05</w:t>
                  </w:r>
                </w:p>
              </w:tc>
              <w:tc>
                <w:tcPr/>
                <w:p>
                  <w:pPr>
                    <w:pStyle w:val="Compact"/>
                    <w:jc w:val="right"/>
                    <w:jc w:val="center"/>
                  </w:pPr>
                  <w:r>
                    <w:t xml:space="preserve">0.18</w:t>
                  </w:r>
                </w:p>
              </w:tc>
              <w:tc>
                <w:tcPr/>
                <w:p>
                  <w:pPr>
                    <w:pStyle w:val="Compact"/>
                    <w:jc w:val="right"/>
                    <w:jc w:val="center"/>
                  </w:pPr>
                  <w:r>
                    <w:t xml:space="preserve">0.04</w:t>
                  </w:r>
                </w:p>
              </w:tc>
              <w:tc>
                <w:tcPr/>
                <w:p>
                  <w:pPr>
                    <w:pStyle w:val="Compact"/>
                    <w:jc w:val="right"/>
                    <w:jc w:val="center"/>
                  </w:pPr>
                  <w:r>
                    <w:t xml:space="preserve">0.14</w:t>
                  </w:r>
                </w:p>
              </w:tc>
              <w:tc>
                <w:tcPr/>
                <w:p>
                  <w:pPr>
                    <w:pStyle w:val="Compact"/>
                    <w:jc w:val="right"/>
                    <w:jc w:val="center"/>
                  </w:pPr>
                  <w:r>
                    <w:t xml:space="preserve">0.06</w:t>
                  </w:r>
                </w:p>
              </w:tc>
              <w:tc>
                <w:tcPr/>
                <w:p>
                  <w:pPr>
                    <w:pStyle w:val="Compact"/>
                    <w:jc w:val="right"/>
                    <w:jc w:val="center"/>
                  </w:pPr>
                  <w:r>
                    <w:t xml:space="preserve">0.07</w:t>
                  </w:r>
                </w:p>
              </w:tc>
            </w:tr>
            <w:tr>
              <w:tc>
                <w:tcPr/>
                <w:p>
                  <w:pPr>
                    <w:pStyle w:val="Compact"/>
                    <w:jc w:val="left"/>
                    <w:jc w:val="center"/>
                  </w:pPr>
                  <w:r>
                    <w:t xml:space="preserve">nature</w:t>
                  </w:r>
                </w:p>
              </w:tc>
              <w:tc>
                <w:tcPr/>
                <w:p>
                  <w:pPr>
                    <w:pStyle w:val="Compact"/>
                    <w:jc w:val="right"/>
                    <w:jc w:val="center"/>
                  </w:pPr>
                  <w:r>
                    <w:t xml:space="preserve">0.15</w:t>
                  </w:r>
                </w:p>
              </w:tc>
              <w:tc>
                <w:tcPr/>
                <w:p>
                  <w:pPr>
                    <w:pStyle w:val="Compact"/>
                    <w:jc w:val="right"/>
                    <w:jc w:val="center"/>
                  </w:pPr>
                  <w:r>
                    <w:t xml:space="preserve">0.34</w:t>
                  </w:r>
                </w:p>
              </w:tc>
              <w:tc>
                <w:tcPr/>
                <w:p>
                  <w:pPr>
                    <w:pStyle w:val="Compact"/>
                    <w:jc w:val="right"/>
                    <w:jc w:val="center"/>
                  </w:pPr>
                  <w:r>
                    <w:t xml:space="preserve">0.07</w:t>
                  </w:r>
                </w:p>
              </w:tc>
              <w:tc>
                <w:tcPr/>
                <w:p>
                  <w:pPr>
                    <w:pStyle w:val="Compact"/>
                    <w:jc w:val="right"/>
                    <w:jc w:val="center"/>
                  </w:pPr>
                  <w:r>
                    <w:t xml:space="preserve">1.00</w:t>
                  </w:r>
                </w:p>
              </w:tc>
              <w:tc>
                <w:tcPr/>
                <w:p>
                  <w:pPr>
                    <w:pStyle w:val="Compact"/>
                    <w:jc w:val="right"/>
                    <w:jc w:val="center"/>
                  </w:pPr>
                  <w:r>
                    <w:t xml:space="preserve">-0.03</w:t>
                  </w:r>
                </w:p>
              </w:tc>
              <w:tc>
                <w:tcPr/>
                <w:p>
                  <w:pPr>
                    <w:pStyle w:val="Compact"/>
                    <w:jc w:val="right"/>
                    <w:jc w:val="center"/>
                  </w:pPr>
                  <w:r>
                    <w:t xml:space="preserve">0.34</w:t>
                  </w:r>
                </w:p>
              </w:tc>
              <w:tc>
                <w:tcPr/>
                <w:p>
                  <w:pPr>
                    <w:pStyle w:val="Compact"/>
                    <w:jc w:val="right"/>
                    <w:jc w:val="center"/>
                  </w:pPr>
                  <w:r>
                    <w:t xml:space="preserve">0.22</w:t>
                  </w:r>
                </w:p>
              </w:tc>
              <w:tc>
                <w:tcPr/>
                <w:p>
                  <w:pPr>
                    <w:pStyle w:val="Compact"/>
                    <w:jc w:val="right"/>
                    <w:jc w:val="center"/>
                  </w:pPr>
                  <w:r>
                    <w:t xml:space="preserve">0.09</w:t>
                  </w:r>
                </w:p>
              </w:tc>
              <w:tc>
                <w:tcPr/>
                <w:p>
                  <w:pPr>
                    <w:pStyle w:val="Compact"/>
                    <w:jc w:val="right"/>
                    <w:jc w:val="center"/>
                  </w:pPr>
                  <w:r>
                    <w:t xml:space="preserve">0.23</w:t>
                  </w:r>
                </w:p>
              </w:tc>
              <w:tc>
                <w:tcPr/>
                <w:p>
                  <w:pPr>
                    <w:pStyle w:val="Compact"/>
                    <w:jc w:val="right"/>
                    <w:jc w:val="center"/>
                  </w:pPr>
                  <w:r>
                    <w:t xml:space="preserve">0.19</w:t>
                  </w:r>
                </w:p>
              </w:tc>
              <w:tc>
                <w:tcPr/>
                <w:p>
                  <w:pPr>
                    <w:pStyle w:val="Compact"/>
                    <w:jc w:val="right"/>
                    <w:jc w:val="center"/>
                  </w:pPr>
                  <w:r>
                    <w:t xml:space="preserve">0.10</w:t>
                  </w:r>
                </w:p>
              </w:tc>
            </w:tr>
            <w:tr>
              <w:tc>
                <w:tcPr/>
                <w:p>
                  <w:pPr>
                    <w:pStyle w:val="Compact"/>
                    <w:jc w:val="left"/>
                    <w:jc w:val="center"/>
                  </w:pPr>
                  <w:r>
                    <w:t xml:space="preserve">PARTY_LR</w:t>
                  </w:r>
                </w:p>
              </w:tc>
              <w:tc>
                <w:tcPr/>
                <w:p>
                  <w:pPr>
                    <w:pStyle w:val="Compact"/>
                    <w:jc w:val="right"/>
                    <w:jc w:val="center"/>
                  </w:pPr>
                  <w:r>
                    <w:t xml:space="preserve">-0.22</w:t>
                  </w:r>
                </w:p>
              </w:tc>
              <w:tc>
                <w:tcPr/>
                <w:p>
                  <w:pPr>
                    <w:pStyle w:val="Compact"/>
                    <w:jc w:val="right"/>
                    <w:jc w:val="center"/>
                  </w:pPr>
                  <w:r>
                    <w:t xml:space="preserve">-0.23</w:t>
                  </w:r>
                </w:p>
              </w:tc>
              <w:tc>
                <w:tcPr/>
                <w:p>
                  <w:pPr>
                    <w:pStyle w:val="Compact"/>
                    <w:jc w:val="right"/>
                    <w:jc w:val="center"/>
                  </w:pPr>
                  <w:r>
                    <w:t xml:space="preserve">-0.22</w:t>
                  </w:r>
                </w:p>
              </w:tc>
              <w:tc>
                <w:tcPr/>
                <w:p>
                  <w:pPr>
                    <w:pStyle w:val="Compact"/>
                    <w:jc w:val="right"/>
                    <w:jc w:val="center"/>
                  </w:pPr>
                  <w:r>
                    <w:t xml:space="preserve">-0.03</w:t>
                  </w:r>
                </w:p>
              </w:tc>
              <w:tc>
                <w:tcPr/>
                <w:p>
                  <w:pPr>
                    <w:pStyle w:val="Compact"/>
                    <w:jc w:val="right"/>
                    <w:jc w:val="center"/>
                  </w:pPr>
                  <w:r>
                    <w:t xml:space="preserve">1.00</w:t>
                  </w:r>
                </w:p>
              </w:tc>
              <w:tc>
                <w:tcPr/>
                <w:p>
                  <w:pPr>
                    <w:pStyle w:val="Compact"/>
                    <w:jc w:val="right"/>
                    <w:jc w:val="center"/>
                  </w:pPr>
                  <w:r>
                    <w:t xml:space="preserve">-0.03</w:t>
                  </w:r>
                </w:p>
              </w:tc>
              <w:tc>
                <w:tcPr/>
                <w:p>
                  <w:pPr>
                    <w:pStyle w:val="Compact"/>
                    <w:jc w:val="right"/>
                    <w:jc w:val="center"/>
                  </w:pPr>
                  <w:r>
                    <w:t xml:space="preserve">-0.09</w:t>
                  </w:r>
                </w:p>
              </w:tc>
              <w:tc>
                <w:tcPr/>
                <w:p>
                  <w:pPr>
                    <w:pStyle w:val="Compact"/>
                    <w:jc w:val="right"/>
                    <w:jc w:val="center"/>
                  </w:pPr>
                  <w:r>
                    <w:t xml:space="preserve">-0.10</w:t>
                  </w:r>
                </w:p>
              </w:tc>
              <w:tc>
                <w:tcPr/>
                <w:p>
                  <w:pPr>
                    <w:pStyle w:val="Compact"/>
                    <w:jc w:val="right"/>
                    <w:jc w:val="center"/>
                  </w:pPr>
                  <w:r>
                    <w:t xml:space="preserve">-0.20</w:t>
                  </w:r>
                </w:p>
              </w:tc>
              <w:tc>
                <w:tcPr/>
                <w:p>
                  <w:pPr>
                    <w:pStyle w:val="Compact"/>
                    <w:jc w:val="right"/>
                    <w:jc w:val="center"/>
                  </w:pPr>
                  <w:r>
                    <w:t xml:space="preserve">-0.13</w:t>
                  </w:r>
                </w:p>
              </w:tc>
              <w:tc>
                <w:tcPr/>
                <w:p>
                  <w:pPr>
                    <w:pStyle w:val="Compact"/>
                    <w:jc w:val="right"/>
                    <w:jc w:val="center"/>
                  </w:pPr>
                  <w:r>
                    <w:t xml:space="preserve">-0.14</w:t>
                  </w:r>
                </w:p>
              </w:tc>
            </w:tr>
            <w:tr>
              <w:tc>
                <w:tcPr/>
                <w:p>
                  <w:pPr>
                    <w:pStyle w:val="Compact"/>
                    <w:jc w:val="left"/>
                    <w:jc w:val="center"/>
                  </w:pPr>
                  <w:r>
                    <w:t xml:space="preserve">recycle</w:t>
                  </w:r>
                </w:p>
              </w:tc>
              <w:tc>
                <w:tcPr/>
                <w:p>
                  <w:pPr>
                    <w:pStyle w:val="Compact"/>
                    <w:jc w:val="right"/>
                    <w:jc w:val="center"/>
                  </w:pPr>
                  <w:r>
                    <w:t xml:space="preserve">0.20</w:t>
                  </w:r>
                </w:p>
              </w:tc>
              <w:tc>
                <w:tcPr/>
                <w:p>
                  <w:pPr>
                    <w:pStyle w:val="Compact"/>
                    <w:jc w:val="right"/>
                    <w:jc w:val="center"/>
                  </w:pPr>
                  <w:r>
                    <w:t xml:space="preserve">0.33</w:t>
                  </w:r>
                </w:p>
              </w:tc>
              <w:tc>
                <w:tcPr/>
                <w:p>
                  <w:pPr>
                    <w:pStyle w:val="Compact"/>
                    <w:jc w:val="right"/>
                    <w:jc w:val="center"/>
                  </w:pPr>
                  <w:r>
                    <w:t xml:space="preserve">0.05</w:t>
                  </w:r>
                </w:p>
              </w:tc>
              <w:tc>
                <w:tcPr/>
                <w:p>
                  <w:pPr>
                    <w:pStyle w:val="Compact"/>
                    <w:jc w:val="right"/>
                    <w:jc w:val="center"/>
                  </w:pPr>
                  <w:r>
                    <w:t xml:space="preserve">0.34</w:t>
                  </w:r>
                </w:p>
              </w:tc>
              <w:tc>
                <w:tcPr/>
                <w:p>
                  <w:pPr>
                    <w:pStyle w:val="Compact"/>
                    <w:jc w:val="right"/>
                    <w:jc w:val="center"/>
                  </w:pPr>
                  <w:r>
                    <w:t xml:space="preserve">-0.03</w:t>
                  </w:r>
                </w:p>
              </w:tc>
              <w:tc>
                <w:tcPr/>
                <w:p>
                  <w:pPr>
                    <w:pStyle w:val="Compact"/>
                    <w:jc w:val="right"/>
                    <w:jc w:val="center"/>
                  </w:pPr>
                  <w:r>
                    <w:t xml:space="preserve">1.00</w:t>
                  </w:r>
                </w:p>
              </w:tc>
              <w:tc>
                <w:tcPr/>
                <w:p>
                  <w:pPr>
                    <w:pStyle w:val="Compact"/>
                    <w:jc w:val="right"/>
                    <w:jc w:val="center"/>
                  </w:pPr>
                  <w:r>
                    <w:t xml:space="preserve">0.37</w:t>
                  </w:r>
                </w:p>
              </w:tc>
              <w:tc>
                <w:tcPr/>
                <w:p>
                  <w:pPr>
                    <w:pStyle w:val="Compact"/>
                    <w:jc w:val="right"/>
                    <w:jc w:val="center"/>
                  </w:pPr>
                  <w:r>
                    <w:t xml:space="preserve">0.05</w:t>
                  </w:r>
                </w:p>
              </w:tc>
              <w:tc>
                <w:tcPr/>
                <w:p>
                  <w:pPr>
                    <w:pStyle w:val="Compact"/>
                    <w:jc w:val="right"/>
                    <w:jc w:val="center"/>
                  </w:pPr>
                  <w:r>
                    <w:t xml:space="preserve">0.20</w:t>
                  </w:r>
                </w:p>
              </w:tc>
              <w:tc>
                <w:tcPr/>
                <w:p>
                  <w:pPr>
                    <w:pStyle w:val="Compact"/>
                    <w:jc w:val="right"/>
                    <w:jc w:val="center"/>
                  </w:pPr>
                  <w:r>
                    <w:t xml:space="preserve">0.16</w:t>
                  </w:r>
                </w:p>
              </w:tc>
              <w:tc>
                <w:tcPr/>
                <w:p>
                  <w:pPr>
                    <w:pStyle w:val="Compact"/>
                    <w:jc w:val="right"/>
                    <w:jc w:val="center"/>
                  </w:pPr>
                  <w:r>
                    <w:t xml:space="preserve">0.05</w:t>
                  </w:r>
                </w:p>
              </w:tc>
            </w:tr>
            <w:tr>
              <w:tc>
                <w:tcPr/>
                <w:p>
                  <w:pPr>
                    <w:pStyle w:val="Compact"/>
                    <w:jc w:val="left"/>
                    <w:jc w:val="center"/>
                  </w:pPr>
                  <w:r>
                    <w:t xml:space="preserve">avoid_buy</w:t>
                  </w:r>
                </w:p>
              </w:tc>
              <w:tc>
                <w:tcPr/>
                <w:p>
                  <w:pPr>
                    <w:pStyle w:val="Compact"/>
                    <w:jc w:val="right"/>
                    <w:jc w:val="center"/>
                  </w:pPr>
                  <w:r>
                    <w:t xml:space="preserve">0.36</w:t>
                  </w:r>
                </w:p>
              </w:tc>
              <w:tc>
                <w:tcPr/>
                <w:p>
                  <w:pPr>
                    <w:pStyle w:val="Compact"/>
                    <w:jc w:val="right"/>
                    <w:jc w:val="center"/>
                  </w:pPr>
                  <w:r>
                    <w:t xml:space="preserve">0.27</w:t>
                  </w:r>
                </w:p>
              </w:tc>
              <w:tc>
                <w:tcPr/>
                <w:p>
                  <w:pPr>
                    <w:pStyle w:val="Compact"/>
                    <w:jc w:val="right"/>
                    <w:jc w:val="center"/>
                  </w:pPr>
                  <w:r>
                    <w:t xml:space="preserve">0.18</w:t>
                  </w:r>
                </w:p>
              </w:tc>
              <w:tc>
                <w:tcPr/>
                <w:p>
                  <w:pPr>
                    <w:pStyle w:val="Compact"/>
                    <w:jc w:val="right"/>
                    <w:jc w:val="center"/>
                  </w:pPr>
                  <w:r>
                    <w:t xml:space="preserve">0.22</w:t>
                  </w:r>
                </w:p>
              </w:tc>
              <w:tc>
                <w:tcPr/>
                <w:p>
                  <w:pPr>
                    <w:pStyle w:val="Compact"/>
                    <w:jc w:val="right"/>
                    <w:jc w:val="center"/>
                  </w:pPr>
                  <w:r>
                    <w:t xml:space="preserve">-0.09</w:t>
                  </w:r>
                </w:p>
              </w:tc>
              <w:tc>
                <w:tcPr/>
                <w:p>
                  <w:pPr>
                    <w:pStyle w:val="Compact"/>
                    <w:jc w:val="right"/>
                    <w:jc w:val="center"/>
                  </w:pPr>
                  <w:r>
                    <w:t xml:space="preserve">0.37</w:t>
                  </w:r>
                </w:p>
              </w:tc>
              <w:tc>
                <w:tcPr/>
                <w:p>
                  <w:pPr>
                    <w:pStyle w:val="Compact"/>
                    <w:jc w:val="right"/>
                    <w:jc w:val="center"/>
                  </w:pPr>
                  <w:r>
                    <w:t xml:space="preserve">1.00</w:t>
                  </w:r>
                </w:p>
              </w:tc>
              <w:tc>
                <w:tcPr/>
                <w:p>
                  <w:pPr>
                    <w:pStyle w:val="Compact"/>
                    <w:jc w:val="right"/>
                    <w:jc w:val="center"/>
                  </w:pPr>
                  <w:r>
                    <w:t xml:space="preserve">0.14</w:t>
                  </w:r>
                </w:p>
              </w:tc>
              <w:tc>
                <w:tcPr/>
                <w:p>
                  <w:pPr>
                    <w:pStyle w:val="Compact"/>
                    <w:jc w:val="right"/>
                    <w:jc w:val="center"/>
                  </w:pPr>
                  <w:r>
                    <w:t xml:space="preserve">0.23</w:t>
                  </w:r>
                </w:p>
              </w:tc>
              <w:tc>
                <w:tcPr/>
                <w:p>
                  <w:pPr>
                    <w:pStyle w:val="Compact"/>
                    <w:jc w:val="right"/>
                    <w:jc w:val="center"/>
                  </w:pPr>
                  <w:r>
                    <w:t xml:space="preserve">0.21</w:t>
                  </w:r>
                </w:p>
              </w:tc>
              <w:tc>
                <w:tcPr/>
                <w:p>
                  <w:pPr>
                    <w:pStyle w:val="Compact"/>
                    <w:jc w:val="right"/>
                    <w:jc w:val="center"/>
                  </w:pPr>
                  <w:r>
                    <w:t xml:space="preserve">0.13</w:t>
                  </w:r>
                </w:p>
              </w:tc>
            </w:tr>
            <w:tr>
              <w:tc>
                <w:tcPr/>
                <w:p>
                  <w:pPr>
                    <w:pStyle w:val="Compact"/>
                    <w:jc w:val="left"/>
                    <w:jc w:val="center"/>
                  </w:pPr>
                  <w:r>
                    <w:t xml:space="preserve">group_member</w:t>
                  </w:r>
                </w:p>
              </w:tc>
              <w:tc>
                <w:tcPr/>
                <w:p>
                  <w:pPr>
                    <w:pStyle w:val="Compact"/>
                    <w:jc w:val="right"/>
                    <w:jc w:val="center"/>
                  </w:pPr>
                  <w:r>
                    <w:t xml:space="preserve">0.18</w:t>
                  </w:r>
                </w:p>
              </w:tc>
              <w:tc>
                <w:tcPr/>
                <w:p>
                  <w:pPr>
                    <w:pStyle w:val="Compact"/>
                    <w:jc w:val="right"/>
                    <w:jc w:val="center"/>
                  </w:pPr>
                  <w:r>
                    <w:t xml:space="preserve">0.10</w:t>
                  </w:r>
                </w:p>
              </w:tc>
              <w:tc>
                <w:tcPr/>
                <w:p>
                  <w:pPr>
                    <w:pStyle w:val="Compact"/>
                    <w:jc w:val="right"/>
                    <w:jc w:val="center"/>
                  </w:pPr>
                  <w:r>
                    <w:t xml:space="preserve">0.04</w:t>
                  </w:r>
                </w:p>
              </w:tc>
              <w:tc>
                <w:tcPr/>
                <w:p>
                  <w:pPr>
                    <w:pStyle w:val="Compact"/>
                    <w:jc w:val="right"/>
                    <w:jc w:val="center"/>
                  </w:pPr>
                  <w:r>
                    <w:t xml:space="preserve">0.09</w:t>
                  </w:r>
                </w:p>
              </w:tc>
              <w:tc>
                <w:tcPr/>
                <w:p>
                  <w:pPr>
                    <w:pStyle w:val="Compact"/>
                    <w:jc w:val="right"/>
                    <w:jc w:val="center"/>
                  </w:pPr>
                  <w:r>
                    <w:t xml:space="preserve">-0.10</w:t>
                  </w:r>
                </w:p>
              </w:tc>
              <w:tc>
                <w:tcPr/>
                <w:p>
                  <w:pPr>
                    <w:pStyle w:val="Compact"/>
                    <w:jc w:val="right"/>
                    <w:jc w:val="center"/>
                  </w:pPr>
                  <w:r>
                    <w:t xml:space="preserve">0.05</w:t>
                  </w:r>
                </w:p>
              </w:tc>
              <w:tc>
                <w:tcPr/>
                <w:p>
                  <w:pPr>
                    <w:pStyle w:val="Compact"/>
                    <w:jc w:val="right"/>
                    <w:jc w:val="center"/>
                  </w:pPr>
                  <w:r>
                    <w:t xml:space="preserve">0.14</w:t>
                  </w:r>
                </w:p>
              </w:tc>
              <w:tc>
                <w:tcPr/>
                <w:p>
                  <w:pPr>
                    <w:pStyle w:val="Compact"/>
                    <w:jc w:val="right"/>
                    <w:jc w:val="center"/>
                  </w:pPr>
                  <w:r>
                    <w:t xml:space="preserve">1.00</w:t>
                  </w:r>
                </w:p>
              </w:tc>
              <w:tc>
                <w:tcPr/>
                <w:p>
                  <w:pPr>
                    <w:pStyle w:val="Compact"/>
                    <w:jc w:val="right"/>
                    <w:jc w:val="center"/>
                  </w:pPr>
                  <w:r>
                    <w:t xml:space="preserve">0.27</w:t>
                  </w:r>
                </w:p>
              </w:tc>
              <w:tc>
                <w:tcPr/>
                <w:p>
                  <w:pPr>
                    <w:pStyle w:val="Compact"/>
                    <w:jc w:val="right"/>
                    <w:jc w:val="center"/>
                  </w:pPr>
                  <w:r>
                    <w:t xml:space="preserve">0.34</w:t>
                  </w:r>
                </w:p>
              </w:tc>
              <w:tc>
                <w:tcPr/>
                <w:p>
                  <w:pPr>
                    <w:pStyle w:val="Compact"/>
                    <w:jc w:val="right"/>
                    <w:jc w:val="center"/>
                  </w:pPr>
                  <w:r>
                    <w:t xml:space="preserve">0.23</w:t>
                  </w:r>
                </w:p>
              </w:tc>
            </w:tr>
            <w:tr>
              <w:tc>
                <w:tcPr/>
                <w:p>
                  <w:pPr>
                    <w:pStyle w:val="Compact"/>
                    <w:jc w:val="left"/>
                    <w:jc w:val="center"/>
                  </w:pPr>
                  <w:r>
                    <w:t xml:space="preserve">petition</w:t>
                  </w:r>
                </w:p>
              </w:tc>
              <w:tc>
                <w:tcPr/>
                <w:p>
                  <w:pPr>
                    <w:pStyle w:val="Compact"/>
                    <w:jc w:val="right"/>
                    <w:jc w:val="center"/>
                  </w:pPr>
                  <w:r>
                    <w:t xml:space="preserve">0.26</w:t>
                  </w:r>
                </w:p>
              </w:tc>
              <w:tc>
                <w:tcPr/>
                <w:p>
                  <w:pPr>
                    <w:pStyle w:val="Compact"/>
                    <w:jc w:val="right"/>
                    <w:jc w:val="center"/>
                  </w:pPr>
                  <w:r>
                    <w:t xml:space="preserve">0.34</w:t>
                  </w:r>
                </w:p>
              </w:tc>
              <w:tc>
                <w:tcPr/>
                <w:p>
                  <w:pPr>
                    <w:pStyle w:val="Compact"/>
                    <w:jc w:val="right"/>
                    <w:jc w:val="center"/>
                  </w:pPr>
                  <w:r>
                    <w:t xml:space="preserve">0.14</w:t>
                  </w:r>
                </w:p>
              </w:tc>
              <w:tc>
                <w:tcPr/>
                <w:p>
                  <w:pPr>
                    <w:pStyle w:val="Compact"/>
                    <w:jc w:val="right"/>
                    <w:jc w:val="center"/>
                  </w:pPr>
                  <w:r>
                    <w:t xml:space="preserve">0.23</w:t>
                  </w:r>
                </w:p>
              </w:tc>
              <w:tc>
                <w:tcPr/>
                <w:p>
                  <w:pPr>
                    <w:pStyle w:val="Compact"/>
                    <w:jc w:val="right"/>
                    <w:jc w:val="center"/>
                  </w:pPr>
                  <w:r>
                    <w:t xml:space="preserve">-0.20</w:t>
                  </w:r>
                </w:p>
              </w:tc>
              <w:tc>
                <w:tcPr/>
                <w:p>
                  <w:pPr>
                    <w:pStyle w:val="Compact"/>
                    <w:jc w:val="right"/>
                    <w:jc w:val="center"/>
                  </w:pPr>
                  <w:r>
                    <w:t xml:space="preserve">0.20</w:t>
                  </w:r>
                </w:p>
              </w:tc>
              <w:tc>
                <w:tcPr/>
                <w:p>
                  <w:pPr>
                    <w:pStyle w:val="Compact"/>
                    <w:jc w:val="right"/>
                    <w:jc w:val="center"/>
                  </w:pPr>
                  <w:r>
                    <w:t xml:space="preserve">0.23</w:t>
                  </w:r>
                </w:p>
              </w:tc>
              <w:tc>
                <w:tcPr/>
                <w:p>
                  <w:pPr>
                    <w:pStyle w:val="Compact"/>
                    <w:jc w:val="right"/>
                    <w:jc w:val="center"/>
                  </w:pPr>
                  <w:r>
                    <w:t xml:space="preserve">0.27</w:t>
                  </w:r>
                </w:p>
              </w:tc>
              <w:tc>
                <w:tcPr/>
                <w:p>
                  <w:pPr>
                    <w:pStyle w:val="Compact"/>
                    <w:jc w:val="right"/>
                    <w:jc w:val="center"/>
                  </w:pPr>
                  <w:r>
                    <w:t xml:space="preserve">1.00</w:t>
                  </w:r>
                </w:p>
              </w:tc>
              <w:tc>
                <w:tcPr/>
                <w:p>
                  <w:pPr>
                    <w:pStyle w:val="Compact"/>
                    <w:jc w:val="right"/>
                    <w:jc w:val="center"/>
                  </w:pPr>
                  <w:r>
                    <w:t xml:space="preserve">0.40</w:t>
                  </w:r>
                </w:p>
              </w:tc>
              <w:tc>
                <w:tcPr/>
                <w:p>
                  <w:pPr>
                    <w:pStyle w:val="Compact"/>
                    <w:jc w:val="right"/>
                    <w:jc w:val="center"/>
                  </w:pPr>
                  <w:r>
                    <w:t xml:space="preserve">0.32</w:t>
                  </w:r>
                </w:p>
              </w:tc>
            </w:tr>
            <w:tr>
              <w:tc>
                <w:tcPr/>
                <w:p>
                  <w:pPr>
                    <w:pStyle w:val="Compact"/>
                    <w:jc w:val="left"/>
                    <w:jc w:val="center"/>
                  </w:pPr>
                  <w:r>
                    <w:t xml:space="preserve">donate</w:t>
                  </w:r>
                </w:p>
              </w:tc>
              <w:tc>
                <w:tcPr/>
                <w:p>
                  <w:pPr>
                    <w:pStyle w:val="Compact"/>
                    <w:jc w:val="right"/>
                    <w:jc w:val="center"/>
                  </w:pPr>
                  <w:r>
                    <w:t xml:space="preserve">0.25</w:t>
                  </w:r>
                </w:p>
              </w:tc>
              <w:tc>
                <w:tcPr/>
                <w:p>
                  <w:pPr>
                    <w:pStyle w:val="Compact"/>
                    <w:jc w:val="right"/>
                    <w:jc w:val="center"/>
                  </w:pPr>
                  <w:r>
                    <w:t xml:space="preserve">0.25</w:t>
                  </w:r>
                </w:p>
              </w:tc>
              <w:tc>
                <w:tcPr/>
                <w:p>
                  <w:pPr>
                    <w:pStyle w:val="Compact"/>
                    <w:jc w:val="right"/>
                    <w:jc w:val="center"/>
                  </w:pPr>
                  <w:r>
                    <w:t xml:space="preserve">0.06</w:t>
                  </w:r>
                </w:p>
              </w:tc>
              <w:tc>
                <w:tcPr/>
                <w:p>
                  <w:pPr>
                    <w:pStyle w:val="Compact"/>
                    <w:jc w:val="right"/>
                    <w:jc w:val="center"/>
                  </w:pPr>
                  <w:r>
                    <w:t xml:space="preserve">0.19</w:t>
                  </w:r>
                </w:p>
              </w:tc>
              <w:tc>
                <w:tcPr/>
                <w:p>
                  <w:pPr>
                    <w:pStyle w:val="Compact"/>
                    <w:jc w:val="right"/>
                    <w:jc w:val="center"/>
                  </w:pPr>
                  <w:r>
                    <w:t xml:space="preserve">-0.13</w:t>
                  </w:r>
                </w:p>
              </w:tc>
              <w:tc>
                <w:tcPr/>
                <w:p>
                  <w:pPr>
                    <w:pStyle w:val="Compact"/>
                    <w:jc w:val="right"/>
                    <w:jc w:val="center"/>
                  </w:pPr>
                  <w:r>
                    <w:t xml:space="preserve">0.16</w:t>
                  </w:r>
                </w:p>
              </w:tc>
              <w:tc>
                <w:tcPr/>
                <w:p>
                  <w:pPr>
                    <w:pStyle w:val="Compact"/>
                    <w:jc w:val="right"/>
                    <w:jc w:val="center"/>
                  </w:pPr>
                  <w:r>
                    <w:t xml:space="preserve">0.21</w:t>
                  </w:r>
                </w:p>
              </w:tc>
              <w:tc>
                <w:tcPr/>
                <w:p>
                  <w:pPr>
                    <w:pStyle w:val="Compact"/>
                    <w:jc w:val="right"/>
                    <w:jc w:val="center"/>
                  </w:pPr>
                  <w:r>
                    <w:t xml:space="preserve">0.34</w:t>
                  </w:r>
                </w:p>
              </w:tc>
              <w:tc>
                <w:tcPr/>
                <w:p>
                  <w:pPr>
                    <w:pStyle w:val="Compact"/>
                    <w:jc w:val="right"/>
                    <w:jc w:val="center"/>
                  </w:pPr>
                  <w:r>
                    <w:t xml:space="preserve">0.40</w:t>
                  </w:r>
                </w:p>
              </w:tc>
              <w:tc>
                <w:tcPr/>
                <w:p>
                  <w:pPr>
                    <w:pStyle w:val="Compact"/>
                    <w:jc w:val="right"/>
                    <w:jc w:val="center"/>
                  </w:pPr>
                  <w:r>
                    <w:t xml:space="preserve">1.00</w:t>
                  </w:r>
                </w:p>
              </w:tc>
              <w:tc>
                <w:tcPr/>
                <w:p>
                  <w:pPr>
                    <w:pStyle w:val="Compact"/>
                    <w:jc w:val="right"/>
                    <w:jc w:val="center"/>
                  </w:pPr>
                  <w:r>
                    <w:t xml:space="preserve">0.24</w:t>
                  </w:r>
                </w:p>
              </w:tc>
            </w:tr>
            <w:tr>
              <w:tc>
                <w:tcPr/>
                <w:p>
                  <w:pPr>
                    <w:pStyle w:val="Compact"/>
                    <w:jc w:val="left"/>
                    <w:jc w:val="center"/>
                  </w:pPr>
                  <w:r>
                    <w:t xml:space="preserve">protest</w:t>
                  </w:r>
                </w:p>
              </w:tc>
              <w:tc>
                <w:tcPr/>
                <w:p>
                  <w:pPr>
                    <w:pStyle w:val="Compact"/>
                    <w:jc w:val="right"/>
                    <w:jc w:val="center"/>
                  </w:pPr>
                  <w:r>
                    <w:t xml:space="preserve">0.17</w:t>
                  </w:r>
                </w:p>
              </w:tc>
              <w:tc>
                <w:tcPr/>
                <w:p>
                  <w:pPr>
                    <w:pStyle w:val="Compact"/>
                    <w:jc w:val="right"/>
                    <w:jc w:val="center"/>
                  </w:pPr>
                  <w:r>
                    <w:t xml:space="preserve">0.14</w:t>
                  </w:r>
                </w:p>
              </w:tc>
              <w:tc>
                <w:tcPr/>
                <w:p>
                  <w:pPr>
                    <w:pStyle w:val="Compact"/>
                    <w:jc w:val="right"/>
                    <w:jc w:val="center"/>
                  </w:pPr>
                  <w:r>
                    <w:t xml:space="preserve">0.07</w:t>
                  </w:r>
                </w:p>
              </w:tc>
              <w:tc>
                <w:tcPr/>
                <w:p>
                  <w:pPr>
                    <w:pStyle w:val="Compact"/>
                    <w:jc w:val="right"/>
                    <w:jc w:val="center"/>
                  </w:pPr>
                  <w:r>
                    <w:t xml:space="preserve">0.10</w:t>
                  </w:r>
                </w:p>
              </w:tc>
              <w:tc>
                <w:tcPr/>
                <w:p>
                  <w:pPr>
                    <w:pStyle w:val="Compact"/>
                    <w:jc w:val="right"/>
                    <w:jc w:val="center"/>
                  </w:pPr>
                  <w:r>
                    <w:t xml:space="preserve">-0.14</w:t>
                  </w:r>
                </w:p>
              </w:tc>
              <w:tc>
                <w:tcPr/>
                <w:p>
                  <w:pPr>
                    <w:pStyle w:val="Compact"/>
                    <w:jc w:val="right"/>
                    <w:jc w:val="center"/>
                  </w:pPr>
                  <w:r>
                    <w:t xml:space="preserve">0.05</w:t>
                  </w:r>
                </w:p>
              </w:tc>
              <w:tc>
                <w:tcPr/>
                <w:p>
                  <w:pPr>
                    <w:pStyle w:val="Compact"/>
                    <w:jc w:val="right"/>
                    <w:jc w:val="center"/>
                  </w:pPr>
                  <w:r>
                    <w:t xml:space="preserve">0.13</w:t>
                  </w:r>
                </w:p>
              </w:tc>
              <w:tc>
                <w:tcPr/>
                <w:p>
                  <w:pPr>
                    <w:pStyle w:val="Compact"/>
                    <w:jc w:val="right"/>
                    <w:jc w:val="center"/>
                  </w:pPr>
                  <w:r>
                    <w:t xml:space="preserve">0.23</w:t>
                  </w:r>
                </w:p>
              </w:tc>
              <w:tc>
                <w:tcPr/>
                <w:p>
                  <w:pPr>
                    <w:pStyle w:val="Compact"/>
                    <w:jc w:val="right"/>
                    <w:jc w:val="center"/>
                  </w:pPr>
                  <w:r>
                    <w:t xml:space="preserve">0.32</w:t>
                  </w:r>
                </w:p>
              </w:tc>
              <w:tc>
                <w:tcPr/>
                <w:p>
                  <w:pPr>
                    <w:pStyle w:val="Compact"/>
                    <w:jc w:val="right"/>
                    <w:jc w:val="center"/>
                  </w:pPr>
                  <w:r>
                    <w:t xml:space="preserve">0.24</w:t>
                  </w:r>
                </w:p>
              </w:tc>
              <w:tc>
                <w:tcPr/>
                <w:p>
                  <w:pPr>
                    <w:pStyle w:val="Compact"/>
                    <w:jc w:val="right"/>
                    <w:jc w:val="center"/>
                  </w:pPr>
                  <w:r>
                    <w:t xml:space="preserve">1.00</w:t>
                  </w:r>
                </w:p>
              </w:tc>
            </w:tr>
          </w:tbl>
          <w:bookmarkEnd w:id="21"/>
          <w:p/>
        </w:tc>
      </w:tr>
    </w:tbl>
    <w:p>
      <w:r>
        <w:br w:type="page"/>
      </w:r>
    </w:p>
    <w:bookmarkEnd w:id="22"/>
    <w:bookmarkStart w:id="24" w:name="X0a9904803f6846e21642ac706a006834c7f1fb3"/>
    <w:p>
      <w:pPr>
        <w:pStyle w:val="Heading1"/>
      </w:pPr>
      <w:r>
        <w:t xml:space="preserve">S3. Study 2 belief-to-behavior distances by country</w:t>
      </w:r>
    </w:p>
    <w:p>
      <w:pPr>
        <w:pStyle w:val="FirstParagraph"/>
      </w:pPr>
      <w:hyperlink w:anchor="tbl-issp-bycountry">
        <w:r>
          <w:rPr>
            <w:rStyle w:val="Hyperlink"/>
          </w:rPr>
          <w:t xml:space="preserve">Table 9</w:t>
        </w:r>
      </w:hyperlink>
      <w:r>
        <w:t xml:space="preserve"> </w:t>
      </w:r>
      <w:r>
        <w:t xml:space="preserve">reports, for each country, the belief with the shortest mean path to the behavior set and its 95 percent bootstrap interval, along with the proportion of 1,000 resamples in which that belief is the closest. A support value near 1 means the ordering is stable, and a value near one fifth means it is close to a coin flip.</w:t>
      </w:r>
    </w:p>
    <w:tbl>
      <w:tblPr>
        <w:tblStyle w:val="Table"/>
        <w:tblW w:type="pct" w:w="5000"/>
        <w:tblLayout w:type="fixed"/>
        <w:tblLook w:firstRow="0" w:lastRow="0" w:firstColumn="0" w:lastColumn="0" w:noHBand="0" w:noVBand="0" w:val="0000"/>
      </w:tblPr>
      <w:tblGrid>
        <w:gridCol w:w="7920"/>
      </w:tblGrid>
      <w:tr>
        <w:tc>
          <w:tcPr/>
          <w:bookmarkStart w:id="23" w:name="tbl-issp-bycountry"/>
          <w:p>
            <w:pPr>
              <w:jc w:val="center"/>
            </w:pPr>
            <w:pPr>
              <w:jc w:val="left"/>
              <w:spacing w:before="200"/>
              <w:pStyle w:val="ImageCaption"/>
            </w:pPr>
            <w:r>
              <w:t xml:space="preserve">Table 9: For each ISSP country, the belief with the shortest mean path to the behavior set, its point estimate with a 95 percent bootstrap interval, and the proportion of 1,000 resamples supporting it as the closest belief.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Country</w:t>
                  </w:r>
                </w:p>
              </w:tc>
              <w:tc>
                <w:tcPr/>
                <w:p>
                  <w:pPr>
                    <w:pStyle w:val="Compact"/>
                    <w:jc w:val="left"/>
                    <w:jc w:val="center"/>
                  </w:pPr>
                  <w:r>
                    <w:t xml:space="preserve">Belief</w:t>
                  </w:r>
                </w:p>
              </w:tc>
              <w:tc>
                <w:tcPr/>
                <w:p>
                  <w:pPr>
                    <w:pStyle w:val="Compact"/>
                    <w:jc w:val="left"/>
                    <w:jc w:val="center"/>
                  </w:pPr>
                  <w:r>
                    <w:t xml:space="preserve">Distance</w:t>
                  </w:r>
                </w:p>
              </w:tc>
              <w:tc>
                <w:tcPr/>
                <w:p>
                  <w:pPr>
                    <w:pStyle w:val="Compact"/>
                    <w:jc w:val="left"/>
                    <w:jc w:val="center"/>
                  </w:pPr>
                  <w:r>
                    <w:t xml:space="preserve">Support</w:t>
                  </w:r>
                </w:p>
              </w:tc>
            </w:tr>
            <w:tr>
              <w:tc>
                <w:tcPr/>
                <w:p>
                  <w:pPr>
                    <w:pStyle w:val="Compact"/>
                    <w:jc w:val="left"/>
                    <w:jc w:val="center"/>
                  </w:pPr>
                  <w:r>
                    <w:t xml:space="preserve">AT</w:t>
                  </w:r>
                </w:p>
              </w:tc>
              <w:tc>
                <w:tcPr/>
                <w:p>
                  <w:pPr>
                    <w:pStyle w:val="Compact"/>
                    <w:jc w:val="left"/>
                    <w:jc w:val="center"/>
                  </w:pPr>
                  <w:r>
                    <w:t xml:space="preserve">envcom</w:t>
                  </w:r>
                </w:p>
              </w:tc>
              <w:tc>
                <w:tcPr/>
                <w:p>
                  <w:pPr>
                    <w:pStyle w:val="Compact"/>
                    <w:jc w:val="left"/>
                    <w:jc w:val="center"/>
                  </w:pPr>
                  <w:r>
                    <w:t xml:space="preserve">4.4 [3.7, 5.8]</w:t>
                  </w:r>
                </w:p>
              </w:tc>
              <w:tc>
                <w:tcPr/>
                <w:p>
                  <w:pPr>
                    <w:pStyle w:val="Compact"/>
                    <w:jc w:val="left"/>
                    <w:jc w:val="center"/>
                  </w:pPr>
                  <w:r>
                    <w:t xml:space="preserve">0.97</w:t>
                  </w:r>
                </w:p>
              </w:tc>
            </w:tr>
            <w:tr>
              <w:tc>
                <w:tcPr/>
                <w:p>
                  <w:pPr>
                    <w:pStyle w:val="Compact"/>
                    <w:jc w:val="left"/>
                    <w:jc w:val="center"/>
                  </w:pPr>
                  <w:r>
                    <w:t xml:space="preserve">AU</w:t>
                  </w:r>
                </w:p>
              </w:tc>
              <w:tc>
                <w:tcPr/>
                <w:p>
                  <w:pPr>
                    <w:pStyle w:val="Compact"/>
                    <w:jc w:val="left"/>
                    <w:jc w:val="center"/>
                  </w:pPr>
                  <w:r>
                    <w:t xml:space="preserve">left_right</w:t>
                  </w:r>
                </w:p>
              </w:tc>
              <w:tc>
                <w:tcPr/>
                <w:p>
                  <w:pPr>
                    <w:pStyle w:val="Compact"/>
                    <w:jc w:val="left"/>
                    <w:jc w:val="center"/>
                  </w:pPr>
                  <w:r>
                    <w:t xml:space="preserve">6.6 [5.0, 9.8]</w:t>
                  </w:r>
                </w:p>
              </w:tc>
              <w:tc>
                <w:tcPr/>
                <w:p>
                  <w:pPr>
                    <w:pStyle w:val="Compact"/>
                    <w:jc w:val="left"/>
                    <w:jc w:val="center"/>
                  </w:pPr>
                  <w:r>
                    <w:t xml:space="preserve">0.35</w:t>
                  </w:r>
                </w:p>
              </w:tc>
            </w:tr>
            <w:tr>
              <w:tc>
                <w:tcPr/>
                <w:p>
                  <w:pPr>
                    <w:pStyle w:val="Compact"/>
                    <w:jc w:val="left"/>
                    <w:jc w:val="center"/>
                  </w:pPr>
                  <w:r>
                    <w:t xml:space="preserve">CH</w:t>
                  </w:r>
                </w:p>
              </w:tc>
              <w:tc>
                <w:tcPr/>
                <w:p>
                  <w:pPr>
                    <w:pStyle w:val="Compact"/>
                    <w:jc w:val="left"/>
                    <w:jc w:val="center"/>
                  </w:pPr>
                  <w:r>
                    <w:t xml:space="preserve">envcom</w:t>
                  </w:r>
                </w:p>
              </w:tc>
              <w:tc>
                <w:tcPr/>
                <w:p>
                  <w:pPr>
                    <w:pStyle w:val="Compact"/>
                    <w:jc w:val="left"/>
                    <w:jc w:val="center"/>
                  </w:pPr>
                  <w:r>
                    <w:t xml:space="preserve">4.8 [4.3, 5.4]</w:t>
                  </w:r>
                </w:p>
              </w:tc>
              <w:tc>
                <w:tcPr/>
                <w:p>
                  <w:pPr>
                    <w:pStyle w:val="Compact"/>
                    <w:jc w:val="left"/>
                    <w:jc w:val="center"/>
                  </w:pPr>
                  <w:r>
                    <w:t xml:space="preserve">1.00</w:t>
                  </w:r>
                </w:p>
              </w:tc>
            </w:tr>
            <w:tr>
              <w:tc>
                <w:tcPr/>
                <w:p>
                  <w:pPr>
                    <w:pStyle w:val="Compact"/>
                    <w:jc w:val="left"/>
                    <w:jc w:val="center"/>
                  </w:pPr>
                  <w:r>
                    <w:t xml:space="preserve">CN</w:t>
                  </w:r>
                </w:p>
              </w:tc>
              <w:tc>
                <w:tcPr/>
                <w:p>
                  <w:pPr>
                    <w:pStyle w:val="Compact"/>
                    <w:jc w:val="left"/>
                    <w:jc w:val="center"/>
                  </w:pPr>
                  <w:r>
                    <w:t xml:space="preserve">envcom</w:t>
                  </w:r>
                </w:p>
              </w:tc>
              <w:tc>
                <w:tcPr/>
                <w:p>
                  <w:pPr>
                    <w:pStyle w:val="Compact"/>
                    <w:jc w:val="left"/>
                    <w:jc w:val="center"/>
                  </w:pPr>
                  <w:r>
                    <w:t xml:space="preserve">5.2 [4.5, 6.4]</w:t>
                  </w:r>
                </w:p>
              </w:tc>
              <w:tc>
                <w:tcPr/>
                <w:p>
                  <w:pPr>
                    <w:pStyle w:val="Compact"/>
                    <w:jc w:val="left"/>
                    <w:jc w:val="center"/>
                  </w:pPr>
                  <w:r>
                    <w:t xml:space="preserve">1.00</w:t>
                  </w:r>
                </w:p>
              </w:tc>
            </w:tr>
            <w:tr>
              <w:tc>
                <w:tcPr/>
                <w:p>
                  <w:pPr>
                    <w:pStyle w:val="Compact"/>
                    <w:jc w:val="left"/>
                    <w:jc w:val="center"/>
                  </w:pPr>
                  <w:r>
                    <w:t xml:space="preserve">DE</w:t>
                  </w:r>
                </w:p>
              </w:tc>
              <w:tc>
                <w:tcPr/>
                <w:p>
                  <w:pPr>
                    <w:pStyle w:val="Compact"/>
                    <w:jc w:val="left"/>
                    <w:jc w:val="center"/>
                  </w:pPr>
                  <w:r>
                    <w:t xml:space="preserve">envcom</w:t>
                  </w:r>
                </w:p>
              </w:tc>
              <w:tc>
                <w:tcPr/>
                <w:p>
                  <w:pPr>
                    <w:pStyle w:val="Compact"/>
                    <w:jc w:val="left"/>
                    <w:jc w:val="center"/>
                  </w:pPr>
                  <w:r>
                    <w:t xml:space="preserve">5.1 [4.3, 6.3]</w:t>
                  </w:r>
                </w:p>
              </w:tc>
              <w:tc>
                <w:tcPr/>
                <w:p>
                  <w:pPr>
                    <w:pStyle w:val="Compact"/>
                    <w:jc w:val="left"/>
                    <w:jc w:val="center"/>
                  </w:pPr>
                  <w:r>
                    <w:t xml:space="preserve">1.00</w:t>
                  </w:r>
                </w:p>
              </w:tc>
            </w:tr>
            <w:tr>
              <w:tc>
                <w:tcPr/>
                <w:p>
                  <w:pPr>
                    <w:pStyle w:val="Compact"/>
                    <w:jc w:val="left"/>
                    <w:jc w:val="center"/>
                  </w:pPr>
                  <w:r>
                    <w:t xml:space="preserve">DK</w:t>
                  </w:r>
                </w:p>
              </w:tc>
              <w:tc>
                <w:tcPr/>
                <w:p>
                  <w:pPr>
                    <w:pStyle w:val="Compact"/>
                    <w:jc w:val="left"/>
                    <w:jc w:val="center"/>
                  </w:pPr>
                  <w:r>
                    <w:t xml:space="preserve">envcom</w:t>
                  </w:r>
                </w:p>
              </w:tc>
              <w:tc>
                <w:tcPr/>
                <w:p>
                  <w:pPr>
                    <w:pStyle w:val="Compact"/>
                    <w:jc w:val="left"/>
                    <w:jc w:val="center"/>
                  </w:pPr>
                  <w:r>
                    <w:t xml:space="preserve">4.3 [3.6, 5.7]</w:t>
                  </w:r>
                </w:p>
              </w:tc>
              <w:tc>
                <w:tcPr/>
                <w:p>
                  <w:pPr>
                    <w:pStyle w:val="Compact"/>
                    <w:jc w:val="left"/>
                    <w:jc w:val="center"/>
                  </w:pPr>
                  <w:r>
                    <w:t xml:space="preserve">1.00</w:t>
                  </w:r>
                </w:p>
              </w:tc>
            </w:tr>
            <w:tr>
              <w:tc>
                <w:tcPr/>
                <w:p>
                  <w:pPr>
                    <w:pStyle w:val="Compact"/>
                    <w:jc w:val="left"/>
                    <w:jc w:val="center"/>
                  </w:pPr>
                  <w:r>
                    <w:t xml:space="preserve">ES</w:t>
                  </w:r>
                </w:p>
              </w:tc>
              <w:tc>
                <w:tcPr/>
                <w:p>
                  <w:pPr>
                    <w:pStyle w:val="Compact"/>
                    <w:jc w:val="left"/>
                    <w:jc w:val="center"/>
                  </w:pPr>
                  <w:r>
                    <w:t xml:space="preserve">envcom</w:t>
                  </w:r>
                </w:p>
              </w:tc>
              <w:tc>
                <w:tcPr/>
                <w:p>
                  <w:pPr>
                    <w:pStyle w:val="Compact"/>
                    <w:jc w:val="left"/>
                    <w:jc w:val="center"/>
                  </w:pPr>
                  <w:r>
                    <w:t xml:space="preserve">6.3 [5.2, 7.3]</w:t>
                  </w:r>
                </w:p>
              </w:tc>
              <w:tc>
                <w:tcPr/>
                <w:p>
                  <w:pPr>
                    <w:pStyle w:val="Compact"/>
                    <w:jc w:val="left"/>
                    <w:jc w:val="center"/>
                  </w:pPr>
                  <w:r>
                    <w:t xml:space="preserve">0.99</w:t>
                  </w:r>
                </w:p>
              </w:tc>
            </w:tr>
            <w:tr>
              <w:tc>
                <w:tcPr/>
                <w:p>
                  <w:pPr>
                    <w:pStyle w:val="Compact"/>
                    <w:jc w:val="left"/>
                    <w:jc w:val="center"/>
                  </w:pPr>
                  <w:r>
                    <w:t xml:space="preserve">FI</w:t>
                  </w:r>
                </w:p>
              </w:tc>
              <w:tc>
                <w:tcPr/>
                <w:p>
                  <w:pPr>
                    <w:pStyle w:val="Compact"/>
                    <w:jc w:val="left"/>
                    <w:jc w:val="center"/>
                  </w:pPr>
                  <w:r>
                    <w:t xml:space="preserve">envcom</w:t>
                  </w:r>
                </w:p>
              </w:tc>
              <w:tc>
                <w:tcPr/>
                <w:p>
                  <w:pPr>
                    <w:pStyle w:val="Compact"/>
                    <w:jc w:val="left"/>
                    <w:jc w:val="center"/>
                  </w:pPr>
                  <w:r>
                    <w:t xml:space="preserve">5.0 [4.5, 5.8]</w:t>
                  </w:r>
                </w:p>
              </w:tc>
              <w:tc>
                <w:tcPr/>
                <w:p>
                  <w:pPr>
                    <w:pStyle w:val="Compact"/>
                    <w:jc w:val="left"/>
                    <w:jc w:val="center"/>
                  </w:pPr>
                  <w:r>
                    <w:t xml:space="preserve">0.89</w:t>
                  </w:r>
                </w:p>
              </w:tc>
            </w:tr>
            <w:tr>
              <w:tc>
                <w:tcPr/>
                <w:p>
                  <w:pPr>
                    <w:pStyle w:val="Compact"/>
                    <w:jc w:val="left"/>
                    <w:jc w:val="center"/>
                  </w:pPr>
                  <w:r>
                    <w:t xml:space="preserve">FR</w:t>
                  </w:r>
                </w:p>
              </w:tc>
              <w:tc>
                <w:tcPr/>
                <w:p>
                  <w:pPr>
                    <w:pStyle w:val="Compact"/>
                    <w:jc w:val="left"/>
                    <w:jc w:val="center"/>
                  </w:pPr>
                  <w:r>
                    <w:t xml:space="preserve">envcom</w:t>
                  </w:r>
                </w:p>
              </w:tc>
              <w:tc>
                <w:tcPr/>
                <w:p>
                  <w:pPr>
                    <w:pStyle w:val="Compact"/>
                    <w:jc w:val="left"/>
                    <w:jc w:val="center"/>
                  </w:pPr>
                  <w:r>
                    <w:t xml:space="preserve">5.2 [4.3, 6.6]</w:t>
                  </w:r>
                </w:p>
              </w:tc>
              <w:tc>
                <w:tcPr/>
                <w:p>
                  <w:pPr>
                    <w:pStyle w:val="Compact"/>
                    <w:jc w:val="left"/>
                    <w:jc w:val="center"/>
                  </w:pPr>
                  <w:r>
                    <w:t xml:space="preserve">0.91</w:t>
                  </w:r>
                </w:p>
              </w:tc>
            </w:tr>
            <w:tr>
              <w:tc>
                <w:tcPr/>
                <w:p>
                  <w:pPr>
                    <w:pStyle w:val="Compact"/>
                    <w:jc w:val="left"/>
                    <w:jc w:val="center"/>
                  </w:pPr>
                  <w:r>
                    <w:t xml:space="preserve">HR</w:t>
                  </w:r>
                </w:p>
              </w:tc>
              <w:tc>
                <w:tcPr/>
                <w:p>
                  <w:pPr>
                    <w:pStyle w:val="Compact"/>
                    <w:jc w:val="left"/>
                    <w:jc w:val="center"/>
                  </w:pPr>
                  <w:r>
                    <w:t xml:space="preserve">envcom</w:t>
                  </w:r>
                </w:p>
              </w:tc>
              <w:tc>
                <w:tcPr/>
                <w:p>
                  <w:pPr>
                    <w:pStyle w:val="Compact"/>
                    <w:jc w:val="left"/>
                    <w:jc w:val="center"/>
                  </w:pPr>
                  <w:r>
                    <w:t xml:space="preserve">5.6 [4.4, 7.6]</w:t>
                  </w:r>
                </w:p>
              </w:tc>
              <w:tc>
                <w:tcPr/>
                <w:p>
                  <w:pPr>
                    <w:pStyle w:val="Compact"/>
                    <w:jc w:val="left"/>
                    <w:jc w:val="center"/>
                  </w:pPr>
                  <w:r>
                    <w:t xml:space="preserve">0.90</w:t>
                  </w:r>
                </w:p>
              </w:tc>
            </w:tr>
            <w:tr>
              <w:tc>
                <w:tcPr/>
                <w:p>
                  <w:pPr>
                    <w:pStyle w:val="Compact"/>
                    <w:jc w:val="left"/>
                    <w:jc w:val="center"/>
                  </w:pPr>
                  <w:r>
                    <w:t xml:space="preserve">HU</w:t>
                  </w:r>
                </w:p>
              </w:tc>
              <w:tc>
                <w:tcPr/>
                <w:p>
                  <w:pPr>
                    <w:pStyle w:val="Compact"/>
                    <w:jc w:val="left"/>
                    <w:jc w:val="center"/>
                  </w:pPr>
                  <w:r>
                    <w:t xml:space="preserve">envcom</w:t>
                  </w:r>
                </w:p>
              </w:tc>
              <w:tc>
                <w:tcPr/>
                <w:p>
                  <w:pPr>
                    <w:pStyle w:val="Compact"/>
                    <w:jc w:val="left"/>
                    <w:jc w:val="center"/>
                  </w:pPr>
                  <w:r>
                    <w:t xml:space="preserve">4.2 [3.3, 6.0]</w:t>
                  </w:r>
                </w:p>
              </w:tc>
              <w:tc>
                <w:tcPr/>
                <w:p>
                  <w:pPr>
                    <w:pStyle w:val="Compact"/>
                    <w:jc w:val="left"/>
                    <w:jc w:val="center"/>
                  </w:pPr>
                  <w:r>
                    <w:t xml:space="preserve">1.00</w:t>
                  </w:r>
                </w:p>
              </w:tc>
            </w:tr>
            <w:tr>
              <w:tc>
                <w:tcPr/>
                <w:p>
                  <w:pPr>
                    <w:pStyle w:val="Compact"/>
                    <w:jc w:val="left"/>
                    <w:jc w:val="center"/>
                  </w:pPr>
                  <w:r>
                    <w:t xml:space="preserve">IN</w:t>
                  </w:r>
                </w:p>
              </w:tc>
              <w:tc>
                <w:tcPr/>
                <w:p>
                  <w:pPr>
                    <w:pStyle w:val="Compact"/>
                    <w:jc w:val="left"/>
                    <w:jc w:val="center"/>
                  </w:pPr>
                  <w:r>
                    <w:t xml:space="preserve">nature</w:t>
                  </w:r>
                </w:p>
              </w:tc>
              <w:tc>
                <w:tcPr/>
                <w:p>
                  <w:pPr>
                    <w:pStyle w:val="Compact"/>
                    <w:jc w:val="left"/>
                    <w:jc w:val="center"/>
                  </w:pPr>
                  <w:r>
                    <w:t xml:space="preserve">8.0 [5.8, 11.4]</w:t>
                  </w:r>
                </w:p>
              </w:tc>
              <w:tc>
                <w:tcPr/>
                <w:p>
                  <w:pPr>
                    <w:pStyle w:val="Compact"/>
                    <w:jc w:val="left"/>
                    <w:jc w:val="center"/>
                  </w:pPr>
                  <w:r>
                    <w:t xml:space="preserve">0.97</w:t>
                  </w:r>
                </w:p>
              </w:tc>
            </w:tr>
            <w:tr>
              <w:tc>
                <w:tcPr/>
                <w:p>
                  <w:pPr>
                    <w:pStyle w:val="Compact"/>
                    <w:jc w:val="left"/>
                    <w:jc w:val="center"/>
                  </w:pPr>
                  <w:r>
                    <w:t xml:space="preserve">IS</w:t>
                  </w:r>
                </w:p>
              </w:tc>
              <w:tc>
                <w:tcPr/>
                <w:p>
                  <w:pPr>
                    <w:pStyle w:val="Compact"/>
                    <w:jc w:val="left"/>
                    <w:jc w:val="center"/>
                  </w:pPr>
                  <w:r>
                    <w:t xml:space="preserve">envcom</w:t>
                  </w:r>
                </w:p>
              </w:tc>
              <w:tc>
                <w:tcPr/>
                <w:p>
                  <w:pPr>
                    <w:pStyle w:val="Compact"/>
                    <w:jc w:val="left"/>
                    <w:jc w:val="center"/>
                  </w:pPr>
                  <w:r>
                    <w:t xml:space="preserve">6.1 [4.9, 7.7]</w:t>
                  </w:r>
                </w:p>
              </w:tc>
              <w:tc>
                <w:tcPr/>
                <w:p>
                  <w:pPr>
                    <w:pStyle w:val="Compact"/>
                    <w:jc w:val="left"/>
                    <w:jc w:val="center"/>
                  </w:pPr>
                  <w:r>
                    <w:t xml:space="preserve">0.68</w:t>
                  </w:r>
                </w:p>
              </w:tc>
            </w:tr>
            <w:tr>
              <w:tc>
                <w:tcPr/>
                <w:p>
                  <w:pPr>
                    <w:pStyle w:val="Compact"/>
                    <w:jc w:val="left"/>
                    <w:jc w:val="center"/>
                  </w:pPr>
                  <w:r>
                    <w:t xml:space="preserve">IT</w:t>
                  </w:r>
                </w:p>
              </w:tc>
              <w:tc>
                <w:tcPr/>
                <w:p>
                  <w:pPr>
                    <w:pStyle w:val="Compact"/>
                    <w:jc w:val="left"/>
                    <w:jc w:val="center"/>
                  </w:pPr>
                  <w:r>
                    <w:t xml:space="preserve">envcom</w:t>
                  </w:r>
                </w:p>
              </w:tc>
              <w:tc>
                <w:tcPr/>
                <w:p>
                  <w:pPr>
                    <w:pStyle w:val="Compact"/>
                    <w:jc w:val="left"/>
                    <w:jc w:val="center"/>
                  </w:pPr>
                  <w:r>
                    <w:t xml:space="preserve">3.3 [2.8, 3.9]</w:t>
                  </w:r>
                </w:p>
              </w:tc>
              <w:tc>
                <w:tcPr/>
                <w:p>
                  <w:pPr>
                    <w:pStyle w:val="Compact"/>
                    <w:jc w:val="left"/>
                    <w:jc w:val="center"/>
                  </w:pPr>
                  <w:r>
                    <w:t xml:space="preserve">1.00</w:t>
                  </w:r>
                </w:p>
              </w:tc>
            </w:tr>
            <w:tr>
              <w:tc>
                <w:tcPr/>
                <w:p>
                  <w:pPr>
                    <w:pStyle w:val="Compact"/>
                    <w:jc w:val="left"/>
                    <w:jc w:val="center"/>
                  </w:pPr>
                  <w:r>
                    <w:t xml:space="preserve">JP</w:t>
                  </w:r>
                </w:p>
              </w:tc>
              <w:tc>
                <w:tcPr/>
                <w:p>
                  <w:pPr>
                    <w:pStyle w:val="Compact"/>
                    <w:jc w:val="left"/>
                    <w:jc w:val="center"/>
                  </w:pPr>
                  <w:r>
                    <w:t xml:space="preserve">envcom</w:t>
                  </w:r>
                </w:p>
              </w:tc>
              <w:tc>
                <w:tcPr/>
                <w:p>
                  <w:pPr>
                    <w:pStyle w:val="Compact"/>
                    <w:jc w:val="left"/>
                    <w:jc w:val="center"/>
                  </w:pPr>
                  <w:r>
                    <w:t xml:space="preserve">4.9 [4.0, 7.2]</w:t>
                  </w:r>
                </w:p>
              </w:tc>
              <w:tc>
                <w:tcPr/>
                <w:p>
                  <w:pPr>
                    <w:pStyle w:val="Compact"/>
                    <w:jc w:val="left"/>
                    <w:jc w:val="center"/>
                  </w:pPr>
                  <w:r>
                    <w:t xml:space="preserve">0.98</w:t>
                  </w:r>
                </w:p>
              </w:tc>
            </w:tr>
            <w:tr>
              <w:tc>
                <w:tcPr/>
                <w:p>
                  <w:pPr>
                    <w:pStyle w:val="Compact"/>
                    <w:jc w:val="left"/>
                    <w:jc w:val="center"/>
                  </w:pPr>
                  <w:r>
                    <w:t xml:space="preserve">KR</w:t>
                  </w:r>
                </w:p>
              </w:tc>
              <w:tc>
                <w:tcPr/>
                <w:p>
                  <w:pPr>
                    <w:pStyle w:val="Compact"/>
                    <w:jc w:val="left"/>
                    <w:jc w:val="center"/>
                  </w:pPr>
                  <w:r>
                    <w:t xml:space="preserve">envcom</w:t>
                  </w:r>
                </w:p>
              </w:tc>
              <w:tc>
                <w:tcPr/>
                <w:p>
                  <w:pPr>
                    <w:pStyle w:val="Compact"/>
                    <w:jc w:val="left"/>
                    <w:jc w:val="center"/>
                  </w:pPr>
                  <w:r>
                    <w:t xml:space="preserve">8.4 [5.5, 11.3]</w:t>
                  </w:r>
                </w:p>
              </w:tc>
              <w:tc>
                <w:tcPr/>
                <w:p>
                  <w:pPr>
                    <w:pStyle w:val="Compact"/>
                    <w:jc w:val="left"/>
                    <w:jc w:val="center"/>
                  </w:pPr>
                  <w:r>
                    <w:t xml:space="preserve">0.96</w:t>
                  </w:r>
                </w:p>
              </w:tc>
            </w:tr>
            <w:tr>
              <w:tc>
                <w:tcPr/>
                <w:p>
                  <w:pPr>
                    <w:pStyle w:val="Compact"/>
                    <w:jc w:val="left"/>
                    <w:jc w:val="center"/>
                  </w:pPr>
                  <w:r>
                    <w:t xml:space="preserve">LT</w:t>
                  </w:r>
                </w:p>
              </w:tc>
              <w:tc>
                <w:tcPr/>
                <w:p>
                  <w:pPr>
                    <w:pStyle w:val="Compact"/>
                    <w:jc w:val="left"/>
                    <w:jc w:val="center"/>
                  </w:pPr>
                  <w:r>
                    <w:t xml:space="preserve">envcom</w:t>
                  </w:r>
                </w:p>
              </w:tc>
              <w:tc>
                <w:tcPr/>
                <w:p>
                  <w:pPr>
                    <w:pStyle w:val="Compact"/>
                    <w:jc w:val="left"/>
                    <w:jc w:val="center"/>
                  </w:pPr>
                  <w:r>
                    <w:t xml:space="preserve">3.9 [3.4, 5.0]</w:t>
                  </w:r>
                </w:p>
              </w:tc>
              <w:tc>
                <w:tcPr/>
                <w:p>
                  <w:pPr>
                    <w:pStyle w:val="Compact"/>
                    <w:jc w:val="left"/>
                    <w:jc w:val="center"/>
                  </w:pPr>
                  <w:r>
                    <w:t xml:space="preserve">1.00</w:t>
                  </w:r>
                </w:p>
              </w:tc>
            </w:tr>
            <w:tr>
              <w:tc>
                <w:tcPr/>
                <w:p>
                  <w:pPr>
                    <w:pStyle w:val="Compact"/>
                    <w:jc w:val="left"/>
                    <w:jc w:val="center"/>
                  </w:pPr>
                  <w:r>
                    <w:t xml:space="preserve">NO</w:t>
                  </w:r>
                </w:p>
              </w:tc>
              <w:tc>
                <w:tcPr/>
                <w:p>
                  <w:pPr>
                    <w:pStyle w:val="Compact"/>
                    <w:jc w:val="left"/>
                    <w:jc w:val="center"/>
                  </w:pPr>
                  <w:r>
                    <w:t xml:space="preserve">envcom</w:t>
                  </w:r>
                </w:p>
              </w:tc>
              <w:tc>
                <w:tcPr/>
                <w:p>
                  <w:pPr>
                    <w:pStyle w:val="Compact"/>
                    <w:jc w:val="left"/>
                    <w:jc w:val="center"/>
                  </w:pPr>
                  <w:r>
                    <w:t xml:space="preserve">5.3 [4.3, 6.8]</w:t>
                  </w:r>
                </w:p>
              </w:tc>
              <w:tc>
                <w:tcPr/>
                <w:p>
                  <w:pPr>
                    <w:pStyle w:val="Compact"/>
                    <w:jc w:val="left"/>
                    <w:jc w:val="center"/>
                  </w:pPr>
                  <w:r>
                    <w:t xml:space="preserve">0.97</w:t>
                  </w:r>
                </w:p>
              </w:tc>
            </w:tr>
            <w:tr>
              <w:tc>
                <w:tcPr/>
                <w:p>
                  <w:pPr>
                    <w:pStyle w:val="Compact"/>
                    <w:jc w:val="left"/>
                    <w:jc w:val="center"/>
                  </w:pPr>
                  <w:r>
                    <w:t xml:space="preserve">NZ</w:t>
                  </w:r>
                </w:p>
              </w:tc>
              <w:tc>
                <w:tcPr/>
                <w:p>
                  <w:pPr>
                    <w:pStyle w:val="Compact"/>
                    <w:jc w:val="left"/>
                    <w:jc w:val="center"/>
                  </w:pPr>
                  <w:r>
                    <w:t xml:space="preserve">envcom</w:t>
                  </w:r>
                </w:p>
              </w:tc>
              <w:tc>
                <w:tcPr/>
                <w:p>
                  <w:pPr>
                    <w:pStyle w:val="Compact"/>
                    <w:jc w:val="left"/>
                    <w:jc w:val="center"/>
                  </w:pPr>
                  <w:r>
                    <w:t xml:space="preserve">5.7 [4.5, 7.7]</w:t>
                  </w:r>
                </w:p>
              </w:tc>
              <w:tc>
                <w:tcPr/>
                <w:p>
                  <w:pPr>
                    <w:pStyle w:val="Compact"/>
                    <w:jc w:val="left"/>
                    <w:jc w:val="center"/>
                  </w:pPr>
                  <w:r>
                    <w:t xml:space="preserve">0.79</w:t>
                  </w:r>
                </w:p>
              </w:tc>
            </w:tr>
            <w:tr>
              <w:tc>
                <w:tcPr/>
                <w:p>
                  <w:pPr>
                    <w:pStyle w:val="Compact"/>
                    <w:jc w:val="left"/>
                    <w:jc w:val="center"/>
                  </w:pPr>
                  <w:r>
                    <w:t xml:space="preserve">PH</w:t>
                  </w:r>
                </w:p>
              </w:tc>
              <w:tc>
                <w:tcPr/>
                <w:p>
                  <w:pPr>
                    <w:pStyle w:val="Compact"/>
                    <w:jc w:val="left"/>
                    <w:jc w:val="center"/>
                  </w:pPr>
                  <w:r>
                    <w:t xml:space="preserve">nature</w:t>
                  </w:r>
                </w:p>
              </w:tc>
              <w:tc>
                <w:tcPr/>
                <w:p>
                  <w:pPr>
                    <w:pStyle w:val="Compact"/>
                    <w:jc w:val="left"/>
                    <w:jc w:val="center"/>
                  </w:pPr>
                  <w:r>
                    <w:t xml:space="preserve">10.3 [7.8, 22.8]</w:t>
                  </w:r>
                </w:p>
              </w:tc>
              <w:tc>
                <w:tcPr/>
                <w:p>
                  <w:pPr>
                    <w:pStyle w:val="Compact"/>
                    <w:jc w:val="left"/>
                    <w:jc w:val="center"/>
                  </w:pPr>
                  <w:r>
                    <w:t xml:space="preserve">0.77</w:t>
                  </w:r>
                </w:p>
              </w:tc>
            </w:tr>
            <w:tr>
              <w:tc>
                <w:tcPr/>
                <w:p>
                  <w:pPr>
                    <w:pStyle w:val="Compact"/>
                    <w:jc w:val="left"/>
                    <w:jc w:val="center"/>
                  </w:pPr>
                  <w:r>
                    <w:t xml:space="preserve">RU</w:t>
                  </w:r>
                </w:p>
              </w:tc>
              <w:tc>
                <w:tcPr/>
                <w:p>
                  <w:pPr>
                    <w:pStyle w:val="Compact"/>
                    <w:jc w:val="left"/>
                    <w:jc w:val="center"/>
                  </w:pPr>
                  <w:r>
                    <w:t xml:space="preserve">envcom</w:t>
                  </w:r>
                </w:p>
              </w:tc>
              <w:tc>
                <w:tcPr/>
                <w:p>
                  <w:pPr>
                    <w:pStyle w:val="Compact"/>
                    <w:jc w:val="left"/>
                    <w:jc w:val="center"/>
                  </w:pPr>
                  <w:r>
                    <w:t xml:space="preserve">4.7 [4.0, 6.2]</w:t>
                  </w:r>
                </w:p>
              </w:tc>
              <w:tc>
                <w:tcPr/>
                <w:p>
                  <w:pPr>
                    <w:pStyle w:val="Compact"/>
                    <w:jc w:val="left"/>
                    <w:jc w:val="center"/>
                  </w:pPr>
                  <w:r>
                    <w:t xml:space="preserve">1.00</w:t>
                  </w:r>
                </w:p>
              </w:tc>
            </w:tr>
            <w:tr>
              <w:tc>
                <w:tcPr/>
                <w:p>
                  <w:pPr>
                    <w:pStyle w:val="Compact"/>
                    <w:jc w:val="left"/>
                    <w:jc w:val="center"/>
                  </w:pPr>
                  <w:r>
                    <w:t xml:space="preserve">SE</w:t>
                  </w:r>
                </w:p>
              </w:tc>
              <w:tc>
                <w:tcPr/>
                <w:p>
                  <w:pPr>
                    <w:pStyle w:val="Compact"/>
                    <w:jc w:val="left"/>
                    <w:jc w:val="center"/>
                  </w:pPr>
                  <w:r>
                    <w:t xml:space="preserve">envcom</w:t>
                  </w:r>
                </w:p>
              </w:tc>
              <w:tc>
                <w:tcPr/>
                <w:p>
                  <w:pPr>
                    <w:pStyle w:val="Compact"/>
                    <w:jc w:val="left"/>
                    <w:jc w:val="center"/>
                  </w:pPr>
                  <w:r>
                    <w:t xml:space="preserve">5.4 [4.6, 6.7]</w:t>
                  </w:r>
                </w:p>
              </w:tc>
              <w:tc>
                <w:tcPr/>
                <w:p>
                  <w:pPr>
                    <w:pStyle w:val="Compact"/>
                    <w:jc w:val="left"/>
                    <w:jc w:val="center"/>
                  </w:pPr>
                  <w:r>
                    <w:t xml:space="preserve">0.96</w:t>
                  </w:r>
                </w:p>
              </w:tc>
            </w:tr>
            <w:tr>
              <w:tc>
                <w:tcPr/>
                <w:p>
                  <w:pPr>
                    <w:pStyle w:val="Compact"/>
                    <w:jc w:val="left"/>
                    <w:jc w:val="center"/>
                  </w:pPr>
                  <w:r>
                    <w:t xml:space="preserve">SI</w:t>
                  </w:r>
                </w:p>
              </w:tc>
              <w:tc>
                <w:tcPr/>
                <w:p>
                  <w:pPr>
                    <w:pStyle w:val="Compact"/>
                    <w:jc w:val="left"/>
                    <w:jc w:val="center"/>
                  </w:pPr>
                  <w:r>
                    <w:t xml:space="preserve">envcom</w:t>
                  </w:r>
                </w:p>
              </w:tc>
              <w:tc>
                <w:tcPr/>
                <w:p>
                  <w:pPr>
                    <w:pStyle w:val="Compact"/>
                    <w:jc w:val="left"/>
                    <w:jc w:val="center"/>
                  </w:pPr>
                  <w:r>
                    <w:t xml:space="preserve">4.9 [3.9, 6.7]</w:t>
                  </w:r>
                </w:p>
              </w:tc>
              <w:tc>
                <w:tcPr/>
                <w:p>
                  <w:pPr>
                    <w:pStyle w:val="Compact"/>
                    <w:jc w:val="left"/>
                    <w:jc w:val="center"/>
                  </w:pPr>
                  <w:r>
                    <w:t xml:space="preserve">1.00</w:t>
                  </w:r>
                </w:p>
              </w:tc>
            </w:tr>
            <w:tr>
              <w:tc>
                <w:tcPr/>
                <w:p>
                  <w:pPr>
                    <w:pStyle w:val="Compact"/>
                    <w:jc w:val="left"/>
                    <w:jc w:val="center"/>
                  </w:pPr>
                  <w:r>
                    <w:t xml:space="preserve">SK</w:t>
                  </w:r>
                </w:p>
              </w:tc>
              <w:tc>
                <w:tcPr/>
                <w:p>
                  <w:pPr>
                    <w:pStyle w:val="Compact"/>
                    <w:jc w:val="left"/>
                    <w:jc w:val="center"/>
                  </w:pPr>
                  <w:r>
                    <w:t xml:space="preserve">envcom</w:t>
                  </w:r>
                </w:p>
              </w:tc>
              <w:tc>
                <w:tcPr/>
                <w:p>
                  <w:pPr>
                    <w:pStyle w:val="Compact"/>
                    <w:jc w:val="left"/>
                    <w:jc w:val="center"/>
                  </w:pPr>
                  <w:r>
                    <w:t xml:space="preserve">5.3 [4.0, 7.5]</w:t>
                  </w:r>
                </w:p>
              </w:tc>
              <w:tc>
                <w:tcPr/>
                <w:p>
                  <w:pPr>
                    <w:pStyle w:val="Compact"/>
                    <w:jc w:val="left"/>
                    <w:jc w:val="center"/>
                  </w:pPr>
                  <w:r>
                    <w:t xml:space="preserve">0.66</w:t>
                  </w:r>
                </w:p>
              </w:tc>
            </w:tr>
            <w:tr>
              <w:tc>
                <w:tcPr/>
                <w:p>
                  <w:pPr>
                    <w:pStyle w:val="Compact"/>
                    <w:jc w:val="left"/>
                    <w:jc w:val="center"/>
                  </w:pPr>
                  <w:r>
                    <w:t xml:space="preserve">TH</w:t>
                  </w:r>
                </w:p>
              </w:tc>
              <w:tc>
                <w:tcPr/>
                <w:p>
                  <w:pPr>
                    <w:pStyle w:val="Compact"/>
                    <w:jc w:val="left"/>
                    <w:jc w:val="center"/>
                  </w:pPr>
                  <w:r>
                    <w:t xml:space="preserve">envcom</w:t>
                  </w:r>
                </w:p>
              </w:tc>
              <w:tc>
                <w:tcPr/>
                <w:p>
                  <w:pPr>
                    <w:pStyle w:val="Compact"/>
                    <w:jc w:val="left"/>
                    <w:jc w:val="center"/>
                  </w:pPr>
                  <w:r>
                    <w:t xml:space="preserve">6.5 [4.7, 9.0]</w:t>
                  </w:r>
                </w:p>
              </w:tc>
              <w:tc>
                <w:tcPr/>
                <w:p>
                  <w:pPr>
                    <w:pStyle w:val="Compact"/>
                    <w:jc w:val="left"/>
                    <w:jc w:val="center"/>
                  </w:pPr>
                  <w:r>
                    <w:t xml:space="preserve">0.81</w:t>
                  </w:r>
                </w:p>
              </w:tc>
            </w:tr>
            <w:tr>
              <w:tc>
                <w:tcPr/>
                <w:p>
                  <w:pPr>
                    <w:pStyle w:val="Compact"/>
                    <w:jc w:val="left"/>
                    <w:jc w:val="center"/>
                  </w:pPr>
                  <w:r>
                    <w:t xml:space="preserve">TW</w:t>
                  </w:r>
                </w:p>
              </w:tc>
              <w:tc>
                <w:tcPr/>
                <w:p>
                  <w:pPr>
                    <w:pStyle w:val="Compact"/>
                    <w:jc w:val="left"/>
                    <w:jc w:val="center"/>
                  </w:pPr>
                  <w:r>
                    <w:t xml:space="preserve">envcom</w:t>
                  </w:r>
                </w:p>
              </w:tc>
              <w:tc>
                <w:tcPr/>
                <w:p>
                  <w:pPr>
                    <w:pStyle w:val="Compact"/>
                    <w:jc w:val="left"/>
                    <w:jc w:val="center"/>
                  </w:pPr>
                  <w:r>
                    <w:t xml:space="preserve">6.7 [5.1, 8.2]</w:t>
                  </w:r>
                </w:p>
              </w:tc>
              <w:tc>
                <w:tcPr/>
                <w:p>
                  <w:pPr>
                    <w:pStyle w:val="Compact"/>
                    <w:jc w:val="left"/>
                    <w:jc w:val="center"/>
                  </w:pPr>
                  <w:r>
                    <w:t xml:space="preserve">0.88</w:t>
                  </w:r>
                </w:p>
              </w:tc>
            </w:tr>
            <w:tr>
              <w:tc>
                <w:tcPr/>
                <w:p>
                  <w:pPr>
                    <w:pStyle w:val="Compact"/>
                    <w:jc w:val="left"/>
                    <w:jc w:val="center"/>
                  </w:pPr>
                  <w:r>
                    <w:t xml:space="preserve">US</w:t>
                  </w:r>
                </w:p>
              </w:tc>
              <w:tc>
                <w:tcPr/>
                <w:p>
                  <w:pPr>
                    <w:pStyle w:val="Compact"/>
                    <w:jc w:val="left"/>
                    <w:jc w:val="center"/>
                  </w:pPr>
                  <w:r>
                    <w:t xml:space="preserve">nature</w:t>
                  </w:r>
                </w:p>
              </w:tc>
              <w:tc>
                <w:tcPr/>
                <w:p>
                  <w:pPr>
                    <w:pStyle w:val="Compact"/>
                    <w:jc w:val="left"/>
                    <w:jc w:val="center"/>
                  </w:pPr>
                  <w:r>
                    <w:t xml:space="preserve">6.1 [4.5, 6.8]</w:t>
                  </w:r>
                </w:p>
              </w:tc>
              <w:tc>
                <w:tcPr/>
                <w:p>
                  <w:pPr>
                    <w:pStyle w:val="Compact"/>
                    <w:jc w:val="left"/>
                    <w:jc w:val="center"/>
                  </w:pPr>
                  <w:r>
                    <w:t xml:space="preserve">0.60</w:t>
                  </w:r>
                </w:p>
              </w:tc>
            </w:tr>
            <w:tr>
              <w:tc>
                <w:tcPr/>
                <w:p>
                  <w:pPr>
                    <w:pStyle w:val="Compact"/>
                    <w:jc w:val="left"/>
                    <w:jc w:val="center"/>
                  </w:pPr>
                  <w:r>
                    <w:t xml:space="preserve">ZA</w:t>
                  </w:r>
                </w:p>
              </w:tc>
              <w:tc>
                <w:tcPr/>
                <w:p>
                  <w:pPr>
                    <w:pStyle w:val="Compact"/>
                    <w:jc w:val="left"/>
                    <w:jc w:val="center"/>
                  </w:pPr>
                  <w:r>
                    <w:t xml:space="preserve">envcom</w:t>
                  </w:r>
                </w:p>
              </w:tc>
              <w:tc>
                <w:tcPr/>
                <w:p>
                  <w:pPr>
                    <w:pStyle w:val="Compact"/>
                    <w:jc w:val="left"/>
                    <w:jc w:val="center"/>
                  </w:pPr>
                  <w:r>
                    <w:t xml:space="preserve">4.8 [4.2, 5.7]</w:t>
                  </w:r>
                </w:p>
              </w:tc>
              <w:tc>
                <w:tcPr/>
                <w:p>
                  <w:pPr>
                    <w:pStyle w:val="Compact"/>
                    <w:jc w:val="left"/>
                    <w:jc w:val="center"/>
                  </w:pPr>
                  <w:r>
                    <w:t xml:space="preserve">1.00</w:t>
                  </w:r>
                </w:p>
              </w:tc>
            </w:tr>
          </w:tbl>
          <w:bookmarkEnd w:id="23"/>
          <w:p/>
        </w:tc>
      </w:tr>
    </w:tbl>
    <w:p>
      <w:pPr>
        <w:pStyle w:val="BodyText"/>
      </w:pPr>
      <w:r>
        <w:t xml:space="preserve">The six-item behavior specification was also run and is available in the replication files. It gives the same cross-country ordering but noisier per-country results, with the closest belief holding in a majority of resamples in 16 of 28 countries rather than 27.</w:t>
      </w:r>
    </w:p>
    <w:p>
      <w:r>
        <w:br w:type="page"/>
      </w:r>
    </w:p>
    <w:bookmarkEnd w:id="24"/>
    <w:bookmarkStart w:id="25" w:name="references"/>
    <w:p>
      <w:pPr>
        <w:pStyle w:val="Heading1"/>
      </w:pPr>
      <w:r>
        <w:t xml:space="preserve">References</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left"/>
    </w:pPr>
    <w:rPr>
      <w:b/>
      <w:bCs/>
      <w:rFonts w:asciiTheme="majorHAnsi" w:cstheme="majorBidi" w:eastAsiaTheme="majorEastAsia" w:hAnsiTheme="majorHAnsi"/>
      <w:sz w:val="36"/>
      <w:szCs w:val="36"/>
    </w:rPr>
  </w:style>
  <w:style w:customStyle="1" w:styleId="TitleChar" w:type="character">
    <w:name w:val="Title Char"/>
    <w:basedOn w:val="DefaultParagraphFont"/>
    <w:link w:val="Title"/>
    <w:uiPriority w:val="10"/>
    <w:rsid w:val="00A10FD9"/>
    <w:rPr>
      <w:b/>
      <w:bCs/>
      <w:rFonts w:asciiTheme="majorHAnsi" w:cstheme="majorBidi" w:eastAsiaTheme="majorEastAsia" w:hAnsiTheme="majorHAnsi"/>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sz w:val="24"/>
      <w:szCs w:val="24"/>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sz w:val="24"/>
      <w:szCs w:val="24"/>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sz w:val="24"/>
      <w:szCs w:val="24"/>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b/>
      <w:bCs/>
      <w:sz w:val="24"/>
      <w:szCs w:val="24"/>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b/>
      <w:bCs/>
      <w:sz w:val="24"/>
      <w:szCs w:val="24"/>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b/>
      <w:bCs/>
      <w:sz w:val="24"/>
      <w:szCs w:val="24"/>
      <w:rFonts w:cstheme="majorBidi" w:eastAsiaTheme="majorEastAsia"/>
    </w:rPr>
  </w:style>
  <w:style w:customStyle="1" w:styleId="Heading1Char" w:type="character">
    <w:name w:val="Heading 1 Char"/>
    <w:basedOn w:val="DefaultParagraphFont"/>
    <w:link w:val="Heading1"/>
    <w:uiPriority w:val="9"/>
    <w:rsid w:val="00A10FD9"/>
    <w:rPr>
      <w:b/>
      <w:bCs/>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b/>
      <w:bCs/>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b/>
      <w:bCs/>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b/>
      <w:bCs/>
      <w:rFonts w:cstheme="majorBidi" w:eastAsiaTheme="majorEastAsia"/>
      <w:i/>
      <w:iCs/>
    </w:rPr>
  </w:style>
  <w:style w:customStyle="1" w:styleId="Heading5Char" w:type="character">
    <w:name w:val="Heading 5 Char"/>
    <w:basedOn w:val="DefaultParagraphFont"/>
    <w:link w:val="Heading5"/>
    <w:uiPriority w:val="9"/>
    <w:semiHidden/>
    <w:rsid w:val="00A10FD9"/>
    <w:rPr>
      <w:b/>
      <w:bCs/>
      <w:rFonts w:cstheme="majorBidi" w:eastAsiaTheme="majorEastAsia"/>
    </w:rPr>
  </w:style>
  <w:style w:customStyle="1" w:styleId="Heading6Char" w:type="character">
    <w:name w:val="Heading 6 Char"/>
    <w:basedOn w:val="DefaultParagraphFont"/>
    <w:link w:val="Heading6"/>
    <w:uiPriority w:val="9"/>
    <w:semiHidden/>
    <w:rsid w:val="00A10FD9"/>
    <w:rPr>
      <w:b/>
      <w:bCs/>
      <w:rFonts w:cstheme="majorBidi" w:eastAsiaTheme="majorEastAsia"/>
      <w:i/>
      <w:iCs/>
    </w:rPr>
  </w:style>
  <w:style w:customStyle="1" w:styleId="Heading7Char" w:type="character">
    <w:name w:val="Heading 7 Char"/>
    <w:basedOn w:val="DefaultParagraphFont"/>
    <w:link w:val="Heading7"/>
    <w:uiPriority w:val="9"/>
    <w:semiHidden/>
    <w:rsid w:val="00A10FD9"/>
    <w:rPr>
      <w:b/>
      <w:bCs/>
      <w:rFonts w:cstheme="majorBidi" w:eastAsiaTheme="majorEastAsia"/>
    </w:rPr>
  </w:style>
  <w:style w:customStyle="1" w:styleId="Heading8Char" w:type="character">
    <w:name w:val="Heading 8 Char"/>
    <w:basedOn w:val="DefaultParagraphFont"/>
    <w:link w:val="Heading8"/>
    <w:uiPriority w:val="9"/>
    <w:semiHidden/>
    <w:rsid w:val="00A10FD9"/>
    <w:rPr>
      <w:b/>
      <w:bCs/>
      <w:rFonts w:cstheme="majorBidi" w:eastAsiaTheme="majorEastAsia"/>
      <w:i/>
      <w:iCs/>
    </w:rPr>
  </w:style>
  <w:style w:customStyle="1" w:styleId="Heading9Char" w:type="character">
    <w:name w:val="Heading 9 Char"/>
    <w:basedOn w:val="DefaultParagraphFont"/>
    <w:link w:val="Heading9"/>
    <w:uiPriority w:val="9"/>
    <w:semiHidden/>
    <w:rsid w:val="00A10FD9"/>
    <w:rPr>
      <w:b/>
      <w:bCs/>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206030504050203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Materials for Environmental Belief System Networks and Pro-Environmental Behavior</dc:title>
  <dc:creator>Matthew C. Nowlin</dc:creator>
  <cp:keywords/>
  <dcterms:created xsi:type="dcterms:W3CDTF">2026-09-24T15:10:48Z</dcterms:created>
  <dcterms:modified xsi:type="dcterms:W3CDTF">2026-09-24T15:10:48Z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american-political-science-association.csl</vt:lpwstr>
  </property>
  <property fmtid="{D5CDD505-2E9C-101B-9397-08002B2CF9AE}" pid="7" name="engines">
    <vt:lpwstr/>
  </property>
  <property fmtid="{D5CDD505-2E9C-101B-9397-08002B2CF9AE}" pid="8" name="fig-cap-location">
    <vt:lpwstr>top</vt:lpwstr>
  </property>
  <property fmtid="{D5CDD505-2E9C-101B-9397-08002B2CF9AE}" pid="9" name="fontfamily">
    <vt:lpwstr>ebgaramond</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bibliography">
    <vt:lpwstr>False</vt:lpwstr>
  </property>
  <property fmtid="{D5CDD505-2E9C-101B-9397-08002B2CF9AE}" pid="15" name="toc-title">
    <vt:lpwstr>Table of contents</vt:lpwstr>
  </property>
</Properties>
</file>