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Environmental Belief System Networks and Pro-Environmental Behavior</w:t>
      </w:r>
    </w:p>
    <w:p>
      <w:pPr>
        <w:pStyle w:val="Author"/>
      </w:pPr>
      <w:r>
        <w:t xml:space="preserve">Matthew C. Nowlin</w:t>
      </w:r>
      <w:r>
        <w:rPr>
          <w:rStyle w:val="FootnoteReference"/>
        </w:rPr>
        <w:footnoteReference w:id="9"/>
      </w:r>
    </w:p>
    <w:bookmarkStart w:id="10" w:name="introduction"/>
    <w:p>
      <w:pPr>
        <w:pStyle w:val="Heading1"/>
      </w:pPr>
      <w:r>
        <w:t xml:space="preserve">Introduction</w:t>
      </w:r>
    </w:p>
    <w:bookmarkEnd w:id="10"/>
    <w:bookmarkStart w:id="11" w:name="explaining-pro-environmental-behavior"/>
    <w:p>
      <w:pPr>
        <w:pStyle w:val="Heading1"/>
      </w:pPr>
      <w:r>
        <w:t xml:space="preserve">Explaining Pro-Environmental Behavior</w:t>
      </w:r>
    </w:p>
    <w:bookmarkEnd w:id="11"/>
    <w:bookmarkStart w:id="12" w:name="belief-system-networks"/>
    <w:p>
      <w:pPr>
        <w:pStyle w:val="Heading1"/>
      </w:pPr>
      <w:r>
        <w:t xml:space="preserve">Belief System Networks</w:t>
      </w:r>
    </w:p>
    <w:bookmarkEnd w:id="12"/>
    <w:bookmarkStart w:id="28" w:name="study-1"/>
    <w:p>
      <w:pPr>
        <w:pStyle w:val="Heading1"/>
      </w:pPr>
      <w:r>
        <w:t xml:space="preserve">Study 1</w:t>
      </w:r>
    </w:p>
    <w:bookmarkStart w:id="14" w:name="data-and-measures"/>
    <w:p>
      <w:pPr>
        <w:pStyle w:val="Heading2"/>
      </w:pPr>
      <w:r>
        <w:t xml:space="preserve">Data and Measures</w:t>
      </w:r>
    </w:p>
    <w:p>
      <w:pPr>
        <w:pStyle w:val="FirstParagraph"/>
      </w:pPr>
      <w:r>
        <w:t xml:space="preserve">Our dependent variable is pro-environmental behaviors, and we use a 13-item scale from the 2000 Gallup Earth Day Poll. Respondents were asked,</w:t>
      </w:r>
      <w:r>
        <w:t xml:space="preserve"> </w:t>
      </w:r>
      <w:r>
        <w:t xml:space="preserve">“Which of these, if any, have you, yourself, done in the past year?”</w:t>
      </w:r>
      <w:r>
        <w:t xml:space="preserve"> </w:t>
      </w:r>
      <w:r>
        <w:t xml:space="preserve">Possible responses included,</w:t>
      </w:r>
      <w:r>
        <w:t xml:space="preserve"> </w:t>
      </w:r>
      <w:r>
        <w:t xml:space="preserve">“Yes, have done; No, have not done; No opinion”</w:t>
      </w:r>
      <w:r>
        <w:t xml:space="preserve">, and yes responses were coded as a 1 and no and no opinion were coded as 0.</w:t>
      </w:r>
    </w:p>
    <w:p>
      <w:pPr>
        <w:pStyle w:val="BodyText"/>
      </w:pPr>
      <w:r>
        <w:t xml:space="preserve">The behaviors were:</w:t>
      </w:r>
      <w:r>
        <w:t xml:space="preserve"> </w:t>
      </w:r>
      <w:r>
        <w:t xml:space="preserve">(1) Avoided using certain products that harm the environment.</w:t>
      </w:r>
      <w:r>
        <w:t xml:space="preserve"> </w:t>
      </w:r>
      <w:r>
        <w:t xml:space="preserve">(2) Been active in a group or organization that works to protect the environment.</w:t>
      </w:r>
      <w:r>
        <w:t xml:space="preserve"> </w:t>
      </w:r>
      <w:r>
        <w:t xml:space="preserve">(3) Voted for or worked for candidates because of their position on environmental issues.</w:t>
      </w:r>
      <w:r>
        <w:t xml:space="preserve"> </w:t>
      </w:r>
      <w:r>
        <w:t xml:space="preserve">(4) Contributed money to an environmental, conservation or wildlife preservation group.</w:t>
      </w:r>
      <w:r>
        <w:t xml:space="preserve"> </w:t>
      </w:r>
      <w:r>
        <w:t xml:space="preserve">(5) Contacted a public official about an environmental issue.</w:t>
      </w:r>
      <w:r>
        <w:t xml:space="preserve"> </w:t>
      </w:r>
      <w:r>
        <w:t xml:space="preserve">(6) Contacted a business to complain about its products or policies because they harm the environment.</w:t>
      </w:r>
      <w:r>
        <w:t xml:space="preserve"> </w:t>
      </w:r>
      <w:r>
        <w:t xml:space="preserve">(7) Signed a petition supporting an environmental group or some environmental protection effort.</w:t>
      </w:r>
      <w:r>
        <w:t xml:space="preserve"> </w:t>
      </w:r>
      <w:r>
        <w:t xml:space="preserve">(8) Attended a meeting concerning the environment.</w:t>
      </w:r>
      <w:r>
        <w:t xml:space="preserve"> </w:t>
      </w:r>
      <w:r>
        <w:t xml:space="preserve">(9) Tried to use less water in your household.</w:t>
      </w:r>
      <w:r>
        <w:t xml:space="preserve"> </w:t>
      </w:r>
      <w:r>
        <w:t xml:space="preserve">(10) Bought some product specifically because you thought it was better for the environment than competing products.</w:t>
      </w:r>
      <w:r>
        <w:t xml:space="preserve"> </w:t>
      </w:r>
      <w:r>
        <w:t xml:space="preserve">(11) Voluntarily recycled newspapers, glass, aluminum, motor oil or other items.</w:t>
      </w:r>
      <w:r>
        <w:t xml:space="preserve"> </w:t>
      </w:r>
      <w:r>
        <w:t xml:space="preserve">(12) Reduced your household’s use of energy.</w:t>
      </w:r>
      <w:r>
        <w:t xml:space="preserve"> </w:t>
      </w:r>
      <w:r>
        <w:t xml:space="preserve">(13) Bought or sold stocks based on the environmental record of the companies.</w:t>
      </w:r>
    </w:p>
    <w:p>
      <w:pPr>
        <w:pStyle w:val="BodyText"/>
      </w:pPr>
      <w:r>
        <w:t xml:space="preserve">For the purposes of analysis, we use a composite measure that uses all 13 items as well as measures of private environmental behaviors (such as recycling) and public environmental behaviors (such as attending a public meeting about the environment). The Cronbach’s α for the 13-item composite measure is 0.79, for the subset of private behaviors it is 0.75, and for the subset of public behaviors, it is 0.76. All three versions of the measure can be considered reasonably reliable.</w:t>
      </w:r>
    </w:p>
    <w:p>
      <w:pPr>
        <w:pStyle w:val="BodyText"/>
      </w:pPr>
      <w:r>
        <w:t xml:space="preserve">As noted, we have two measures of environmental orientations including the Connectedness to Nature Scale (CNS) and the New Ecological Paradigm (NEP). The CNS was measured based on agreement with a 1 - strongly disagree to 5 - strongly agree scale with 14 statements such as, I often feel a sense of oneness with the natural world around me and I have a deep understanding of how my actions affect the natural world. The Cronbach’s α for the CNS is 0.81. Similar to the CNS, the NEP scale is based on agreement on a 1 to 5 scale with several statements including We are approaching the limit of the number of people the earth can support and The balance of nature is very delicate and easily upset. The Cronbach’s α for the NEP is 0.82. Table 1 shows the summary statistics and correlations for each of the scales. Exploratory graph analysis confirms that the NEP and CNS items each form a single dimension, and the belief network is not sensitive to whether the scales are scored as raw item means or as network dimension scores. The supplemental materials report this analysis.</w:t>
      </w:r>
    </w:p>
    <w:tbl>
      <w:tblPr>
        <w:tblStyle w:val="Table"/>
        <w:tblW w:type="pct" w:w="5000"/>
        <w:tblLayout w:type="fixed"/>
        <w:tblLook w:firstRow="0" w:lastRow="0" w:firstColumn="0" w:lastColumn="0" w:noHBand="0" w:noVBand="0" w:val="0000"/>
      </w:tblPr>
      <w:tblGrid>
        <w:gridCol w:w="7920"/>
      </w:tblGrid>
      <w:tr>
        <w:tc>
          <w:tcPr/>
          <w:bookmarkStart w:id="13" w:name="tbl-descriptives"/>
          <w:p>
            <w:pPr>
              <w:jc w:val="center"/>
            </w:pPr>
            <w:pPr>
              <w:jc w:val="left"/>
              <w:spacing w:before="200"/>
              <w:pStyle w:val="ImageCaption"/>
            </w:pPr>
            <w:r>
              <w:t xml:space="preserve">Table 1: Summary statistics and correlations for the Study 1 variables (N = 1,000). NEP and CNS are item means oriented so that higher = more pro-environmental.</w:t>
            </w:r>
          </w:p>
          <w:tbl>
            <w:tblPr>
              <w:tblStyle w:val="Table"/>
              <w:tblW w:type="pct" w:w="5000"/>
              <w:tblLayout w:type="fixed"/>
              <w:tblLook w:firstRow="1" w:lastRow="0" w:firstColumn="0" w:lastColumn="0" w:noHBand="0" w:noVBand="0" w:val="0020"/>
            </w:tblPr>
            <w:tblGrid>
              <w:gridCol w:w="2751"/>
              <w:gridCol w:w="416"/>
              <w:gridCol w:w="416"/>
              <w:gridCol w:w="416"/>
              <w:gridCol w:w="333"/>
              <w:gridCol w:w="500"/>
              <w:gridCol w:w="500"/>
              <w:gridCol w:w="500"/>
              <w:gridCol w:w="500"/>
              <w:gridCol w:w="500"/>
              <w:gridCol w:w="500"/>
              <w:gridCol w:w="333"/>
              <w:gridCol w:w="250"/>
            </w:tblGrid>
            <w:tr>
              <w:trPr>
                <w:tblHeader w:val="on"/>
              </w:trPr>
              <w:tc>
                <w:tcPr/>
                <w:p>
                  <w:pPr>
                    <w:pStyle w:val="Compact"/>
                    <w:jc w:val="left"/>
                    <w:jc w:val="center"/>
                  </w:pPr>
                  <w:r>
                    <w:t xml:space="preserve">Variable</w:t>
                  </w:r>
                </w:p>
              </w:tc>
              <w:tc>
                <w:tcPr/>
                <w:p>
                  <w:pPr>
                    <w:pStyle w:val="Compact"/>
                    <w:jc w:val="right"/>
                    <w:jc w:val="center"/>
                  </w:pPr>
                  <w:r>
                    <w:t xml:space="preserve">M</w:t>
                  </w:r>
                </w:p>
              </w:tc>
              <w:tc>
                <w:tcPr/>
                <w:p>
                  <w:pPr>
                    <w:pStyle w:val="Compact"/>
                    <w:jc w:val="right"/>
                    <w:jc w:val="center"/>
                  </w:pPr>
                  <w:r>
                    <w:t xml:space="preserve">SD</w:t>
                  </w:r>
                </w:p>
              </w:tc>
              <w:tc>
                <w:tcPr/>
                <w:p>
                  <w:pPr>
                    <w:pStyle w:val="Compact"/>
                    <w:jc w:val="right"/>
                    <w:jc w:val="center"/>
                  </w:pPr>
                  <w:r>
                    <w:t xml:space="preserve">Min</w:t>
                  </w:r>
                </w:p>
              </w:tc>
              <w:tc>
                <w:tcPr/>
                <w:p>
                  <w:pPr>
                    <w:pStyle w:val="Compact"/>
                    <w:jc w:val="right"/>
                    <w:jc w:val="center"/>
                  </w:pPr>
                  <w:r>
                    <w:t xml:space="preserve">Max</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3</w:t>
                  </w:r>
                </w:p>
              </w:tc>
              <w:tc>
                <w:tcPr/>
                <w:p>
                  <w:pPr>
                    <w:pStyle w:val="Compact"/>
                    <w:jc w:val="right"/>
                    <w:jc w:val="center"/>
                  </w:pPr>
                  <w:r>
                    <w:t xml:space="preserve">4</w:t>
                  </w:r>
                </w:p>
              </w:tc>
              <w:tc>
                <w:tcPr/>
                <w:p>
                  <w:pPr>
                    <w:pStyle w:val="Compact"/>
                    <w:jc w:val="right"/>
                    <w:jc w:val="center"/>
                  </w:pPr>
                  <w:r>
                    <w:t xml:space="preserve">5</w:t>
                  </w:r>
                </w:p>
              </w:tc>
              <w:tc>
                <w:tcPr/>
                <w:p>
                  <w:pPr>
                    <w:pStyle w:val="Compact"/>
                    <w:jc w:val="right"/>
                    <w:jc w:val="center"/>
                  </w:pPr>
                  <w:r>
                    <w:t xml:space="preserve">6</w:t>
                  </w:r>
                </w:p>
              </w:tc>
              <w:tc>
                <w:tcPr/>
                <w:p>
                  <w:pPr>
                    <w:pStyle w:val="Compact"/>
                    <w:jc w:val="right"/>
                    <w:jc w:val="center"/>
                  </w:pPr>
                  <w:r>
                    <w:t xml:space="preserve">7</w:t>
                  </w:r>
                </w:p>
              </w:tc>
              <w:tc>
                <w:tcPr/>
                <w:p>
                  <w:pPr>
                    <w:pStyle w:val="Compact"/>
                    <w:jc w:val="right"/>
                    <w:jc w:val="center"/>
                  </w:pPr>
                  <w:r>
                    <w:t xml:space="preserve">8</w:t>
                  </w:r>
                </w:p>
              </w:tc>
            </w:tr>
            <w:tr>
              <w:tc>
                <w:tcPr/>
                <w:p>
                  <w:pPr>
                    <w:pStyle w:val="Compact"/>
                    <w:jc w:val="left"/>
                    <w:jc w:val="center"/>
                  </w:pPr>
                  <w:r>
                    <w:t xml:space="preserve">1. Pro-env. behavior (composite)</w:t>
                  </w:r>
                </w:p>
              </w:tc>
              <w:tc>
                <w:tcPr/>
                <w:p>
                  <w:pPr>
                    <w:pStyle w:val="Compact"/>
                    <w:jc w:val="right"/>
                    <w:jc w:val="center"/>
                  </w:pPr>
                  <w:r>
                    <w:t xml:space="preserve">5.52</w:t>
                  </w:r>
                </w:p>
              </w:tc>
              <w:tc>
                <w:tcPr/>
                <w:p>
                  <w:pPr>
                    <w:pStyle w:val="Compact"/>
                    <w:jc w:val="right"/>
                    <w:jc w:val="center"/>
                  </w:pPr>
                  <w:r>
                    <w:t xml:space="preserve">2.98</w:t>
                  </w:r>
                </w:p>
              </w:tc>
              <w:tc>
                <w:tcPr/>
                <w:p>
                  <w:pPr>
                    <w:pStyle w:val="Compact"/>
                    <w:jc w:val="right"/>
                    <w:jc w:val="center"/>
                  </w:pPr>
                  <w:r>
                    <w:t xml:space="preserve">0.00</w:t>
                  </w:r>
                </w:p>
              </w:tc>
              <w:tc>
                <w:tcPr/>
                <w:p>
                  <w:pPr>
                    <w:pStyle w:val="Compact"/>
                    <w:jc w:val="right"/>
                    <w:jc w:val="center"/>
                  </w:pPr>
                  <w:r>
                    <w:t xml:space="preserve">13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2. Public behavior</w:t>
                  </w:r>
                </w:p>
              </w:tc>
              <w:tc>
                <w:tcPr/>
                <w:p>
                  <w:pPr>
                    <w:pStyle w:val="Compact"/>
                    <w:jc w:val="right"/>
                    <w:jc w:val="center"/>
                  </w:pPr>
                  <w:r>
                    <w:t xml:space="preserve">1.80</w:t>
                  </w:r>
                </w:p>
              </w:tc>
              <w:tc>
                <w:tcPr/>
                <w:p>
                  <w:pPr>
                    <w:pStyle w:val="Compact"/>
                    <w:jc w:val="right"/>
                    <w:jc w:val="center"/>
                  </w:pPr>
                  <w:r>
                    <w:t xml:space="preserve">1.92</w:t>
                  </w:r>
                </w:p>
              </w:tc>
              <w:tc>
                <w:tcPr/>
                <w:p>
                  <w:pPr>
                    <w:pStyle w:val="Compact"/>
                    <w:jc w:val="right"/>
                    <w:jc w:val="center"/>
                  </w:pPr>
                  <w:r>
                    <w:t xml:space="preserve">0.00</w:t>
                  </w:r>
                </w:p>
              </w:tc>
              <w:tc>
                <w:tcPr/>
                <w:p>
                  <w:pPr>
                    <w:pStyle w:val="Compact"/>
                    <w:jc w:val="right"/>
                    <w:jc w:val="center"/>
                  </w:pPr>
                  <w:r>
                    <w:t xml:space="preserve">7</w:t>
                  </w:r>
                </w:p>
              </w:tc>
              <w:tc>
                <w:tcPr/>
                <w:p>
                  <w:pPr>
                    <w:pStyle w:val="Compact"/>
                    <w:jc w:val="right"/>
                    <w:jc w:val="center"/>
                  </w:pPr>
                  <w:r>
                    <w:t xml:space="preserve">0.87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3. Private behavior</w:t>
                  </w:r>
                </w:p>
              </w:tc>
              <w:tc>
                <w:tcPr/>
                <w:p>
                  <w:pPr>
                    <w:pStyle w:val="Compact"/>
                    <w:jc w:val="right"/>
                    <w:jc w:val="center"/>
                  </w:pPr>
                  <w:r>
                    <w:t xml:space="preserve">3.60</w:t>
                  </w:r>
                </w:p>
              </w:tc>
              <w:tc>
                <w:tcPr/>
                <w:p>
                  <w:pPr>
                    <w:pStyle w:val="Compact"/>
                    <w:jc w:val="right"/>
                    <w:jc w:val="center"/>
                  </w:pPr>
                  <w:r>
                    <w:t xml:space="preserve">1.58</w:t>
                  </w:r>
                </w:p>
              </w:tc>
              <w:tc>
                <w:tcPr/>
                <w:p>
                  <w:pPr>
                    <w:pStyle w:val="Compact"/>
                    <w:jc w:val="right"/>
                    <w:jc w:val="center"/>
                  </w:pPr>
                  <w:r>
                    <w:t xml:space="preserve">0.00</w:t>
                  </w:r>
                </w:p>
              </w:tc>
              <w:tc>
                <w:tcPr/>
                <w:p>
                  <w:pPr>
                    <w:pStyle w:val="Compact"/>
                    <w:jc w:val="right"/>
                    <w:jc w:val="center"/>
                  </w:pPr>
                  <w:r>
                    <w:t xml:space="preserve">5</w:t>
                  </w:r>
                </w:p>
              </w:tc>
              <w:tc>
                <w:tcPr/>
                <w:p>
                  <w:pPr>
                    <w:pStyle w:val="Compact"/>
                    <w:jc w:val="right"/>
                    <w:jc w:val="center"/>
                  </w:pPr>
                  <w:r>
                    <w:t xml:space="preserve">0.75</w:t>
                  </w:r>
                </w:p>
              </w:tc>
              <w:tc>
                <w:tcPr/>
                <w:p>
                  <w:pPr>
                    <w:pStyle w:val="Compact"/>
                    <w:jc w:val="right"/>
                    <w:jc w:val="center"/>
                  </w:pPr>
                  <w:r>
                    <w:t xml:space="preserve">0.33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4. NEP</w:t>
                  </w:r>
                </w:p>
              </w:tc>
              <w:tc>
                <w:tcPr/>
                <w:p>
                  <w:pPr>
                    <w:pStyle w:val="Compact"/>
                    <w:jc w:val="right"/>
                    <w:jc w:val="center"/>
                  </w:pPr>
                  <w:r>
                    <w:t xml:space="preserve">3.43</w:t>
                  </w:r>
                </w:p>
              </w:tc>
              <w:tc>
                <w:tcPr/>
                <w:p>
                  <w:pPr>
                    <w:pStyle w:val="Compact"/>
                    <w:jc w:val="right"/>
                    <w:jc w:val="center"/>
                  </w:pPr>
                  <w:r>
                    <w:t xml:space="preserve">0.62</w:t>
                  </w:r>
                </w:p>
              </w:tc>
              <w:tc>
                <w:tcPr/>
                <w:p>
                  <w:pPr>
                    <w:pStyle w:val="Compact"/>
                    <w:jc w:val="right"/>
                    <w:jc w:val="center"/>
                  </w:pPr>
                  <w:r>
                    <w:t xml:space="preserve">1.40</w:t>
                  </w:r>
                </w:p>
              </w:tc>
              <w:tc>
                <w:tcPr/>
                <w:p>
                  <w:pPr>
                    <w:pStyle w:val="Compact"/>
                    <w:jc w:val="right"/>
                    <w:jc w:val="center"/>
                  </w:pPr>
                  <w:r>
                    <w:t xml:space="preserve">5</w:t>
                  </w:r>
                </w:p>
              </w:tc>
              <w:tc>
                <w:tcPr/>
                <w:p>
                  <w:pPr>
                    <w:pStyle w:val="Compact"/>
                    <w:jc w:val="right"/>
                    <w:jc w:val="center"/>
                  </w:pPr>
                  <w:r>
                    <w:t xml:space="preserve">0.26</w:t>
                  </w:r>
                </w:p>
              </w:tc>
              <w:tc>
                <w:tcPr/>
                <w:p>
                  <w:pPr>
                    <w:pStyle w:val="Compact"/>
                    <w:jc w:val="right"/>
                    <w:jc w:val="center"/>
                  </w:pPr>
                  <w:r>
                    <w:t xml:space="preserve">0.17</w:t>
                  </w:r>
                </w:p>
              </w:tc>
              <w:tc>
                <w:tcPr/>
                <w:p>
                  <w:pPr>
                    <w:pStyle w:val="Compact"/>
                    <w:jc w:val="right"/>
                    <w:jc w:val="center"/>
                  </w:pPr>
                  <w:r>
                    <w:t xml:space="preserve">0.30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5. CNS</w:t>
                  </w:r>
                </w:p>
              </w:tc>
              <w:tc>
                <w:tcPr/>
                <w:p>
                  <w:pPr>
                    <w:pStyle w:val="Compact"/>
                    <w:jc w:val="right"/>
                    <w:jc w:val="center"/>
                  </w:pPr>
                  <w:r>
                    <w:t xml:space="preserve">3.54</w:t>
                  </w:r>
                </w:p>
              </w:tc>
              <w:tc>
                <w:tcPr/>
                <w:p>
                  <w:pPr>
                    <w:pStyle w:val="Compact"/>
                    <w:jc w:val="right"/>
                    <w:jc w:val="center"/>
                  </w:pPr>
                  <w:r>
                    <w:t xml:space="preserve">0.53</w:t>
                  </w:r>
                </w:p>
              </w:tc>
              <w:tc>
                <w:tcPr/>
                <w:p>
                  <w:pPr>
                    <w:pStyle w:val="Compact"/>
                    <w:jc w:val="right"/>
                    <w:jc w:val="center"/>
                  </w:pPr>
                  <w:r>
                    <w:t xml:space="preserve">1.71</w:t>
                  </w:r>
                </w:p>
              </w:tc>
              <w:tc>
                <w:tcPr/>
                <w:p>
                  <w:pPr>
                    <w:pStyle w:val="Compact"/>
                    <w:jc w:val="right"/>
                    <w:jc w:val="center"/>
                  </w:pPr>
                  <w:r>
                    <w:t xml:space="preserve">5</w:t>
                  </w:r>
                </w:p>
              </w:tc>
              <w:tc>
                <w:tcPr/>
                <w:p>
                  <w:pPr>
                    <w:pStyle w:val="Compact"/>
                    <w:jc w:val="right"/>
                    <w:jc w:val="center"/>
                  </w:pPr>
                  <w:r>
                    <w:t xml:space="preserve">0.46</w:t>
                  </w:r>
                </w:p>
              </w:tc>
              <w:tc>
                <w:tcPr/>
                <w:p>
                  <w:pPr>
                    <w:pStyle w:val="Compact"/>
                    <w:jc w:val="right"/>
                    <w:jc w:val="center"/>
                  </w:pPr>
                  <w:r>
                    <w:t xml:space="preserve">0.36</w:t>
                  </w:r>
                </w:p>
              </w:tc>
              <w:tc>
                <w:tcPr/>
                <w:p>
                  <w:pPr>
                    <w:pStyle w:val="Compact"/>
                    <w:jc w:val="right"/>
                    <w:jc w:val="center"/>
                  </w:pPr>
                  <w:r>
                    <w:t xml:space="preserve">0.43</w:t>
                  </w:r>
                </w:p>
              </w:tc>
              <w:tc>
                <w:tcPr/>
                <w:p>
                  <w:pPr>
                    <w:pStyle w:val="Compact"/>
                    <w:jc w:val="right"/>
                    <w:jc w:val="center"/>
                  </w:pPr>
                  <w:r>
                    <w:t xml:space="preserve">0.45</w:t>
                  </w: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6. Ideology (lib-con)</w:t>
                  </w:r>
                </w:p>
              </w:tc>
              <w:tc>
                <w:tcPr/>
                <w:p>
                  <w:pPr>
                    <w:pStyle w:val="Compact"/>
                    <w:jc w:val="right"/>
                    <w:jc w:val="center"/>
                  </w:pPr>
                  <w:r>
                    <w:t xml:space="preserve">3.84</w:t>
                  </w:r>
                </w:p>
              </w:tc>
              <w:tc>
                <w:tcPr/>
                <w:p>
                  <w:pPr>
                    <w:pStyle w:val="Compact"/>
                    <w:jc w:val="right"/>
                    <w:jc w:val="center"/>
                  </w:pPr>
                  <w:r>
                    <w:t xml:space="preserve">1.62</w:t>
                  </w:r>
                </w:p>
              </w:tc>
              <w:tc>
                <w:tcPr/>
                <w:p>
                  <w:pPr>
                    <w:pStyle w:val="Compact"/>
                    <w:jc w:val="right"/>
                    <w:jc w:val="center"/>
                  </w:pPr>
                  <w:r>
                    <w:t xml:space="preserve">1.00</w:t>
                  </w:r>
                </w:p>
              </w:tc>
              <w:tc>
                <w:tcPr/>
                <w:p>
                  <w:pPr>
                    <w:pStyle w:val="Compact"/>
                    <w:jc w:val="right"/>
                    <w:jc w:val="center"/>
                  </w:pPr>
                  <w:r>
                    <w:t xml:space="preserve">7</w:t>
                  </w:r>
                </w:p>
              </w:tc>
              <w:tc>
                <w:tcPr/>
                <w:p>
                  <w:pPr>
                    <w:pStyle w:val="Compact"/>
                    <w:jc w:val="right"/>
                    <w:jc w:val="center"/>
                  </w:pPr>
                  <w:r>
                    <w:t xml:space="preserve">-0.28</w:t>
                  </w:r>
                </w:p>
              </w:tc>
              <w:tc>
                <w:tcPr/>
                <w:p>
                  <w:pPr>
                    <w:pStyle w:val="Compact"/>
                    <w:jc w:val="right"/>
                    <w:jc w:val="center"/>
                  </w:pPr>
                  <w:r>
                    <w:t xml:space="preserve">-0.28</w:t>
                  </w:r>
                </w:p>
              </w:tc>
              <w:tc>
                <w:tcPr/>
                <w:p>
                  <w:pPr>
                    <w:pStyle w:val="Compact"/>
                    <w:jc w:val="right"/>
                    <w:jc w:val="center"/>
                  </w:pPr>
                  <w:r>
                    <w:t xml:space="preserve">-0.17</w:t>
                  </w:r>
                </w:p>
              </w:tc>
              <w:tc>
                <w:tcPr/>
                <w:p>
                  <w:pPr>
                    <w:pStyle w:val="Compact"/>
                    <w:jc w:val="right"/>
                    <w:jc w:val="center"/>
                  </w:pPr>
                  <w:r>
                    <w:t xml:space="preserve">-0.37</w:t>
                  </w:r>
                </w:p>
              </w:tc>
              <w:tc>
                <w:tcPr/>
                <w:p>
                  <w:pPr>
                    <w:pStyle w:val="Compact"/>
                    <w:jc w:val="right"/>
                    <w:jc w:val="center"/>
                  </w:pPr>
                  <w:r>
                    <w:t xml:space="preserve">-0.26</w:t>
                  </w:r>
                </w:p>
              </w:tc>
              <w:tc>
                <w:tcPr/>
                <w:p>
                  <w:pPr>
                    <w:pStyle w:val="Compact"/>
                  </w:pPr>
                </w:p>
              </w:tc>
              <w:tc>
                <w:tcPr/>
                <w:p>
                  <w:pPr>
                    <w:pStyle w:val="Compact"/>
                  </w:pPr>
                </w:p>
              </w:tc>
              <w:tc>
                <w:tcPr/>
                <w:p>
                  <w:pPr>
                    <w:pStyle w:val="Compact"/>
                  </w:pPr>
                </w:p>
              </w:tc>
            </w:tr>
            <w:tr>
              <w:tc>
                <w:tcPr/>
                <w:p>
                  <w:pPr>
                    <w:pStyle w:val="Compact"/>
                    <w:jc w:val="left"/>
                    <w:jc w:val="center"/>
                  </w:pPr>
                  <w:r>
                    <w:t xml:space="preserve">7. Environmentalist identity</w:t>
                  </w:r>
                </w:p>
              </w:tc>
              <w:tc>
                <w:tcPr/>
                <w:p>
                  <w:pPr>
                    <w:pStyle w:val="Compact"/>
                    <w:jc w:val="right"/>
                    <w:jc w:val="center"/>
                  </w:pPr>
                  <w:r>
                    <w:t xml:space="preserve">0.24</w:t>
                  </w:r>
                </w:p>
              </w:tc>
              <w:tc>
                <w:tcPr/>
                <w:p>
                  <w:pPr>
                    <w:pStyle w:val="Compact"/>
                    <w:jc w:val="right"/>
                    <w:jc w:val="center"/>
                  </w:pPr>
                  <w:r>
                    <w:t xml:space="preserve">0.43</w:t>
                  </w:r>
                </w:p>
              </w:tc>
              <w:tc>
                <w:tcPr/>
                <w:p>
                  <w:pPr>
                    <w:pStyle w:val="Compact"/>
                    <w:jc w:val="right"/>
                    <w:jc w:val="center"/>
                  </w:pPr>
                  <w:r>
                    <w:t xml:space="preserve">0.00</w:t>
                  </w:r>
                </w:p>
              </w:tc>
              <w:tc>
                <w:tcPr/>
                <w:p>
                  <w:pPr>
                    <w:pStyle w:val="Compact"/>
                    <w:jc w:val="right"/>
                    <w:jc w:val="center"/>
                  </w:pPr>
                  <w:r>
                    <w:t xml:space="preserve">1</w:t>
                  </w:r>
                </w:p>
              </w:tc>
              <w:tc>
                <w:tcPr/>
                <w:p>
                  <w:pPr>
                    <w:pStyle w:val="Compact"/>
                    <w:jc w:val="right"/>
                    <w:jc w:val="center"/>
                  </w:pPr>
                  <w:r>
                    <w:t xml:space="preserve">0.43</w:t>
                  </w:r>
                </w:p>
              </w:tc>
              <w:tc>
                <w:tcPr/>
                <w:p>
                  <w:pPr>
                    <w:pStyle w:val="Compact"/>
                    <w:jc w:val="right"/>
                    <w:jc w:val="center"/>
                  </w:pPr>
                  <w:r>
                    <w:t xml:space="preserve">0.46</w:t>
                  </w:r>
                </w:p>
              </w:tc>
              <w:tc>
                <w:tcPr/>
                <w:p>
                  <w:pPr>
                    <w:pStyle w:val="Compact"/>
                    <w:jc w:val="right"/>
                    <w:jc w:val="center"/>
                  </w:pPr>
                  <w:r>
                    <w:t xml:space="preserve">0.20</w:t>
                  </w:r>
                </w:p>
              </w:tc>
              <w:tc>
                <w:tcPr/>
                <w:p>
                  <w:pPr>
                    <w:pStyle w:val="Compact"/>
                    <w:jc w:val="right"/>
                    <w:jc w:val="center"/>
                  </w:pPr>
                  <w:r>
                    <w:t xml:space="preserve">0.16</w:t>
                  </w:r>
                </w:p>
              </w:tc>
              <w:tc>
                <w:tcPr/>
                <w:p>
                  <w:pPr>
                    <w:pStyle w:val="Compact"/>
                    <w:jc w:val="right"/>
                    <w:jc w:val="center"/>
                  </w:pPr>
                  <w:r>
                    <w:t xml:space="preserve">0.32</w:t>
                  </w:r>
                </w:p>
              </w:tc>
              <w:tc>
                <w:tcPr/>
                <w:p>
                  <w:pPr>
                    <w:pStyle w:val="Compact"/>
                    <w:jc w:val="right"/>
                    <w:jc w:val="center"/>
                  </w:pPr>
                  <w:r>
                    <w:t xml:space="preserve">-0.27</w:t>
                  </w:r>
                </w:p>
              </w:tc>
              <w:tc>
                <w:tcPr/>
                <w:p>
                  <w:pPr>
                    <w:pStyle w:val="Compact"/>
                  </w:pPr>
                </w:p>
              </w:tc>
              <w:tc>
                <w:tcPr/>
                <w:p>
                  <w:pPr>
                    <w:pStyle w:val="Compact"/>
                  </w:pPr>
                </w:p>
              </w:tc>
            </w:tr>
            <w:tr>
              <w:tc>
                <w:tcPr/>
                <w:p>
                  <w:pPr>
                    <w:pStyle w:val="Compact"/>
                    <w:jc w:val="left"/>
                    <w:jc w:val="center"/>
                  </w:pPr>
                  <w:r>
                    <w:t xml:space="preserve">8. Env. movement identity</w:t>
                  </w:r>
                </w:p>
              </w:tc>
              <w:tc>
                <w:tcPr/>
                <w:p>
                  <w:pPr>
                    <w:pStyle w:val="Compact"/>
                    <w:jc w:val="right"/>
                    <w:jc w:val="center"/>
                  </w:pPr>
                  <w:r>
                    <w:t xml:space="preserve">2.73</w:t>
                  </w:r>
                </w:p>
              </w:tc>
              <w:tc>
                <w:tcPr/>
                <w:p>
                  <w:pPr>
                    <w:pStyle w:val="Compact"/>
                    <w:jc w:val="right"/>
                    <w:jc w:val="center"/>
                  </w:pPr>
                  <w:r>
                    <w:t xml:space="preserve">0.74</w:t>
                  </w:r>
                </w:p>
              </w:tc>
              <w:tc>
                <w:tcPr/>
                <w:p>
                  <w:pPr>
                    <w:pStyle w:val="Compact"/>
                    <w:jc w:val="right"/>
                    <w:jc w:val="center"/>
                  </w:pPr>
                  <w:r>
                    <w:t xml:space="preserve">1.00</w:t>
                  </w:r>
                </w:p>
              </w:tc>
              <w:tc>
                <w:tcPr/>
                <w:p>
                  <w:pPr>
                    <w:pStyle w:val="Compact"/>
                    <w:jc w:val="right"/>
                    <w:jc w:val="center"/>
                  </w:pPr>
                  <w:r>
                    <w:t xml:space="preserve">4</w:t>
                  </w:r>
                </w:p>
              </w:tc>
              <w:tc>
                <w:tcPr/>
                <w:p>
                  <w:pPr>
                    <w:pStyle w:val="Compact"/>
                    <w:jc w:val="right"/>
                    <w:jc w:val="center"/>
                  </w:pPr>
                  <w:r>
                    <w:t xml:space="preserve">0.38</w:t>
                  </w:r>
                </w:p>
              </w:tc>
              <w:tc>
                <w:tcPr/>
                <w:p>
                  <w:pPr>
                    <w:pStyle w:val="Compact"/>
                    <w:jc w:val="right"/>
                    <w:jc w:val="center"/>
                  </w:pPr>
                  <w:r>
                    <w:t xml:space="preserve">0.30</w:t>
                  </w:r>
                </w:p>
              </w:tc>
              <w:tc>
                <w:tcPr/>
                <w:p>
                  <w:pPr>
                    <w:pStyle w:val="Compact"/>
                    <w:jc w:val="right"/>
                    <w:jc w:val="center"/>
                  </w:pPr>
                  <w:r>
                    <w:t xml:space="preserve">0.35</w:t>
                  </w:r>
                </w:p>
              </w:tc>
              <w:tc>
                <w:tcPr/>
                <w:p>
                  <w:pPr>
                    <w:pStyle w:val="Compact"/>
                    <w:jc w:val="right"/>
                    <w:jc w:val="center"/>
                  </w:pPr>
                  <w:r>
                    <w:t xml:space="preserve">0.46</w:t>
                  </w:r>
                </w:p>
              </w:tc>
              <w:tc>
                <w:tcPr/>
                <w:p>
                  <w:pPr>
                    <w:pStyle w:val="Compact"/>
                    <w:jc w:val="right"/>
                    <w:jc w:val="center"/>
                  </w:pPr>
                  <w:r>
                    <w:t xml:space="preserve">0.41</w:t>
                  </w:r>
                </w:p>
              </w:tc>
              <w:tc>
                <w:tcPr/>
                <w:p>
                  <w:pPr>
                    <w:pStyle w:val="Compact"/>
                    <w:jc w:val="right"/>
                    <w:jc w:val="center"/>
                  </w:pPr>
                  <w:r>
                    <w:t xml:space="preserve">-0.31</w:t>
                  </w:r>
                </w:p>
              </w:tc>
              <w:tc>
                <w:tcPr/>
                <w:p>
                  <w:pPr>
                    <w:pStyle w:val="Compact"/>
                    <w:jc w:val="right"/>
                    <w:jc w:val="center"/>
                  </w:pPr>
                  <w:r>
                    <w:t xml:space="preserve">0.3</w:t>
                  </w:r>
                </w:p>
              </w:tc>
              <w:tc>
                <w:tcPr/>
                <w:p>
                  <w:pPr>
                    <w:pStyle w:val="Compact"/>
                  </w:pPr>
                </w:p>
              </w:tc>
            </w:tr>
          </w:tbl>
          <w:bookmarkEnd w:id="13"/>
          <w:p/>
        </w:tc>
      </w:tr>
    </w:tbl>
    <w:bookmarkEnd w:id="14"/>
    <w:bookmarkStart w:id="27" w:name="results"/>
    <w:p>
      <w:pPr>
        <w:pStyle w:val="Heading2"/>
      </w:pPr>
      <w:r>
        <w:t xml:space="preserve">Results</w:t>
      </w:r>
    </w:p>
    <w:bookmarkStart w:id="19" w:name="environmental-belief-system-network"/>
    <w:p>
      <w:pPr>
        <w:pStyle w:val="Heading3"/>
      </w:pPr>
      <w:r>
        <w:t xml:space="preserve">Environmental Belief System Network</w:t>
      </w:r>
    </w:p>
    <w:tbl>
      <w:tblPr>
        <w:tblStyle w:val="Table"/>
        <w:tblW w:type="pct" w:w="5000"/>
        <w:tblLayout w:type="fixed"/>
        <w:tblLook w:firstRow="0" w:lastRow="0" w:firstColumn="0" w:lastColumn="0" w:noHBand="0" w:noVBand="0" w:val="0000"/>
      </w:tblPr>
      <w:tblGrid>
        <w:gridCol w:w="7920"/>
      </w:tblGrid>
      <w:tr>
        <w:tc>
          <w:tcPr/>
          <w:bookmarkStart w:id="18" w:name="fig-envNetwork"/>
          <w:p>
            <w:pPr>
              <w:jc w:val="center"/>
            </w:pPr>
            <w:pPr>
              <w:jc w:val="left"/>
              <w:spacing w:before="200"/>
              <w:pStyle w:val="ImageCaption"/>
            </w:pPr>
            <w:r>
              <w:t xml:space="preserve">Figure 1: Environmental Belief System Network</w:t>
            </w:r>
          </w:p>
          <w:p>
            <w:pPr>
              <w:pStyle w:val="Compact"/>
              <w:jc w:val="center"/>
            </w:pPr>
            <w:r>
              <w:drawing>
                <wp:inline>
                  <wp:extent cx="5334000" cy="4267200"/>
                  <wp:effectExtent b="0" l="0" r="0" t="0"/>
                  <wp:docPr descr="" title="" id="16" name="Picture"/>
                  <a:graphic>
                    <a:graphicData uri="http://schemas.openxmlformats.org/drawingml/2006/picture">
                      <pic:pic>
                        <pic:nvPicPr>
                          <pic:cNvPr descr="environ-beliefs_files/figure-docx/fig-envNetwork-1.png" id="17" name="Picture"/>
                          <pic:cNvPicPr>
                            <a:picLocks noChangeArrowheads="1" noChangeAspect="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bookmarkEnd w:id="18"/>
        </w:tc>
      </w:tr>
    </w:tbl>
    <w:bookmarkEnd w:id="19"/>
    <w:bookmarkStart w:id="24" w:name="X529939c2a4a1986931c1ccf9b2f145d9b28852f"/>
    <w:p>
      <w:pPr>
        <w:pStyle w:val="Heading3"/>
      </w:pPr>
      <w:r>
        <w:t xml:space="preserve">Environmental Belief System Network with Behavior</w:t>
      </w:r>
    </w:p>
    <w:tbl>
      <w:tblPr>
        <w:tblStyle w:val="Table"/>
        <w:tblW w:type="pct" w:w="5000"/>
        <w:tblLayout w:type="fixed"/>
        <w:tblLook w:firstRow="0" w:lastRow="0" w:firstColumn="0" w:lastColumn="0" w:noHBand="0" w:noVBand="0" w:val="0000"/>
      </w:tblPr>
      <w:tblGrid>
        <w:gridCol w:w="7920"/>
      </w:tblGrid>
      <w:tr>
        <w:tc>
          <w:tcPr/>
          <w:bookmarkStart w:id="23" w:name="fig-combineNetwork2"/>
          <w:p>
            <w:pPr>
              <w:jc w:val="center"/>
            </w:pPr>
            <w:pPr>
              <w:jc w:val="left"/>
              <w:spacing w:before="200"/>
              <w:pStyle w:val="ImageCaption"/>
            </w:pPr>
            <w:r>
              <w:t xml:space="preserve">Figure 2: Environmental Belief System Network with Behavior</w:t>
            </w:r>
          </w:p>
          <w:p>
            <w:pPr>
              <w:pStyle w:val="Compact"/>
              <w:jc w:val="center"/>
            </w:pPr>
            <w:r>
              <w:drawing>
                <wp:inline>
                  <wp:extent cx="5334000" cy="4267200"/>
                  <wp:effectExtent b="0" l="0" r="0" t="0"/>
                  <wp:docPr descr="" title="" id="21" name="Picture"/>
                  <a:graphic>
                    <a:graphicData uri="http://schemas.openxmlformats.org/drawingml/2006/picture">
                      <pic:pic>
                        <pic:nvPicPr>
                          <pic:cNvPr descr="environ-beliefs_files/figure-docx/fig-combineNetwork2-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bookmarkEnd w:id="23"/>
        </w:tc>
      </w:tr>
    </w:tbl>
    <w:bookmarkEnd w:id="24"/>
    <w:bookmarkStart w:id="26" w:name="shortest-paths-from-beliefs-to-behavior"/>
    <w:p>
      <w:pPr>
        <w:pStyle w:val="Heading3"/>
      </w:pPr>
      <w:r>
        <w:t xml:space="preserve">Shortest paths from beliefs to behavior</w:t>
      </w:r>
    </w:p>
    <w:tbl>
      <w:tblPr>
        <w:tblStyle w:val="Table"/>
        <w:tblW w:type="pct" w:w="5000"/>
        <w:tblLayout w:type="fixed"/>
        <w:tblLook w:firstRow="0" w:lastRow="0" w:firstColumn="0" w:lastColumn="0" w:noHBand="0" w:noVBand="0" w:val="0000"/>
      </w:tblPr>
      <w:tblGrid>
        <w:gridCol w:w="7920"/>
      </w:tblGrid>
      <w:tr>
        <w:tc>
          <w:tcPr/>
          <w:bookmarkStart w:id="25" w:name="tbl-spl"/>
          <w:p>
            <w:pPr>
              <w:jc w:val="center"/>
            </w:pPr>
            <w:pPr>
              <w:jc w:val="left"/>
              <w:spacing w:before="200"/>
              <w:pStyle w:val="ImageCaption"/>
            </w:pPr>
            <w:r>
              <w:t xml:space="preserve">Table 2: Weighted shortest-path distance (Dijkstra on 1 / |edge weight|) from each belief node to the public and private behavior nodes, with 95 percent bootstrap percentile intervals from 1,000 resamples. Rows ordered by mean distance, and a smaller distance indicates a belief closer to behavior.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Belief</w:t>
                  </w:r>
                </w:p>
              </w:tc>
              <w:tc>
                <w:tcPr/>
                <w:p>
                  <w:pPr>
                    <w:pStyle w:val="Compact"/>
                    <w:jc w:val="left"/>
                    <w:jc w:val="center"/>
                  </w:pPr>
                  <w:r>
                    <w:t xml:space="preserve">To public</w:t>
                  </w:r>
                </w:p>
              </w:tc>
              <w:tc>
                <w:tcPr/>
                <w:p>
                  <w:pPr>
                    <w:pStyle w:val="Compact"/>
                    <w:jc w:val="left"/>
                    <w:jc w:val="center"/>
                  </w:pPr>
                  <w:r>
                    <w:t xml:space="preserve">To private</w:t>
                  </w:r>
                </w:p>
              </w:tc>
              <w:tc>
                <w:tcPr/>
                <w:p>
                  <w:pPr>
                    <w:pStyle w:val="Compact"/>
                    <w:jc w:val="right"/>
                    <w:jc w:val="center"/>
                  </w:pPr>
                  <w:r>
                    <w:t xml:space="preserve">Mean distance</w:t>
                  </w:r>
                </w:p>
              </w:tc>
            </w:tr>
            <w:tr>
              <w:tc>
                <w:tcPr/>
                <w:p>
                  <w:pPr>
                    <w:pStyle w:val="Compact"/>
                    <w:jc w:val="left"/>
                    <w:jc w:val="center"/>
                  </w:pPr>
                  <w:r>
                    <w:t xml:space="preserve">environmentalist</w:t>
                  </w:r>
                </w:p>
              </w:tc>
              <w:tc>
                <w:tcPr/>
                <w:p>
                  <w:pPr>
                    <w:pStyle w:val="Compact"/>
                    <w:jc w:val="left"/>
                    <w:jc w:val="center"/>
                  </w:pPr>
                  <w:r>
                    <w:t xml:space="preserve">2.7 [2.3, 3.5]</w:t>
                  </w:r>
                </w:p>
              </w:tc>
              <w:tc>
                <w:tcPr/>
                <w:p>
                  <w:pPr>
                    <w:pStyle w:val="Compact"/>
                    <w:jc w:val="left"/>
                    <w:jc w:val="center"/>
                  </w:pPr>
                  <w:r>
                    <w:t xml:space="preserve">7.3 [6.2, 8.6]</w:t>
                  </w:r>
                </w:p>
              </w:tc>
              <w:tc>
                <w:tcPr/>
                <w:p>
                  <w:pPr>
                    <w:pStyle w:val="Compact"/>
                    <w:jc w:val="right"/>
                    <w:jc w:val="center"/>
                  </w:pPr>
                  <w:r>
                    <w:t xml:space="preserve">5.0</w:t>
                  </w:r>
                </w:p>
              </w:tc>
            </w:tr>
            <w:tr>
              <w:tc>
                <w:tcPr/>
                <w:p>
                  <w:pPr>
                    <w:pStyle w:val="Compact"/>
                    <w:jc w:val="left"/>
                    <w:jc w:val="center"/>
                  </w:pPr>
                  <w:r>
                    <w:t xml:space="preserve">CNS</w:t>
                  </w:r>
                </w:p>
              </w:tc>
              <w:tc>
                <w:tcPr/>
                <w:p>
                  <w:pPr>
                    <w:pStyle w:val="Compact"/>
                    <w:jc w:val="left"/>
                    <w:jc w:val="center"/>
                  </w:pPr>
                  <w:r>
                    <w:t xml:space="preserve">7.0 [5.8, 8.8]</w:t>
                  </w:r>
                </w:p>
              </w:tc>
              <w:tc>
                <w:tcPr/>
                <w:p>
                  <w:pPr>
                    <w:pStyle w:val="Compact"/>
                    <w:jc w:val="left"/>
                    <w:jc w:val="center"/>
                  </w:pPr>
                  <w:r>
                    <w:t xml:space="preserve">3.8 [3.1, 5.2]</w:t>
                  </w:r>
                </w:p>
              </w:tc>
              <w:tc>
                <w:tcPr/>
                <w:p>
                  <w:pPr>
                    <w:pStyle w:val="Compact"/>
                    <w:jc w:val="right"/>
                    <w:jc w:val="center"/>
                  </w:pPr>
                  <w:r>
                    <w:t xml:space="preserve">5.4</w:t>
                  </w:r>
                </w:p>
              </w:tc>
            </w:tr>
            <w:tr>
              <w:tc>
                <w:tcPr/>
                <w:p>
                  <w:pPr>
                    <w:pStyle w:val="Compact"/>
                    <w:jc w:val="left"/>
                    <w:jc w:val="center"/>
                  </w:pPr>
                  <w:r>
                    <w:t xml:space="preserve">enviro.move</w:t>
                  </w:r>
                </w:p>
              </w:tc>
              <w:tc>
                <w:tcPr/>
                <w:p>
                  <w:pPr>
                    <w:pStyle w:val="Compact"/>
                    <w:jc w:val="left"/>
                    <w:jc w:val="center"/>
                  </w:pPr>
                  <w:r>
                    <w:t xml:space="preserve">7.2 [5.8, 10.3]</w:t>
                  </w:r>
                </w:p>
              </w:tc>
              <w:tc>
                <w:tcPr/>
                <w:p>
                  <w:pPr>
                    <w:pStyle w:val="Compact"/>
                    <w:jc w:val="left"/>
                    <w:jc w:val="center"/>
                  </w:pPr>
                  <w:r>
                    <w:t xml:space="preserve">5.4 [4.0, 9.2]</w:t>
                  </w:r>
                </w:p>
              </w:tc>
              <w:tc>
                <w:tcPr/>
                <w:p>
                  <w:pPr>
                    <w:pStyle w:val="Compact"/>
                    <w:jc w:val="right"/>
                    <w:jc w:val="center"/>
                  </w:pPr>
                  <w:r>
                    <w:t xml:space="preserve">6.3</w:t>
                  </w:r>
                </w:p>
              </w:tc>
            </w:tr>
            <w:tr>
              <w:tc>
                <w:tcPr/>
                <w:p>
                  <w:pPr>
                    <w:pStyle w:val="Compact"/>
                    <w:jc w:val="left"/>
                    <w:jc w:val="center"/>
                  </w:pPr>
                  <w:r>
                    <w:t xml:space="preserve">NEP</w:t>
                  </w:r>
                </w:p>
              </w:tc>
              <w:tc>
                <w:tcPr/>
                <w:p>
                  <w:pPr>
                    <w:pStyle w:val="Compact"/>
                    <w:jc w:val="left"/>
                    <w:jc w:val="center"/>
                  </w:pPr>
                  <w:r>
                    <w:t xml:space="preserve">10.5 [7.5, 11.9]</w:t>
                  </w:r>
                </w:p>
              </w:tc>
              <w:tc>
                <w:tcPr/>
                <w:p>
                  <w:pPr>
                    <w:pStyle w:val="Compact"/>
                    <w:jc w:val="left"/>
                    <w:jc w:val="center"/>
                  </w:pPr>
                  <w:r>
                    <w:t xml:space="preserve">7.7 [6.4, 8.8]</w:t>
                  </w:r>
                </w:p>
              </w:tc>
              <w:tc>
                <w:tcPr/>
                <w:p>
                  <w:pPr>
                    <w:pStyle w:val="Compact"/>
                    <w:jc w:val="right"/>
                    <w:jc w:val="center"/>
                  </w:pPr>
                  <w:r>
                    <w:t xml:space="preserve">9.1</w:t>
                  </w:r>
                </w:p>
              </w:tc>
            </w:tr>
            <w:tr>
              <w:tc>
                <w:tcPr/>
                <w:p>
                  <w:pPr>
                    <w:pStyle w:val="Compact"/>
                    <w:jc w:val="left"/>
                    <w:jc w:val="center"/>
                  </w:pPr>
                  <w:r>
                    <w:t xml:space="preserve">Ideology</w:t>
                  </w:r>
                </w:p>
              </w:tc>
              <w:tc>
                <w:tcPr/>
                <w:p>
                  <w:pPr>
                    <w:pStyle w:val="Compact"/>
                    <w:jc w:val="left"/>
                    <w:jc w:val="center"/>
                  </w:pPr>
                  <w:r>
                    <w:t xml:space="preserve">7.8 [5.7, 10.3]</w:t>
                  </w:r>
                </w:p>
              </w:tc>
              <w:tc>
                <w:tcPr/>
                <w:p>
                  <w:pPr>
                    <w:pStyle w:val="Compact"/>
                    <w:jc w:val="left"/>
                    <w:jc w:val="center"/>
                  </w:pPr>
                  <w:r>
                    <w:t xml:space="preserve">11.6 [8.2, 13.0]</w:t>
                  </w:r>
                </w:p>
              </w:tc>
              <w:tc>
                <w:tcPr/>
                <w:p>
                  <w:pPr>
                    <w:pStyle w:val="Compact"/>
                    <w:jc w:val="right"/>
                    <w:jc w:val="center"/>
                  </w:pPr>
                  <w:r>
                    <w:t xml:space="preserve">9.7</w:t>
                  </w:r>
                </w:p>
              </w:tc>
            </w:tr>
          </w:tbl>
          <w:bookmarkEnd w:id="25"/>
          <w:p/>
        </w:tc>
      </w:tr>
    </w:tbl>
    <w:bookmarkEnd w:id="26"/>
    <w:bookmarkEnd w:id="27"/>
    <w:bookmarkEnd w:id="28"/>
    <w:bookmarkStart w:id="36" w:name="study-2"/>
    <w:p>
      <w:pPr>
        <w:pStyle w:val="Heading1"/>
      </w:pPr>
      <w:r>
        <w:t xml:space="preserve">Study 2</w:t>
      </w:r>
    </w:p>
    <w:bookmarkStart w:id="29" w:name="data-and-measures-1"/>
    <w:p>
      <w:pPr>
        <w:pStyle w:val="Heading2"/>
      </w:pPr>
      <w:r>
        <w:t xml:space="preserve">Data and Measures</w:t>
      </w:r>
    </w:p>
    <w:p>
      <w:pPr>
        <w:pStyle w:val="FirstParagraph"/>
      </w:pPr>
      <w:r>
        <w:t xml:space="preserve">For the second study I use data from the 2020 wave of the International Social Survey Programme (ISSP) environment module, which surveyed 44,100 respondents across 28 countries. The module repeats a set of environmental attitude and behavior items that have been fielded since 1993, and it allows the belief network approach to be examined outside the United States.</w:t>
      </w:r>
    </w:p>
    <w:p>
      <w:pPr>
        <w:pStyle w:val="BodyText"/>
      </w:pPr>
      <w:r>
        <w:t xml:space="preserve">The ISSP does not include the NEP or CNS scales, so I construct comparable belief measures from the module’s attitude items. Using exploratory graph analysis I identify four belief dimensions and score each as the mean of its items, oriented so that higher values indicate more pro-environmental positions. Environmental commitment combines concern about the environment with willingness to pay higher prices and taxes and a personal norm to act (α = 0.75). Ecological worldview captures low environmental and climate-change skepticism and is the closest available analog to the NEP (α = 0.76). Perceived threat is the mean of seven items rating the danger posed by specific environmental hazards (α = 0.80). Nature affinity combines enjoyment of nature with the frequency of outdoor leisure and is a thin analog to the CNS (α = 0.61). I also include a left-right ideology measure based on the party the respondent reports voting for. The supplemental materials describe the scale construction.</w:t>
      </w:r>
    </w:p>
    <w:p>
      <w:pPr>
        <w:pStyle w:val="BodyText"/>
      </w:pPr>
      <w:r>
        <w:t xml:space="preserve">The dependent variable is again pro-environmental behavior, measured with the same public and private distinction used in Study 1. The ISSP asks about six behaviors with a close counterpart in the 2000 Gallup items. Public behavior is a count of four collective actions, membership in an environmental group, signing a petition, donating money, and taking part in a protest. Private behavior is a count of two household actions, recycling and avoiding environmentally harmful products. Exploratory graph analysis of the six items recovers this public-private grouping.</w:t>
      </w:r>
    </w:p>
    <w:bookmarkEnd w:id="29"/>
    <w:bookmarkStart w:id="35" w:name="results-1"/>
    <w:p>
      <w:pPr>
        <w:pStyle w:val="Heading2"/>
      </w:pPr>
      <w:r>
        <w:t xml:space="preserve">Results</w:t>
      </w:r>
    </w:p>
    <w:p>
      <w:pPr>
        <w:pStyle w:val="FirstParagraph"/>
      </w:pPr>
      <w:r>
        <w:t xml:space="preserve">I estimate a separate belief network for each of the 28 countries, following the Study 1 procedure, and compute the shortest path from each belief to the public and private behavior nodes. Figure 3 shows the networks for four countries that span the range of results. In Switzerland, the typical case, environmental commitment is closest to behavior. In the United States the ordering is close to a three-way tie among environmental commitment, ideology, and nature affinity. India and Australia are the two countries where a different belief, nature affinity and ideology respectively, has the shortest path.</w:t>
      </w:r>
    </w:p>
    <w:p>
      <w:pPr>
        <w:pStyle w:val="BodyText"/>
      </w:pPr>
      <w:r>
        <w:t xml:space="preserve">Table 3 reports the mean rank of each belief across countries, where a rank of one identifies the belief closest to behavior in a given country. The pattern matches Study 1. Environmental commitment has the shortest mean path to behavior in 24 of 28 countries, and ecological worldview is next. Perceived threat, nature affinity, and ideology are peripheral. A nonparametric bootstrap with 1,000 resamples per country shows that this ordering is stable. The belief identified as closest holds in a majority of resamples in 27 of 28 countries, so the cross-country regularity is not an artifact of a few unstable networks.</w:t>
      </w:r>
    </w:p>
    <w:tbl>
      <w:tblPr>
        <w:tblStyle w:val="Table"/>
        <w:tblW w:type="pct" w:w="5000"/>
        <w:tblLayout w:type="fixed"/>
        <w:tblLook w:firstRow="0" w:lastRow="0" w:firstColumn="0" w:lastColumn="0" w:noHBand="0" w:noVBand="0" w:val="0000"/>
      </w:tblPr>
      <w:tblGrid>
        <w:gridCol w:w="7920"/>
      </w:tblGrid>
      <w:tr>
        <w:tc>
          <w:tcPr/>
          <w:bookmarkStart w:id="33" w:name="fig-issp-networks"/>
          <w:p>
            <w:pPr>
              <w:jc w:val="center"/>
            </w:pPr>
            <w:pPr>
              <w:jc w:val="left"/>
              <w:spacing w:before="200"/>
              <w:pStyle w:val="ImageCaption"/>
            </w:pPr>
            <w:r>
              <w:t xml:space="preserve">Figure 3: Belief networks for four illustrative Study 2 countries. Blue nodes are the belief measures (commit = environmental commitment, world = ecological worldview, threat = perceived threat, nature = nature affinity, L-R = left-right ideology), orange nodes are the public and private behavior indices. Solid edges are positive regularized partial correlations and dashed edges negative, with thicker edges indicating stronger associations.</w:t>
            </w:r>
          </w:p>
          <w:p>
            <w:pPr>
              <w:pStyle w:val="Compact"/>
              <w:jc w:val="center"/>
            </w:pPr>
            <w:r>
              <w:drawing>
                <wp:inline>
                  <wp:extent cx="5334000" cy="5334000"/>
                  <wp:effectExtent b="0" l="0" r="0" t="0"/>
                  <wp:docPr descr="" title="" id="31" name="Picture"/>
                  <a:graphic>
                    <a:graphicData uri="http://schemas.openxmlformats.org/drawingml/2006/picture">
                      <pic:pic>
                        <pic:nvPicPr>
                          <pic:cNvPr descr="environ-beliefs_files/figure-docx/fig-issp-networks-1.pn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bookmarkEnd w:id="33"/>
        </w:tc>
      </w:tr>
    </w:tbl>
    <w:tbl>
      <w:tblPr>
        <w:tblStyle w:val="Table"/>
        <w:tblW w:type="pct" w:w="5000"/>
        <w:tblLayout w:type="fixed"/>
        <w:tblLook w:firstRow="0" w:lastRow="0" w:firstColumn="0" w:lastColumn="0" w:noHBand="0" w:noVBand="0" w:val="0000"/>
      </w:tblPr>
      <w:tblGrid>
        <w:gridCol w:w="7920"/>
      </w:tblGrid>
      <w:tr>
        <w:tc>
          <w:tcPr/>
          <w:bookmarkStart w:id="34" w:name="tbl-issp-results"/>
          <w:p>
            <w:pPr>
              <w:jc w:val="center"/>
            </w:pPr>
            <w:pPr>
              <w:jc w:val="left"/>
              <w:spacing w:before="200"/>
              <w:pStyle w:val="ImageCaption"/>
            </w:pPr>
            <w:r>
              <w:t xml:space="preserve">Table 3: Mean rank of each Study 2 belief across the 28 ISSP countries (1 = closest to behavior).</w:t>
            </w:r>
            <w:r>
              <w:t xml:space="preserve"> </w:t>
            </w:r>
            <w:r>
              <w:t xml:space="preserve">‘Closest in’</w:t>
            </w:r>
            <w:r>
              <w:t xml:space="preserve"> </w:t>
            </w:r>
            <w:r>
              <w:t xml:space="preserve">counts the countries where the belief has the shortest mean path to behavior, and</w:t>
            </w:r>
            <w:r>
              <w:t xml:space="preserve"> </w:t>
            </w:r>
            <w:r>
              <w:t xml:space="preserve">‘bootstrap-supported’</w:t>
            </w:r>
            <w:r>
              <w:t xml:space="preserve"> </w:t>
            </w:r>
            <w:r>
              <w:t xml:space="preserve">the subset where it holds in a majority of 1,000 resamples.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Belief</w:t>
                  </w:r>
                </w:p>
              </w:tc>
              <w:tc>
                <w:tcPr/>
                <w:p>
                  <w:pPr>
                    <w:pStyle w:val="Compact"/>
                    <w:jc w:val="right"/>
                    <w:jc w:val="center"/>
                  </w:pPr>
                  <w:r>
                    <w:t xml:space="preserve">Mean rank</w:t>
                  </w:r>
                </w:p>
              </w:tc>
              <w:tc>
                <w:tcPr/>
                <w:p>
                  <w:pPr>
                    <w:pStyle w:val="Compact"/>
                    <w:jc w:val="right"/>
                    <w:jc w:val="center"/>
                  </w:pPr>
                  <w:r>
                    <w:t xml:space="preserve">Closest in</w:t>
                  </w:r>
                </w:p>
              </w:tc>
              <w:tc>
                <w:tcPr/>
                <w:p>
                  <w:pPr>
                    <w:pStyle w:val="Compact"/>
                    <w:jc w:val="right"/>
                    <w:jc w:val="center"/>
                  </w:pPr>
                  <w:r>
                    <w:t xml:space="preserve">Bootstrap-supported</w:t>
                  </w:r>
                </w:p>
              </w:tc>
            </w:tr>
            <w:tr>
              <w:tc>
                <w:tcPr/>
                <w:p>
                  <w:pPr>
                    <w:pStyle w:val="Compact"/>
                    <w:jc w:val="left"/>
                    <w:jc w:val="center"/>
                  </w:pPr>
                  <w:r>
                    <w:t xml:space="preserve">Environmental commitment</w:t>
                  </w:r>
                </w:p>
              </w:tc>
              <w:tc>
                <w:tcPr/>
                <w:p>
                  <w:pPr>
                    <w:pStyle w:val="Compact"/>
                    <w:jc w:val="right"/>
                    <w:jc w:val="center"/>
                  </w:pPr>
                  <w:r>
                    <w:t xml:space="preserve">1.25</w:t>
                  </w:r>
                </w:p>
              </w:tc>
              <w:tc>
                <w:tcPr/>
                <w:p>
                  <w:pPr>
                    <w:pStyle w:val="Compact"/>
                    <w:jc w:val="right"/>
                    <w:jc w:val="center"/>
                  </w:pPr>
                  <w:r>
                    <w:t xml:space="preserve">24</w:t>
                  </w:r>
                </w:p>
              </w:tc>
              <w:tc>
                <w:tcPr/>
                <w:p>
                  <w:pPr>
                    <w:pStyle w:val="Compact"/>
                    <w:jc w:val="right"/>
                    <w:jc w:val="center"/>
                  </w:pPr>
                  <w:r>
                    <w:t xml:space="preserve">24</w:t>
                  </w:r>
                </w:p>
              </w:tc>
            </w:tr>
            <w:tr>
              <w:tc>
                <w:tcPr/>
                <w:p>
                  <w:pPr>
                    <w:pStyle w:val="Compact"/>
                    <w:jc w:val="left"/>
                    <w:jc w:val="center"/>
                  </w:pPr>
                  <w:r>
                    <w:t xml:space="preserve">Ecological worldview</w:t>
                  </w:r>
                </w:p>
              </w:tc>
              <w:tc>
                <w:tcPr/>
                <w:p>
                  <w:pPr>
                    <w:pStyle w:val="Compact"/>
                    <w:jc w:val="right"/>
                    <w:jc w:val="center"/>
                  </w:pPr>
                  <w:r>
                    <w:t xml:space="preserve">2.50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Nature affinity</w:t>
                  </w:r>
                </w:p>
              </w:tc>
              <w:tc>
                <w:tcPr/>
                <w:p>
                  <w:pPr>
                    <w:pStyle w:val="Compact"/>
                    <w:jc w:val="right"/>
                    <w:jc w:val="center"/>
                  </w:pPr>
                  <w:r>
                    <w:t xml:space="preserve">3.00</w:t>
                  </w:r>
                </w:p>
              </w:tc>
              <w:tc>
                <w:tcPr/>
                <w:p>
                  <w:pPr>
                    <w:pStyle w:val="Compact"/>
                    <w:jc w:val="right"/>
                    <w:jc w:val="center"/>
                  </w:pPr>
                  <w:r>
                    <w:t xml:space="preserve">3</w:t>
                  </w:r>
                </w:p>
              </w:tc>
              <w:tc>
                <w:tcPr/>
                <w:p>
                  <w:pPr>
                    <w:pStyle w:val="Compact"/>
                    <w:jc w:val="right"/>
                    <w:jc w:val="center"/>
                  </w:pPr>
                  <w:r>
                    <w:t xml:space="preserve">2</w:t>
                  </w:r>
                </w:p>
              </w:tc>
            </w:tr>
            <w:tr>
              <w:tc>
                <w:tcPr/>
                <w:p>
                  <w:pPr>
                    <w:pStyle w:val="Compact"/>
                    <w:jc w:val="left"/>
                    <w:jc w:val="center"/>
                  </w:pPr>
                  <w:r>
                    <w:t xml:space="preserve">Perceived threat</w:t>
                  </w:r>
                </w:p>
              </w:tc>
              <w:tc>
                <w:tcPr/>
                <w:p>
                  <w:pPr>
                    <w:pStyle w:val="Compact"/>
                    <w:jc w:val="right"/>
                    <w:jc w:val="center"/>
                  </w:pPr>
                  <w:r>
                    <w:t xml:space="preserve">3.82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Ideology (left-right)</w:t>
                  </w:r>
                </w:p>
              </w:tc>
              <w:tc>
                <w:tcPr/>
                <w:p>
                  <w:pPr>
                    <w:pStyle w:val="Compact"/>
                    <w:jc w:val="right"/>
                    <w:jc w:val="center"/>
                  </w:pPr>
                  <w:r>
                    <w:t xml:space="preserve">4.06</w:t>
                  </w:r>
                </w:p>
              </w:tc>
              <w:tc>
                <w:tcPr/>
                <w:p>
                  <w:pPr>
                    <w:pStyle w:val="Compact"/>
                    <w:jc w:val="right"/>
                    <w:jc w:val="center"/>
                  </w:pPr>
                  <w:r>
                    <w:t xml:space="preserve">1</w:t>
                  </w:r>
                </w:p>
              </w:tc>
              <w:tc>
                <w:tcPr/>
                <w:p>
                  <w:pPr>
                    <w:pStyle w:val="Compact"/>
                    <w:jc w:val="right"/>
                    <w:jc w:val="center"/>
                  </w:pPr>
                  <w:r>
                    <w:t xml:space="preserve">1</w:t>
                  </w:r>
                </w:p>
              </w:tc>
            </w:tr>
          </w:tbl>
          <w:bookmarkEnd w:id="34"/>
          <w:p/>
        </w:tc>
      </w:tr>
    </w:tbl>
    <w:p>
      <w:pPr>
        <w:pStyle w:val="BodyText"/>
      </w:pPr>
      <w:r>
        <w:t xml:space="preserve">As noted, the belief that combines concern, willingness to pay, and a personal norm to act sits closest to behavior in both studies, while the more abstract worldview measures are further away. This is likely because beliefs tied to identity and personal commitment are more proximate to action than beliefs about how the natural world works.</w:t>
      </w:r>
    </w:p>
    <w:p>
      <w:r>
        <w:br w:type="page"/>
      </w:r>
    </w:p>
    <w:bookmarkEnd w:id="35"/>
    <w:bookmarkEnd w:id="36"/>
    <w:bookmarkStart w:id="37" w:name="references"/>
    <w:p>
      <w:pPr>
        <w:pStyle w:val="Heading1"/>
      </w:pPr>
      <w:r>
        <w:t xml:space="preserve">References</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Associate Professor, Department of Political Science, University of Texas at Arlington. Email: matthew.nowlin@uta.edu</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left"/>
    </w:pPr>
    <w:rPr>
      <w:b/>
      <w:bCs/>
      <w:rFonts w:asciiTheme="majorHAnsi" w:cstheme="majorBidi" w:eastAsiaTheme="majorEastAsia" w:hAnsiTheme="majorHAnsi"/>
      <w:sz w:val="36"/>
      <w:szCs w:val="36"/>
    </w:rPr>
  </w:style>
  <w:style w:customStyle="1" w:styleId="TitleChar" w:type="character">
    <w:name w:val="Title Char"/>
    <w:basedOn w:val="DefaultParagraphFont"/>
    <w:link w:val="Title"/>
    <w:uiPriority w:val="10"/>
    <w:rsid w:val="00A10FD9"/>
    <w:rPr>
      <w:b/>
      <w:bCs/>
      <w:rFonts w:asciiTheme="majorHAnsi" w:cstheme="majorBidi" w:eastAsiaTheme="majorEastAsia" w:hAnsiTheme="majorHAnsi"/>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sz w:val="24"/>
      <w:szCs w:val="24"/>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sz w:val="24"/>
      <w:szCs w:val="24"/>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sz w:val="24"/>
      <w:szCs w:val="24"/>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b/>
      <w:bCs/>
      <w:sz w:val="24"/>
      <w:szCs w:val="24"/>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b/>
      <w:bCs/>
      <w:sz w:val="24"/>
      <w:szCs w:val="24"/>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b/>
      <w:bCs/>
      <w:sz w:val="24"/>
      <w:szCs w:val="24"/>
      <w:rFonts w:cstheme="majorBidi" w:eastAsiaTheme="majorEastAsia"/>
    </w:rPr>
  </w:style>
  <w:style w:customStyle="1" w:styleId="Heading1Char" w:type="character">
    <w:name w:val="Heading 1 Char"/>
    <w:basedOn w:val="DefaultParagraphFont"/>
    <w:link w:val="Heading1"/>
    <w:uiPriority w:val="9"/>
    <w:rsid w:val="00A10FD9"/>
    <w:rPr>
      <w:b/>
      <w:bCs/>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b/>
      <w:bCs/>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b/>
      <w:bCs/>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b/>
      <w:bCs/>
      <w:rFonts w:cstheme="majorBidi" w:eastAsiaTheme="majorEastAsia"/>
      <w:i/>
      <w:iCs/>
    </w:rPr>
  </w:style>
  <w:style w:customStyle="1" w:styleId="Heading5Char" w:type="character">
    <w:name w:val="Heading 5 Char"/>
    <w:basedOn w:val="DefaultParagraphFont"/>
    <w:link w:val="Heading5"/>
    <w:uiPriority w:val="9"/>
    <w:semiHidden/>
    <w:rsid w:val="00A10FD9"/>
    <w:rPr>
      <w:b/>
      <w:bCs/>
      <w:rFonts w:cstheme="majorBidi" w:eastAsiaTheme="majorEastAsia"/>
    </w:rPr>
  </w:style>
  <w:style w:customStyle="1" w:styleId="Heading6Char" w:type="character">
    <w:name w:val="Heading 6 Char"/>
    <w:basedOn w:val="DefaultParagraphFont"/>
    <w:link w:val="Heading6"/>
    <w:uiPriority w:val="9"/>
    <w:semiHidden/>
    <w:rsid w:val="00A10FD9"/>
    <w:rPr>
      <w:b/>
      <w:bCs/>
      <w:rFonts w:cstheme="majorBidi" w:eastAsiaTheme="majorEastAsia"/>
      <w:i/>
      <w:iCs/>
    </w:rPr>
  </w:style>
  <w:style w:customStyle="1" w:styleId="Heading7Char" w:type="character">
    <w:name w:val="Heading 7 Char"/>
    <w:basedOn w:val="DefaultParagraphFont"/>
    <w:link w:val="Heading7"/>
    <w:uiPriority w:val="9"/>
    <w:semiHidden/>
    <w:rsid w:val="00A10FD9"/>
    <w:rPr>
      <w:b/>
      <w:bCs/>
      <w:rFonts w:cstheme="majorBidi" w:eastAsiaTheme="majorEastAsia"/>
    </w:rPr>
  </w:style>
  <w:style w:customStyle="1" w:styleId="Heading8Char" w:type="character">
    <w:name w:val="Heading 8 Char"/>
    <w:basedOn w:val="DefaultParagraphFont"/>
    <w:link w:val="Heading8"/>
    <w:uiPriority w:val="9"/>
    <w:semiHidden/>
    <w:rsid w:val="00A10FD9"/>
    <w:rPr>
      <w:b/>
      <w:bCs/>
      <w:rFonts w:cstheme="majorBidi" w:eastAsiaTheme="majorEastAsia"/>
      <w:i/>
      <w:iCs/>
    </w:rPr>
  </w:style>
  <w:style w:customStyle="1" w:styleId="Heading9Char" w:type="character">
    <w:name w:val="Heading 9 Char"/>
    <w:basedOn w:val="DefaultParagraphFont"/>
    <w:link w:val="Heading9"/>
    <w:uiPriority w:val="9"/>
    <w:semiHidden/>
    <w:rsid w:val="00A10FD9"/>
    <w:rPr>
      <w:b/>
      <w:bCs/>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15" Target="media/rId15.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Belief System Networks and Pro-Environmental Behavior</dc:title>
  <dc:creator>Matthew C. Nowlin</dc:creator>
  <cp:keywords/>
  <dcterms:created xsi:type="dcterms:W3CDTF">2026-09-10T22:23:53Z</dcterms:created>
  <dcterms:modified xsi:type="dcterms:W3CDTF">2026-09-10T22:23:53Z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american-political-science-association.csl</vt:lpwstr>
  </property>
  <property fmtid="{D5CDD505-2E9C-101B-9397-08002B2CF9AE}" pid="7" name="engines">
    <vt:lpwstr/>
  </property>
  <property fmtid="{D5CDD505-2E9C-101B-9397-08002B2CF9AE}" pid="8" name="fig-cap-location">
    <vt:lpwstr>top</vt:lpwstr>
  </property>
  <property fmtid="{D5CDD505-2E9C-101B-9397-08002B2CF9AE}" pid="9" name="fontfamily">
    <vt:lpwstr>ebgaramond</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bibliography">
    <vt:lpwstr>False</vt:lpwstr>
  </property>
  <property fmtid="{D5CDD505-2E9C-101B-9397-08002B2CF9AE}" pid="15" name="toc-title">
    <vt:lpwstr>Table of contents</vt:lpwstr>
  </property>
</Properties>
</file>