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BD4931" w14:textId="77777777" w:rsidR="00DC7140" w:rsidRPr="001A5D8B" w:rsidRDefault="006D08AB">
      <w:pPr>
        <w:pStyle w:val="FirstParagraph"/>
        <w:rPr>
          <w:rFonts w:ascii="Times New Roman" w:hAnsi="Times New Roman" w:cs="Times New Roman"/>
          <w:color w:val="000000" w:themeColor="text1"/>
        </w:rPr>
      </w:pPr>
      <w:bookmarkStart w:id="0" w:name="response-to-reviewers"/>
      <w:r w:rsidRPr="001A5D8B">
        <w:rPr>
          <w:rFonts w:ascii="Times New Roman" w:hAnsi="Times New Roman" w:cs="Times New Roman"/>
          <w:color w:val="000000" w:themeColor="text1"/>
        </w:rPr>
        <w:t>Dear Editors,</w:t>
      </w:r>
    </w:p>
    <w:p w14:paraId="5DBD4932"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 xml:space="preserve">Thank you for the opportunity to revise “Policy Learning and Information Processing Dynamics.” </w:t>
      </w:r>
      <w:r w:rsidRPr="001A5D8B">
        <w:rPr>
          <w:rFonts w:ascii="Times New Roman" w:hAnsi="Times New Roman" w:cs="Times New Roman"/>
          <w:color w:val="000000" w:themeColor="text1"/>
        </w:rPr>
        <w:t xml:space="preserve">We appreciate the reviewers’ continued engagement with the manuscript and thoughtful responses. We have used this opportunity to make several substantial changes, including restructuring the book so the literature-synthesis chapter now follows, and explicitly builds on, the model and framework rather than preceding them; adding a set of country case vignettes to Chapter 4 that carry the model into the policy-embedded framework and give the manuscript a single empirical throughline; simplifying the language </w:t>
      </w:r>
      <w:r w:rsidRPr="001A5D8B">
        <w:rPr>
          <w:rFonts w:ascii="Times New Roman" w:hAnsi="Times New Roman" w:cs="Times New Roman"/>
          <w:color w:val="000000" w:themeColor="text1"/>
        </w:rPr>
        <w:t>throughout the manuscript, starting with the abstract; adding a figure to Chapter 1 illustrating how the book is organized; strengthening the empirical chapter’s tables, appendix, and response-rate discussion; grounding our approach more directly in the mass political behavior and information-processing-in-politics literatures; and substantially expanding our engagement with the policy innovation literature.</w:t>
      </w:r>
    </w:p>
    <w:p w14:paraId="5DBD4933"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Below we respond to each comment in turn.</w:t>
      </w:r>
    </w:p>
    <w:p w14:paraId="5DBD4934" w14:textId="77777777" w:rsidR="00DC7140" w:rsidRPr="001A5D8B" w:rsidRDefault="006D08AB">
      <w:pPr>
        <w:pStyle w:val="Heading2"/>
        <w:rPr>
          <w:rFonts w:ascii="Times New Roman" w:hAnsi="Times New Roman" w:cs="Times New Roman"/>
          <w:b/>
          <w:bCs/>
          <w:color w:val="000000" w:themeColor="text1"/>
          <w:sz w:val="24"/>
          <w:szCs w:val="24"/>
        </w:rPr>
      </w:pPr>
      <w:bookmarkStart w:id="1" w:name="response-to-the-associate-editor"/>
      <w:r w:rsidRPr="001A5D8B">
        <w:rPr>
          <w:rFonts w:ascii="Times New Roman" w:hAnsi="Times New Roman" w:cs="Times New Roman"/>
          <w:b/>
          <w:bCs/>
          <w:color w:val="000000" w:themeColor="text1"/>
          <w:sz w:val="24"/>
          <w:szCs w:val="24"/>
        </w:rPr>
        <w:t>Response to the Associate Editor</w:t>
      </w:r>
    </w:p>
    <w:p w14:paraId="5DBD4935" w14:textId="77777777" w:rsidR="00DC7140" w:rsidRPr="001A5D8B" w:rsidRDefault="006D08AB">
      <w:pPr>
        <w:pStyle w:val="FirstParagraph"/>
        <w:rPr>
          <w:rFonts w:ascii="Times New Roman" w:hAnsi="Times New Roman" w:cs="Times New Roman"/>
          <w:color w:val="000000" w:themeColor="text1"/>
        </w:rPr>
      </w:pPr>
      <w:r w:rsidRPr="001A5D8B">
        <w:rPr>
          <w:rFonts w:ascii="Times New Roman" w:hAnsi="Times New Roman" w:cs="Times New Roman"/>
          <w:color w:val="000000" w:themeColor="text1"/>
        </w:rPr>
        <w:t xml:space="preserve">The Associate Editor’s comments to the author are, by the Editor’s own note, “a more concise, integrated version” </w:t>
      </w:r>
      <w:r w:rsidRPr="001A5D8B">
        <w:rPr>
          <w:rFonts w:ascii="Times New Roman" w:hAnsi="Times New Roman" w:cs="Times New Roman"/>
          <w:color w:val="000000" w:themeColor="text1"/>
        </w:rPr>
        <w:t>of another comment, and their five points restate Reviewer 1’s concerns almost verbatim (clarity of writing and the abstract example, purpose/contribution and an organizing figure, the tables, response rates, and policy innovation). Rather than answer the same five points twice in two different sections, we respond to them once, in full, under Reviewer 1 below, engaging directly with Reviewer 1’s original wording, examples, and citations. We thank the Associate Editor for the concise summary, which we found</w:t>
      </w:r>
      <w:r w:rsidRPr="001A5D8B">
        <w:rPr>
          <w:rFonts w:ascii="Times New Roman" w:hAnsi="Times New Roman" w:cs="Times New Roman"/>
          <w:color w:val="000000" w:themeColor="text1"/>
        </w:rPr>
        <w:t xml:space="preserve"> useful in confirming that these five issues were a shared priority.</w:t>
      </w:r>
    </w:p>
    <w:p w14:paraId="5DBD4936" w14:textId="77777777" w:rsidR="00DC7140" w:rsidRPr="001A5D8B" w:rsidRDefault="006D08AB">
      <w:pPr>
        <w:pStyle w:val="Heading2"/>
        <w:rPr>
          <w:rFonts w:ascii="Times New Roman" w:hAnsi="Times New Roman" w:cs="Times New Roman"/>
          <w:b/>
          <w:bCs/>
          <w:color w:val="000000" w:themeColor="text1"/>
          <w:sz w:val="24"/>
          <w:szCs w:val="24"/>
        </w:rPr>
      </w:pPr>
      <w:bookmarkStart w:id="2" w:name="response-to-reviewer-1"/>
      <w:bookmarkEnd w:id="1"/>
      <w:r w:rsidRPr="001A5D8B">
        <w:rPr>
          <w:rFonts w:ascii="Times New Roman" w:hAnsi="Times New Roman" w:cs="Times New Roman"/>
          <w:b/>
          <w:bCs/>
          <w:color w:val="000000" w:themeColor="text1"/>
          <w:sz w:val="24"/>
          <w:szCs w:val="24"/>
        </w:rPr>
        <w:t>Response to Reviewer 1</w:t>
      </w:r>
    </w:p>
    <w:p w14:paraId="5DBD4937" w14:textId="77777777" w:rsidR="00DC7140" w:rsidRPr="001A5D8B" w:rsidRDefault="006D08AB">
      <w:pPr>
        <w:pStyle w:val="FirstParagraph"/>
        <w:rPr>
          <w:rFonts w:ascii="Times New Roman" w:hAnsi="Times New Roman" w:cs="Times New Roman"/>
          <w:color w:val="000000" w:themeColor="text1"/>
        </w:rPr>
      </w:pPr>
      <w:r w:rsidRPr="001A5D8B">
        <w:rPr>
          <w:rFonts w:ascii="Times New Roman" w:hAnsi="Times New Roman" w:cs="Times New Roman"/>
          <w:color w:val="000000" w:themeColor="text1"/>
        </w:rPr>
        <w:t>We thank the reviewer for the continued engagement with the manuscript and for pressing on points that were not adequately resolved.</w:t>
      </w:r>
    </w:p>
    <w:p w14:paraId="5DBD4938"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1 — Clarity of writing.</w:t>
      </w:r>
      <w:r w:rsidRPr="001A5D8B">
        <w:rPr>
          <w:rFonts w:ascii="Times New Roman" w:hAnsi="Times New Roman" w:cs="Times New Roman"/>
          <w:color w:val="000000" w:themeColor="text1"/>
        </w:rPr>
        <w:t xml:space="preserve"> </w:t>
      </w:r>
      <w:r w:rsidRPr="001A5D8B">
        <w:rPr>
          <w:rFonts w:ascii="Times New Roman" w:hAnsi="Times New Roman" w:cs="Times New Roman"/>
          <w:i/>
          <w:iCs/>
          <w:color w:val="000000" w:themeColor="text1"/>
        </w:rPr>
        <w:t xml:space="preserve">“The writing could be simpler and more easily understood by students and readers who are not public policy scholars… even in the abstract, if I were not a reviewer, I would not continue reading the book after reading the abstract… the abstract includes phrases such as </w:t>
      </w:r>
      <w:r w:rsidRPr="001A5D8B">
        <w:rPr>
          <w:rFonts w:ascii="Times New Roman" w:hAnsi="Times New Roman" w:cs="Times New Roman"/>
          <w:i/>
          <w:iCs/>
          <w:color w:val="000000" w:themeColor="text1"/>
        </w:rPr>
        <w:t xml:space="preserve">‘heralded as a versatile… often treated as an ontology of the policy process.’ What does this mean? Similarly… ‘theoretical and analytical fineness… micro-foundations </w:t>
      </w:r>
      <w:proofErr w:type="gramStart"/>
      <w:r w:rsidRPr="001A5D8B">
        <w:rPr>
          <w:rFonts w:ascii="Times New Roman" w:hAnsi="Times New Roman" w:cs="Times New Roman"/>
          <w:i/>
          <w:iCs/>
          <w:color w:val="000000" w:themeColor="text1"/>
        </w:rPr>
        <w:t>remains</w:t>
      </w:r>
      <w:proofErr w:type="gramEnd"/>
      <w:r w:rsidRPr="001A5D8B">
        <w:rPr>
          <w:rFonts w:ascii="Times New Roman" w:hAnsi="Times New Roman" w:cs="Times New Roman"/>
          <w:i/>
          <w:iCs/>
          <w:color w:val="000000" w:themeColor="text1"/>
        </w:rPr>
        <w:t xml:space="preserve"> embryonic.’ What does this mean?”</w:t>
      </w:r>
    </w:p>
    <w:p w14:paraId="5DBD4939"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We agree, and we have rewritten the abstract in plain language, removing “ontology of the policy process,” “theoretical and analytical fineness,” and “micro-foundations remains embryonic” entirely, and stated more clearly and directly what the Element does and what it finds.</w:t>
      </w:r>
    </w:p>
    <w:p w14:paraId="5DBD493A"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We have also completed a full prose-simplification pass across Chapters 1 through 6, removing dense or circular phrasing, while deliberately preserving some of the book’s technical vocabulary that we believe is central to the argument rather than avoidable jargon.</w:t>
      </w:r>
    </w:p>
    <w:p w14:paraId="5DBD493B"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lastRenderedPageBreak/>
        <w:t>Comment 2 — Purpose and contribution; an organizing figure.</w:t>
      </w:r>
      <w:r w:rsidRPr="001A5D8B">
        <w:rPr>
          <w:rFonts w:ascii="Times New Roman" w:hAnsi="Times New Roman" w:cs="Times New Roman"/>
          <w:color w:val="000000" w:themeColor="text1"/>
        </w:rPr>
        <w:t xml:space="preserve"> </w:t>
      </w:r>
      <w:r w:rsidRPr="001A5D8B">
        <w:rPr>
          <w:rFonts w:ascii="Times New Roman" w:hAnsi="Times New Roman" w:cs="Times New Roman"/>
          <w:i/>
          <w:iCs/>
          <w:color w:val="000000" w:themeColor="text1"/>
        </w:rPr>
        <w:t>“It is still not clear to me what the manuscript ultimately aims to achieve and what its main contributions are. Perhaps the authors could include a figure illustrating how the book is organized, how each chapter connects to the others, and how the theories are explained.”</w:t>
      </w:r>
    </w:p>
    <w:p w14:paraId="5DBD493C"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We have added a figure to Chapter 1 showing how the Element is organized, grouped into its two parts, with Part I: Microfoundations covering Chapters 2–3 and Part II: Learning in Context covering Chapters 4–5. The figure includes labeled arrows indicating how the argument develops from chapter to chapter: Chapter 2 builds a model, the model is applied in Chapter 3, and it is then scaled up to the broader policymaking process in Chapter 4. The Element then connects back to the broader policy learning literat</w:t>
      </w:r>
      <w:r w:rsidRPr="001A5D8B">
        <w:rPr>
          <w:rFonts w:ascii="Times New Roman" w:hAnsi="Times New Roman" w:cs="Times New Roman"/>
          <w:color w:val="000000" w:themeColor="text1"/>
        </w:rPr>
        <w:t>ure in Chapter 5 before concluding in Chapter 6. We moved the literature discussion to Chapter 5, after the model and framework rather than before them, to make this contribution structure legible and to address Reviewer 2’s related concern about the manuscript reading as two disconnected projects (see our response to Reviewer 2, Comment 1).</w:t>
      </w:r>
    </w:p>
    <w:p w14:paraId="5DBD493D"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3 — Tables.</w:t>
      </w:r>
      <w:r w:rsidRPr="001A5D8B">
        <w:rPr>
          <w:rFonts w:ascii="Times New Roman" w:hAnsi="Times New Roman" w:cs="Times New Roman"/>
          <w:color w:val="000000" w:themeColor="text1"/>
        </w:rPr>
        <w:t xml:space="preserve"> </w:t>
      </w:r>
      <w:r w:rsidRPr="001A5D8B">
        <w:rPr>
          <w:rFonts w:ascii="Times New Roman" w:hAnsi="Times New Roman" w:cs="Times New Roman"/>
          <w:i/>
          <w:iCs/>
          <w:color w:val="000000" w:themeColor="text1"/>
        </w:rPr>
        <w:t>“In Table 4.1, some numbers are marked with stars. A note should explain what these stars refer to. It would also be helpful to provide standard errors and/or t-values… I did not see tables reporting descriptive statistics and correlation coefficients used in the study… Table 5.1 is also not user-friendly. What does the ‘X’ mean in this table?”</w:t>
      </w:r>
    </w:p>
    <w:p w14:paraId="5DBD493E"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We thank the reviewer for these suggestions, all of which we have implemented. We have added significance notes to “Table 4.1,” </w:t>
      </w:r>
      <w:r w:rsidRPr="001A5D8B">
        <w:rPr>
          <w:rFonts w:ascii="Times New Roman" w:hAnsi="Times New Roman" w:cs="Times New Roman"/>
          <w:color w:val="000000" w:themeColor="text1"/>
        </w:rPr>
        <w:t xml:space="preserve">now Table 3.1 following the restructuring described above. Standard errors were already reported in parentheses below each coefficient in the OLS table, but we have added an explicit note stating </w:t>
      </w:r>
      <w:proofErr w:type="gramStart"/>
      <w:r w:rsidRPr="001A5D8B">
        <w:rPr>
          <w:rFonts w:ascii="Times New Roman" w:hAnsi="Times New Roman" w:cs="Times New Roman"/>
          <w:color w:val="000000" w:themeColor="text1"/>
        </w:rPr>
        <w:t>this</w:t>
      </w:r>
      <w:proofErr w:type="gramEnd"/>
      <w:r w:rsidRPr="001A5D8B">
        <w:rPr>
          <w:rFonts w:ascii="Times New Roman" w:hAnsi="Times New Roman" w:cs="Times New Roman"/>
          <w:color w:val="000000" w:themeColor="text1"/>
        </w:rPr>
        <w:t xml:space="preserve"> so it is </w:t>
      </w:r>
      <w:proofErr w:type="gramStart"/>
      <w:r w:rsidRPr="001A5D8B">
        <w:rPr>
          <w:rFonts w:ascii="Times New Roman" w:hAnsi="Times New Roman" w:cs="Times New Roman"/>
          <w:color w:val="000000" w:themeColor="text1"/>
        </w:rPr>
        <w:t>unambiguous .</w:t>
      </w:r>
      <w:proofErr w:type="gramEnd"/>
    </w:p>
    <w:p w14:paraId="5DBD493F"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We have also added an appendix to Chapter 3 with two new tables reporting descriptive statistics (Table 3A.1) and pairwise correlations among the core continuous variables (Table 3A.2) for our analytic sample, along with a footnote in the main text directing readers to the appendix.</w:t>
      </w:r>
    </w:p>
    <w:p w14:paraId="5DBD4940"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The table the reviewer calls “Table 5.1” (in the chapter that was Chapter 5 and is now Chapter 4) has been replaced entirely by a figure illustrating the pathways from policy learning to policy change. The ambiguous “X” notation no longer exists in the manuscript; it has been replaced by an explicit visual pathway diagram, which we believe is a clearer representation of our argument.</w:t>
      </w:r>
    </w:p>
    <w:p w14:paraId="5DBD4941"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4 — Response rates.</w:t>
      </w:r>
      <w:r w:rsidRPr="001A5D8B">
        <w:rPr>
          <w:rFonts w:ascii="Times New Roman" w:hAnsi="Times New Roman" w:cs="Times New Roman"/>
          <w:color w:val="000000" w:themeColor="text1"/>
        </w:rPr>
        <w:t xml:space="preserve"> </w:t>
      </w:r>
      <w:r w:rsidRPr="001A5D8B">
        <w:rPr>
          <w:rFonts w:ascii="Times New Roman" w:hAnsi="Times New Roman" w:cs="Times New Roman"/>
          <w:i/>
          <w:iCs/>
          <w:color w:val="000000" w:themeColor="text1"/>
        </w:rPr>
        <w:t xml:space="preserve">“Previously, I recommended providing the response rate, and here is the authors’ response: </w:t>
      </w:r>
      <w:r w:rsidRPr="001A5D8B">
        <w:rPr>
          <w:rFonts w:ascii="Times New Roman" w:hAnsi="Times New Roman" w:cs="Times New Roman"/>
          <w:i/>
          <w:iCs/>
          <w:color w:val="000000" w:themeColor="text1"/>
        </w:rPr>
        <w:t>‘…response rate is not a useful metric.’ I think this statement is problematic. The discipline of econometrics is largely concerned with bias… If this information is not available, it should be acknowledged as a limitation of the study rather than described as ‘not useful information.’ If an organizational psychologist were to review the manuscript, the paper might be rejected automatically because of this statement. See: Wooldridge, J. M. (2010).”</w:t>
      </w:r>
    </w:p>
    <w:p w14:paraId="5DBD4942"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We accept this correction and have removed the dismissive framing entirely. On reflection, characterizing response rate as “not a useful metric” was the wrong way to respond to a legitimate concern about non-response bias, and we appreciate the reviewer’s directness, including the Wooldridge citation, in flagging how that sentence would read to a methodologically attentive reviewer outside public policy.</w:t>
      </w:r>
    </w:p>
    <w:p w14:paraId="5DBD4943"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lastRenderedPageBreak/>
        <w:t>The relevant footnote in Chapter 3 now states plainly that the absence of response-rate data is a limitation. It then draws on the total survey error framework (Groves &amp; Lyberg, 2010) to explain, rather than dismiss, why response rate alone is an incomplete indicator of non-response bias as what matters for bias is whether respondents differ systematically from non-respondents on the characteristics of interest, not the raw rate of response. Additionally, we cite the AAPOR task-force report on online panels</w:t>
      </w:r>
      <w:r w:rsidRPr="001A5D8B">
        <w:rPr>
          <w:rFonts w:ascii="Times New Roman" w:hAnsi="Times New Roman" w:cs="Times New Roman"/>
          <w:color w:val="000000" w:themeColor="text1"/>
        </w:rPr>
        <w:t xml:space="preserve"> (Baker et al., 2010) to support quota-based demographic matching as a recognized, if partial, method for improving representativeness absent a probability sample. Specifically, the footnote now reads:</w:t>
      </w:r>
    </w:p>
    <w:p w14:paraId="5DBD4944" w14:textId="77777777" w:rsidR="00DC7140" w:rsidRPr="001A5D8B" w:rsidRDefault="006D08AB">
      <w:pPr>
        <w:pStyle w:val="BlockText"/>
        <w:rPr>
          <w:rFonts w:ascii="Times New Roman" w:hAnsi="Times New Roman" w:cs="Times New Roman"/>
          <w:color w:val="000000" w:themeColor="text1"/>
        </w:rPr>
      </w:pPr>
      <w:r w:rsidRPr="001A5D8B">
        <w:rPr>
          <w:rFonts w:ascii="Times New Roman" w:hAnsi="Times New Roman" w:cs="Times New Roman"/>
          <w:color w:val="000000" w:themeColor="text1"/>
        </w:rPr>
        <w:t>Response rates for these surveys are not available, which is a limitation of the data, since response rate is one indicator commonly associated with the risk of non-response bias. However, response rate alone is an incomplete measure of that risk, because what matters for bias is whether respondents differ systematically from non-respondents on the characteristics of interest, not the rate of response itself (Groves &amp; Lyberg, 2010). The quota-based sampling approach used here, which matches the sample to US</w:t>
      </w:r>
      <w:r w:rsidRPr="001A5D8B">
        <w:rPr>
          <w:rFonts w:ascii="Times New Roman" w:hAnsi="Times New Roman" w:cs="Times New Roman"/>
          <w:color w:val="000000" w:themeColor="text1"/>
        </w:rPr>
        <w:t xml:space="preserve"> Census-based population data on gender, race, and age, is a widely used method for improving the representativeness of non-probability samples such as ours (Baker et al., 2010).</w:t>
      </w:r>
    </w:p>
    <w:p w14:paraId="5DBD4945" w14:textId="77777777" w:rsidR="00DC7140" w:rsidRPr="001A5D8B" w:rsidRDefault="006D08AB">
      <w:pPr>
        <w:pStyle w:val="FirstParagraph"/>
        <w:rPr>
          <w:rFonts w:ascii="Times New Roman" w:hAnsi="Times New Roman" w:cs="Times New Roman"/>
          <w:color w:val="000000" w:themeColor="text1"/>
        </w:rPr>
      </w:pPr>
      <w:r w:rsidRPr="001A5D8B">
        <w:rPr>
          <w:rFonts w:ascii="Times New Roman" w:hAnsi="Times New Roman" w:cs="Times New Roman"/>
          <w:b/>
          <w:bCs/>
          <w:color w:val="000000" w:themeColor="text1"/>
        </w:rPr>
        <w:t>Comment 5 — Policy innovation.</w:t>
      </w:r>
      <w:r w:rsidRPr="001A5D8B">
        <w:rPr>
          <w:rFonts w:ascii="Times New Roman" w:hAnsi="Times New Roman" w:cs="Times New Roman"/>
          <w:color w:val="000000" w:themeColor="text1"/>
        </w:rPr>
        <w:t xml:space="preserve"> </w:t>
      </w:r>
      <w:r w:rsidRPr="001A5D8B">
        <w:rPr>
          <w:rFonts w:ascii="Times New Roman" w:hAnsi="Times New Roman" w:cs="Times New Roman"/>
          <w:i/>
          <w:iCs/>
          <w:color w:val="000000" w:themeColor="text1"/>
        </w:rPr>
        <w:t>“Previously, I also recommended adding more discussion of policy innovation, as it is closely connected to policy learning (for example, innovation can lead to learning, and learning can also lead to innovation). This connection is still not sufficiently developed… In the previous round, I suggested the following readings, but they do not appear to be integrated into the manuscript: Goyal et al. (2025); Kemmerling (2023). There is also other relevant work on policy innovation, such as: Huang &amp; Wiebrecht (20</w:t>
      </w:r>
      <w:r w:rsidRPr="001A5D8B">
        <w:rPr>
          <w:rFonts w:ascii="Times New Roman" w:hAnsi="Times New Roman" w:cs="Times New Roman"/>
          <w:i/>
          <w:iCs/>
          <w:color w:val="000000" w:themeColor="text1"/>
        </w:rPr>
        <w:t>21); Wu &amp; Ramesh (2014).”</w:t>
      </w:r>
    </w:p>
    <w:p w14:paraId="5DBD4946"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 xml:space="preserve">We regret that Goyal et al. and Kemmerling, suggested in the previous round, were not integrated, and we thank the reviewer for the two additional sources. All four are now engaged directly in Chapter 6’s future-research section, and we have also taken up the reviewer’s specific framing (innovation can lead to learning, and learning can lead to innovation) rather than treating the two as related only in passing. Goyal et al. frame policy innovation as adoption, diffusion, and mainstreaming, which we use to </w:t>
      </w:r>
      <w:r w:rsidRPr="001A5D8B">
        <w:rPr>
          <w:rFonts w:ascii="Times New Roman" w:hAnsi="Times New Roman" w:cs="Times New Roman"/>
          <w:color w:val="000000" w:themeColor="text1"/>
        </w:rPr>
        <w:t xml:space="preserve">specify how a jurisdiction’s decision to adopt or reject an innovation can itself be modeled as a function of the strength of an information signal about that innovation relative to its prior beliefs; Kemmerling connects policy innovation explicitly to policy learning via South–North diffusion, which we tie to the diffusion-oriented reading of our framework; Huang and Wiebrecht connect multi-level government roles in innovation adoption to our policy-embedded framework’s institutional structure; and Wu and </w:t>
      </w:r>
      <w:r w:rsidRPr="001A5D8B">
        <w:rPr>
          <w:rFonts w:ascii="Times New Roman" w:hAnsi="Times New Roman" w:cs="Times New Roman"/>
          <w:color w:val="000000" w:themeColor="text1"/>
        </w:rPr>
        <w:t>Ramesh connect policy-mix innovation to instrumental, secondary-belief learning in our model.</w:t>
      </w:r>
    </w:p>
    <w:p w14:paraId="5DBD4947" w14:textId="77777777" w:rsidR="00DC7140" w:rsidRPr="00981B36" w:rsidRDefault="006D08AB">
      <w:pPr>
        <w:pStyle w:val="Heading2"/>
        <w:rPr>
          <w:rFonts w:ascii="Times New Roman" w:hAnsi="Times New Roman" w:cs="Times New Roman"/>
          <w:b/>
          <w:bCs/>
          <w:color w:val="000000" w:themeColor="text1"/>
          <w:sz w:val="24"/>
          <w:szCs w:val="24"/>
        </w:rPr>
      </w:pPr>
      <w:bookmarkStart w:id="3" w:name="response-to-reviewer-2"/>
      <w:bookmarkEnd w:id="2"/>
      <w:r w:rsidRPr="00981B36">
        <w:rPr>
          <w:rFonts w:ascii="Times New Roman" w:hAnsi="Times New Roman" w:cs="Times New Roman"/>
          <w:b/>
          <w:bCs/>
          <w:color w:val="000000" w:themeColor="text1"/>
          <w:sz w:val="24"/>
          <w:szCs w:val="24"/>
        </w:rPr>
        <w:t>Response to Reviewer 2</w:t>
      </w:r>
    </w:p>
    <w:p w14:paraId="5DBD4948" w14:textId="77777777" w:rsidR="00DC7140" w:rsidRPr="001A5D8B" w:rsidRDefault="006D08AB">
      <w:pPr>
        <w:pStyle w:val="FirstParagraph"/>
        <w:rPr>
          <w:rFonts w:ascii="Times New Roman" w:hAnsi="Times New Roman" w:cs="Times New Roman"/>
          <w:color w:val="000000" w:themeColor="text1"/>
        </w:rPr>
      </w:pPr>
      <w:r w:rsidRPr="001A5D8B">
        <w:rPr>
          <w:rFonts w:ascii="Times New Roman" w:hAnsi="Times New Roman" w:cs="Times New Roman"/>
          <w:b/>
          <w:bCs/>
          <w:color w:val="000000" w:themeColor="text1"/>
        </w:rPr>
        <w:t>Comment 1 — “Conflation of two different research agendas”; the book “reads… like two insufficiently developed research projects that have been awkwardly combined.”</w:t>
      </w:r>
    </w:p>
    <w:p w14:paraId="5DBD4949"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 xml:space="preserve">We have restructured the Element to address this directly. The chapter that surveys the broader policy learning literature (Chapter 5) previously preceded the model and framework and read as a free-standing literature review. It has been moved to follow Chapters 2 through 4 and substantially rewritten so that it no longer summarizes the field in isolation, but explicitly </w:t>
      </w:r>
      <w:r w:rsidRPr="001A5D8B">
        <w:rPr>
          <w:rFonts w:ascii="Times New Roman" w:hAnsi="Times New Roman" w:cs="Times New Roman"/>
          <w:color w:val="000000" w:themeColor="text1"/>
        </w:rPr>
        <w:lastRenderedPageBreak/>
        <w:t>shows what our model and framework contribute to each part of the broader literature. See our responses to Comments 2 and 3 below for spec</w:t>
      </w:r>
      <w:r w:rsidRPr="001A5D8B">
        <w:rPr>
          <w:rFonts w:ascii="Times New Roman" w:hAnsi="Times New Roman" w:cs="Times New Roman"/>
          <w:color w:val="000000" w:themeColor="text1"/>
        </w:rPr>
        <w:t>ifics.</w:t>
      </w:r>
    </w:p>
    <w:p w14:paraId="5DBD494A"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We have also added a set of brief country case vignettes to Chapter 4 (Germany, Japan, Italy, China, the United Kingdom, France, and the United States, all responding to the same Fukushima information signal), which give the manuscript a single empirical throughline rather than two disconnected halves. The vignettes carry the model developed in Chapters 2 and 3 forward into the policy-embedded framework, showing concretely how the same belief-updating mechanism plays out differently depending on subsystem t</w:t>
      </w:r>
      <w:r w:rsidRPr="001A5D8B">
        <w:rPr>
          <w:rFonts w:ascii="Times New Roman" w:hAnsi="Times New Roman" w:cs="Times New Roman"/>
          <w:color w:val="000000" w:themeColor="text1"/>
        </w:rPr>
        <w:t>ype and institutional context, rather than leaving the model and framework as separate, abstract exercises. This directly addresses the reviewer’s sense that the manuscript reads as a conflation of two research agendas, and it is also our primary response to the reviewer’s related point, raised again in Comment 2, that the manuscript’s claims are</w:t>
      </w:r>
      <w:r w:rsidRPr="001A5D8B">
        <w:rPr>
          <w:rFonts w:ascii="Times New Roman" w:hAnsi="Times New Roman" w:cs="Times New Roman"/>
          <w:color w:val="000000" w:themeColor="text1"/>
        </w:rPr>
        <w:t xml:space="preserve"> “not illustrated with examples.” We do recognize that the case vignettes are brief and rely on extant literature. We return to that point in Chapter 6 when discussing future research.</w:t>
      </w:r>
    </w:p>
    <w:p w14:paraId="5DBD494B"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2 — The micro/meso/macro distinction is “underdeveloped… not discussed sufficiently… not illustrated with examples.”</w:t>
      </w:r>
    </w:p>
    <w:p w14:paraId="5DBD494C"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 xml:space="preserve">Chapter 5 now includes a dedicated discussion connecting each level explicitly to material already in the Element, including the model in Chapter 2 as the micro-level mechanism, the coalition/subsystem discussion in Chapter 4 as the meso-level extension, and the institutional-structure discussion in Chapter 4 (decision costs, veto players) as the macro-level extension. This discussion is connected to country case vignettes added to Chapter 4 (see our response to Comment 1 above). In particular, the Germany </w:t>
      </w:r>
      <w:r w:rsidRPr="001A5D8B">
        <w:rPr>
          <w:rFonts w:ascii="Times New Roman" w:hAnsi="Times New Roman" w:cs="Times New Roman"/>
          <w:color w:val="000000" w:themeColor="text1"/>
        </w:rPr>
        <w:t xml:space="preserve">vignette is now cross-referenced in Chapter 5 as a worked example, tracing a single sequence from Chancellor Merkel’s individual belief change (micro), through the governing coalition’s preference and behavior change under electoral pressure (meso), to Germany’s 2022 phase-out legislation (macro), which we argue is a traceable sequence rather than an assumed correspondence between levels. The remaining vignettes (Japan, Italy, China, the United Kingdom, France, and the United States) further illustrate how </w:t>
      </w:r>
      <w:r w:rsidRPr="001A5D8B">
        <w:rPr>
          <w:rFonts w:ascii="Times New Roman" w:hAnsi="Times New Roman" w:cs="Times New Roman"/>
          <w:color w:val="000000" w:themeColor="text1"/>
        </w:rPr>
        <w:t>the same information signal produced different learning outcomes depending on subsystem structure, in an attempt to give the reviewer’s request for concrete illustrations a direct answer across, not just within, the micro/meso/macro discussion.</w:t>
      </w:r>
    </w:p>
    <w:p w14:paraId="5DBD494D"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3 — The overview of types and modes of learning is incomplete and “the concepts are not explained at all and not used in the rest of the book.”</w:t>
      </w:r>
    </w:p>
    <w:p w14:paraId="5DBD494E"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Chapter 5 now includes explicit discussion connecting each descriptor family to the model and framework, including outcomes (the model’s four belief-level outcomes plus the Chapter 4 pathway), mechanisms (inferential and contingent learning as the same underlying mechanism under different signal-strength conditions), modes (subsystem type in Chapter 4 predicting learning mode), types (the issue-dimension mechanism in Chapter 2 mapped onto the loop-learning tradition), and forms (the Fukushima country vignet</w:t>
      </w:r>
      <w:r w:rsidRPr="001A5D8B">
        <w:rPr>
          <w:rFonts w:ascii="Times New Roman" w:hAnsi="Times New Roman" w:cs="Times New Roman"/>
          <w:color w:val="000000" w:themeColor="text1"/>
        </w:rPr>
        <w:t>tes in Chapter 4 as an illustration of cross-jurisdictional information processing). These concepts are therefore no longer introduced once and abandoned, rather they are introduced as way to incorporate our approach into the broader policy learning literature.</w:t>
      </w:r>
    </w:p>
    <w:p w14:paraId="5DBD494F"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 xml:space="preserve">Comment 4 — The model relies on the Advocacy Coalition Framework, “which is concerned with something quite different” from public opinion; the manuscript should </w:t>
      </w:r>
      <w:r w:rsidRPr="001A5D8B">
        <w:rPr>
          <w:rFonts w:ascii="Times New Roman" w:hAnsi="Times New Roman" w:cs="Times New Roman"/>
          <w:b/>
          <w:bCs/>
          <w:color w:val="000000" w:themeColor="text1"/>
        </w:rPr>
        <w:lastRenderedPageBreak/>
        <w:t>“engage seriously with the research on information processing in politics and extend it to voters,” pointing toward punctuated-equilibrium-adjacent work on information processing.</w:t>
      </w:r>
    </w:p>
    <w:p w14:paraId="5DBD4950"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 xml:space="preserve">We have substantially rewritten the introduction to Chapter 3 to address this directly. First, we note that we </w:t>
      </w:r>
      <w:proofErr w:type="gramStart"/>
      <w:r w:rsidRPr="001A5D8B">
        <w:rPr>
          <w:rFonts w:ascii="Times New Roman" w:hAnsi="Times New Roman" w:cs="Times New Roman"/>
          <w:color w:val="000000" w:themeColor="text1"/>
        </w:rPr>
        <w:t>drawing</w:t>
      </w:r>
      <w:proofErr w:type="gramEnd"/>
      <w:r w:rsidRPr="001A5D8B">
        <w:rPr>
          <w:rFonts w:ascii="Times New Roman" w:hAnsi="Times New Roman" w:cs="Times New Roman"/>
          <w:color w:val="000000" w:themeColor="text1"/>
        </w:rPr>
        <w:t xml:space="preserve"> only the aspects of beliefs and belief systems from the ACF, not the other elements related to elite policy actors. Second, we substantially strengthen the elite/mass belief-structure argument, anchoring it in Converse’s (1964) foundational finding that belief constraint is concentrated among the more attentive segment of the public. Additionally, we now discuss the specific empirical findi</w:t>
      </w:r>
      <w:r w:rsidRPr="001A5D8B">
        <w:rPr>
          <w:rFonts w:ascii="Times New Roman" w:hAnsi="Times New Roman" w:cs="Times New Roman"/>
          <w:color w:val="000000" w:themeColor="text1"/>
        </w:rPr>
        <w:t xml:space="preserve">ngs behind the claim of similar belief structures between elites and the mass public rather than just citing them. Specifically, Herron and Jenkins-Smith (2002) compared elite and mass belief systems using the same core/policy-core/secondary hierarchy of the ACF (Jenkins-Smith is one of the creators of the ACF), on the closely related domain of nuclear security, and found the same direction and statistical pattern of relationships across elite and mass samples, though elite belief systems were more tightly </w:t>
      </w:r>
      <w:r w:rsidRPr="001A5D8B">
        <w:rPr>
          <w:rFonts w:ascii="Times New Roman" w:hAnsi="Times New Roman" w:cs="Times New Roman"/>
          <w:color w:val="000000" w:themeColor="text1"/>
        </w:rPr>
        <w:t xml:space="preserve">organized (explaining more variance). Similarly, Jenkins-Smith, Mitchell, and Herron (2004) show this same hierarchical structure holds for mass publics in both the US and Great Britain despite the two countries differing substantially in their average beliefs. Finally, Tumlison and Song (2019) find the same values-to-trust-to-risk-perception pathway operates for both policy elites and the </w:t>
      </w:r>
      <w:proofErr w:type="gramStart"/>
      <w:r w:rsidRPr="001A5D8B">
        <w:rPr>
          <w:rFonts w:ascii="Times New Roman" w:hAnsi="Times New Roman" w:cs="Times New Roman"/>
          <w:color w:val="000000" w:themeColor="text1"/>
        </w:rPr>
        <w:t>general public</w:t>
      </w:r>
      <w:proofErr w:type="gramEnd"/>
      <w:r w:rsidRPr="001A5D8B">
        <w:rPr>
          <w:rFonts w:ascii="Times New Roman" w:hAnsi="Times New Roman" w:cs="Times New Roman"/>
          <w:color w:val="000000" w:themeColor="text1"/>
        </w:rPr>
        <w:t>, with trust playing a larger mediating role for elites. This gives the elite/mass similarity claim empir</w:t>
      </w:r>
      <w:r w:rsidRPr="001A5D8B">
        <w:rPr>
          <w:rFonts w:ascii="Times New Roman" w:hAnsi="Times New Roman" w:cs="Times New Roman"/>
          <w:color w:val="000000" w:themeColor="text1"/>
        </w:rPr>
        <w:t>ical specificity, including that elites and the public differ in degree, rather than a general assertion of similarity. It also justifies and explains our restriction to an advanced-degree subsample, rather than treating that segment as an elite proxy. Third, we now ground our Bayesian updating model independently in the mass political behavior literature on citizen learning (Gerber and Green 1998; Bullock 2009) and directly engage the information-processing-in-politics tradition (e.g., Zaller 1990, 1992; L</w:t>
      </w:r>
      <w:r w:rsidRPr="001A5D8B">
        <w:rPr>
          <w:rFonts w:ascii="Times New Roman" w:hAnsi="Times New Roman" w:cs="Times New Roman"/>
          <w:color w:val="000000" w:themeColor="text1"/>
        </w:rPr>
        <w:t>odge 1986; Kuklinski et al. 2000). In doing this, we also address the skeptical view that citizens do not update beliefs in a considered, Bayesian fashion (Achen and Bartels 2017), noting that this critique targets low-attentiveness citizens specifically excluded by our sampling strategy, and add a second, independent line of support from the low-information-rationality literature (Lupia and McCubbins 1998) showing that highly salient focusing events like Fukushima can be processed meaningfully even without</w:t>
      </w:r>
      <w:r w:rsidRPr="001A5D8B">
        <w:rPr>
          <w:rFonts w:ascii="Times New Roman" w:hAnsi="Times New Roman" w:cs="Times New Roman"/>
          <w:color w:val="000000" w:themeColor="text1"/>
        </w:rPr>
        <w:t xml:space="preserve"> specialized expertise.</w:t>
      </w:r>
    </w:p>
    <w:p w14:paraId="5DBD4951"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Comment 5 — Overall assessment: the manuscript “needs to strengthen its coherence and fit with the series,” and the reviewer is “left with the impression that the authors have not taken the review process seriously.”</w:t>
      </w:r>
    </w:p>
    <w:p w14:paraId="5DBD4952"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b/>
          <w:bCs/>
          <w:color w:val="000000" w:themeColor="text1"/>
        </w:rPr>
        <w:t>Response:</w:t>
      </w:r>
      <w:r w:rsidRPr="001A5D8B">
        <w:rPr>
          <w:rFonts w:ascii="Times New Roman" w:hAnsi="Times New Roman" w:cs="Times New Roman"/>
          <w:color w:val="000000" w:themeColor="text1"/>
        </w:rPr>
        <w:t xml:space="preserve"> </w:t>
      </w:r>
      <w:r w:rsidRPr="001A5D8B">
        <w:rPr>
          <w:rFonts w:ascii="Times New Roman" w:hAnsi="Times New Roman" w:cs="Times New Roman"/>
          <w:color w:val="000000" w:themeColor="text1"/>
        </w:rPr>
        <w:t>We take this process and the reviewers’ time and efforts quite seriously. But we understand why the previous round left the reviewer with that impression. Previous changes were not sufficient and did not engage fully with the structural problems the reviewer had identified. This round, we have tried to respond to the substance of that concern.</w:t>
      </w:r>
    </w:p>
    <w:p w14:paraId="5DBD4953" w14:textId="77777777" w:rsidR="00DC7140" w:rsidRPr="001A5D8B" w:rsidRDefault="006D08AB">
      <w:pPr>
        <w:pStyle w:val="BodyText"/>
        <w:rPr>
          <w:rFonts w:ascii="Times New Roman" w:hAnsi="Times New Roman" w:cs="Times New Roman"/>
          <w:color w:val="000000" w:themeColor="text1"/>
        </w:rPr>
      </w:pPr>
      <w:r w:rsidRPr="001A5D8B">
        <w:rPr>
          <w:rFonts w:ascii="Times New Roman" w:hAnsi="Times New Roman" w:cs="Times New Roman"/>
          <w:color w:val="000000" w:themeColor="text1"/>
        </w:rPr>
        <w:t>The manuscript’s two halves are no longer sequenced as an unconnected literature survey and review followed by an abstract model. The literature survey is now Chapter 5 and follows, rather than precedes, the model and framework. The chapter was rewritten to show explicitly what our approach contributes to each of the concepts, levels, and descriptor families it discusses, rather than summarizing them independently as was done in the previous version (Comments 2 and 3). The country case vignettes added to Ch</w:t>
      </w:r>
      <w:r w:rsidRPr="001A5D8B">
        <w:rPr>
          <w:rFonts w:ascii="Times New Roman" w:hAnsi="Times New Roman" w:cs="Times New Roman"/>
          <w:color w:val="000000" w:themeColor="text1"/>
        </w:rPr>
        <w:t xml:space="preserve">apter 4 give the manuscript a single empirical throughline connecting the individual-level model in Chapters 2 and 3 to the policy-embedded framework, </w:t>
      </w:r>
      <w:r w:rsidRPr="001A5D8B">
        <w:rPr>
          <w:rFonts w:ascii="Times New Roman" w:hAnsi="Times New Roman" w:cs="Times New Roman"/>
          <w:color w:val="000000" w:themeColor="text1"/>
        </w:rPr>
        <w:lastRenderedPageBreak/>
        <w:t>rather than leaving the two as separate exercises (Comment 1). The introduction to Chapter 3 now grounds our use of public opinion data directly in the mass political behavior and information-processing literatures, rather than resting on an underdeveloped analogy to elite belief systems (Comment 4). Taken together, we believe these changes address the review</w:t>
      </w:r>
      <w:r w:rsidRPr="001A5D8B">
        <w:rPr>
          <w:rFonts w:ascii="Times New Roman" w:hAnsi="Times New Roman" w:cs="Times New Roman"/>
          <w:color w:val="000000" w:themeColor="text1"/>
        </w:rPr>
        <w:t>er’s underlying concern with coherence and fit. We thank the reviewer for their time, efforts, and frankness and we strongly believe that the manuscript has improved as a result.</w:t>
      </w:r>
      <w:bookmarkEnd w:id="0"/>
      <w:bookmarkEnd w:id="3"/>
    </w:p>
    <w:sectPr w:rsidR="00DC7140" w:rsidRPr="001A5D8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835A77C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98066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C7140"/>
    <w:rsid w:val="0002568F"/>
    <w:rsid w:val="001A5D8B"/>
    <w:rsid w:val="006D08AB"/>
    <w:rsid w:val="00981B36"/>
    <w:rsid w:val="00DC7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BD4930"/>
  <w15:docId w15:val="{F22A0E44-A568-3946-A3CB-F6D326D68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2764</Words>
  <Characters>15761</Characters>
  <Application>Microsoft Office Word</Application>
  <DocSecurity>0</DocSecurity>
  <Lines>131</Lines>
  <Paragraphs>36</Paragraphs>
  <ScaleCrop>false</ScaleCrop>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Nowlin, Matthew Christopher</cp:lastModifiedBy>
  <cp:revision>3</cp:revision>
  <dcterms:created xsi:type="dcterms:W3CDTF">2026-07-30T23:24:00Z</dcterms:created>
  <dcterms:modified xsi:type="dcterms:W3CDTF">2026-07-30T23:25:00Z</dcterms:modified>
</cp:coreProperties>
</file>