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A6BE2" w14:textId="77777777" w:rsidR="00015716" w:rsidRDefault="00015716" w:rsidP="00F376C8">
      <w:pPr>
        <w:jc w:val="center"/>
        <w:rPr>
          <w:rFonts w:ascii="Times New Roman" w:hAnsi="Times New Roman" w:cs="Times New Roman"/>
          <w:b/>
          <w:bCs/>
          <w:color w:val="000000" w:themeColor="text1"/>
          <w:sz w:val="40"/>
          <w:szCs w:val="40"/>
        </w:rPr>
      </w:pPr>
    </w:p>
    <w:p w14:paraId="0D3D67FF" w14:textId="77777777" w:rsidR="00015716" w:rsidRDefault="00015716" w:rsidP="00F376C8">
      <w:pPr>
        <w:jc w:val="center"/>
        <w:rPr>
          <w:rFonts w:ascii="Times New Roman" w:hAnsi="Times New Roman" w:cs="Times New Roman"/>
          <w:b/>
          <w:bCs/>
          <w:color w:val="000000" w:themeColor="text1"/>
          <w:sz w:val="40"/>
          <w:szCs w:val="40"/>
        </w:rPr>
      </w:pPr>
    </w:p>
    <w:p w14:paraId="1FD79C56" w14:textId="77777777" w:rsidR="00015716" w:rsidRDefault="00015716" w:rsidP="00F376C8">
      <w:pPr>
        <w:jc w:val="center"/>
        <w:rPr>
          <w:rFonts w:ascii="Times New Roman" w:hAnsi="Times New Roman" w:cs="Times New Roman"/>
          <w:b/>
          <w:bCs/>
          <w:color w:val="000000" w:themeColor="text1"/>
          <w:sz w:val="40"/>
          <w:szCs w:val="40"/>
        </w:rPr>
      </w:pPr>
    </w:p>
    <w:p w14:paraId="55D3947C" w14:textId="77777777" w:rsidR="00015716" w:rsidRDefault="00015716" w:rsidP="00F376C8">
      <w:pPr>
        <w:jc w:val="center"/>
        <w:rPr>
          <w:rFonts w:ascii="Times New Roman" w:hAnsi="Times New Roman" w:cs="Times New Roman"/>
          <w:b/>
          <w:bCs/>
          <w:color w:val="000000" w:themeColor="text1"/>
          <w:sz w:val="40"/>
          <w:szCs w:val="40"/>
        </w:rPr>
      </w:pPr>
    </w:p>
    <w:p w14:paraId="23C11B18" w14:textId="77777777" w:rsidR="00015716" w:rsidRDefault="00015716" w:rsidP="00F376C8">
      <w:pPr>
        <w:jc w:val="center"/>
        <w:rPr>
          <w:rFonts w:ascii="Times New Roman" w:hAnsi="Times New Roman" w:cs="Times New Roman"/>
          <w:b/>
          <w:bCs/>
          <w:color w:val="000000" w:themeColor="text1"/>
          <w:sz w:val="40"/>
          <w:szCs w:val="40"/>
        </w:rPr>
      </w:pPr>
    </w:p>
    <w:p w14:paraId="286CC9F2" w14:textId="77777777" w:rsidR="00015716" w:rsidRDefault="00015716" w:rsidP="00F376C8">
      <w:pPr>
        <w:jc w:val="center"/>
        <w:rPr>
          <w:rFonts w:ascii="Times New Roman" w:hAnsi="Times New Roman" w:cs="Times New Roman"/>
          <w:b/>
          <w:bCs/>
          <w:color w:val="000000" w:themeColor="text1"/>
          <w:sz w:val="40"/>
          <w:szCs w:val="40"/>
        </w:rPr>
      </w:pPr>
    </w:p>
    <w:p w14:paraId="5F4C730F" w14:textId="423939D7" w:rsidR="00F376C8" w:rsidRPr="0029054E" w:rsidRDefault="00F376C8" w:rsidP="00F376C8">
      <w:pPr>
        <w:jc w:val="center"/>
        <w:rPr>
          <w:rFonts w:ascii="Times New Roman" w:hAnsi="Times New Roman" w:cs="Times New Roman"/>
          <w:b/>
          <w:bCs/>
          <w:color w:val="000000" w:themeColor="text1"/>
          <w:sz w:val="40"/>
          <w:szCs w:val="40"/>
        </w:rPr>
      </w:pPr>
      <w:r w:rsidRPr="0029054E">
        <w:rPr>
          <w:rFonts w:ascii="Times New Roman" w:hAnsi="Times New Roman" w:cs="Times New Roman"/>
          <w:b/>
          <w:bCs/>
          <w:color w:val="000000" w:themeColor="text1"/>
          <w:sz w:val="40"/>
          <w:szCs w:val="40"/>
        </w:rPr>
        <w:t>Policy Learning and Information Processing Dynamics</w:t>
      </w:r>
    </w:p>
    <w:p w14:paraId="12E6EBAE" w14:textId="77777777" w:rsidR="00F376C8" w:rsidRDefault="00F376C8" w:rsidP="00F376C8">
      <w:pPr>
        <w:rPr>
          <w:rFonts w:ascii="Times New Roman" w:eastAsiaTheme="majorEastAsia" w:hAnsi="Times New Roman" w:cs="Times New Roman"/>
          <w:color w:val="000000" w:themeColor="text1"/>
          <w:kern w:val="0"/>
          <w:sz w:val="32"/>
          <w:szCs w:val="32"/>
          <w:lang w:val="en-US"/>
          <w14:ligatures w14:val="none"/>
        </w:rPr>
      </w:pPr>
      <w:r>
        <w:rPr>
          <w:rFonts w:ascii="Times New Roman" w:hAnsi="Times New Roman" w:cs="Times New Roman"/>
          <w:color w:val="000000" w:themeColor="text1"/>
        </w:rPr>
        <w:br w:type="page"/>
      </w:r>
    </w:p>
    <w:p w14:paraId="3FEC34E6" w14:textId="77777777" w:rsidR="00F376C8" w:rsidRDefault="00F376C8" w:rsidP="00F376C8">
      <w:pPr>
        <w:pStyle w:val="Heading1"/>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Abstract</w:t>
      </w:r>
    </w:p>
    <w:p w14:paraId="63B6285B" w14:textId="77777777" w:rsidR="00F376C8" w:rsidRDefault="00F376C8" w:rsidP="00F376C8">
      <w:pPr>
        <w:rPr>
          <w:lang w:val="en-US"/>
        </w:rPr>
      </w:pPr>
    </w:p>
    <w:p w14:paraId="5E370BDD" w14:textId="77777777" w:rsidR="00F376C8" w:rsidRDefault="00F376C8" w:rsidP="00F376C8">
      <w:pPr>
        <w:spacing w:line="480" w:lineRule="auto"/>
        <w:jc w:val="both"/>
        <w:rPr>
          <w:rFonts w:ascii="Times New Roman" w:hAnsi="Times New Roman" w:cs="Times New Roman"/>
          <w:color w:val="000000" w:themeColor="text1"/>
          <w:sz w:val="24"/>
          <w:szCs w:val="24"/>
        </w:rPr>
      </w:pPr>
      <w:r w:rsidRPr="00587E2D">
        <w:rPr>
          <w:rFonts w:ascii="Times New Roman" w:hAnsi="Times New Roman" w:cs="Times New Roman"/>
          <w:color w:val="000000" w:themeColor="text1"/>
          <w:sz w:val="24"/>
          <w:szCs w:val="24"/>
        </w:rPr>
        <w:t>Policy learning has</w:t>
      </w:r>
      <w:r>
        <w:rPr>
          <w:rFonts w:ascii="Times New Roman" w:hAnsi="Times New Roman" w:cs="Times New Roman"/>
          <w:color w:val="000000" w:themeColor="text1"/>
          <w:sz w:val="24"/>
          <w:szCs w:val="24"/>
        </w:rPr>
        <w:t xml:space="preserve"> long been heralded as one of the most versatile and widely recognized approaches to policy analysis, so much so that it is often viewed as an ontology of the policy process. However, its theoretical and analytical fineness notwithstanding, research offering a systematic approach to tracing the micro-foundations of policy learning remains rather embryonic. In this element, we begin with mapping the sprawling theoretical, conceptual, and analytical landscape of policy learning research. Leveraging this review, we develop a model of policy-embedded learning and information processing. Taking a Bayesian information processing perspective, this model enables analysis of</w:t>
      </w:r>
      <w:r w:rsidRPr="00587E2D">
        <w:rPr>
          <w:rFonts w:ascii="Times New Roman" w:hAnsi="Times New Roman" w:cs="Times New Roman"/>
          <w:color w:val="000000" w:themeColor="text1"/>
          <w:sz w:val="24"/>
          <w:szCs w:val="24"/>
        </w:rPr>
        <w:t xml:space="preserve"> how dynamics of attention, selection, and the interpretation of information </w:t>
      </w:r>
      <w:r>
        <w:rPr>
          <w:rFonts w:ascii="Times New Roman" w:hAnsi="Times New Roman" w:cs="Times New Roman"/>
          <w:color w:val="000000" w:themeColor="text1"/>
          <w:sz w:val="24"/>
          <w:szCs w:val="24"/>
        </w:rPr>
        <w:t xml:space="preserve">and their interaction with existing belief structures influence learning outcomes. We then apply this model using public opinion survey data from the United States on the use of nuclear energy within the context of the Fukushima nuclear reactor incident. We conclude with potential avenues for future research, particularly focused on theoretically and analytically scaling up this model of policy-embedded learning and information process. </w:t>
      </w:r>
    </w:p>
    <w:p w14:paraId="00CF1134" w14:textId="77777777" w:rsidR="00F376C8" w:rsidRPr="00587E2D" w:rsidRDefault="00F376C8" w:rsidP="00F376C8">
      <w:pPr>
        <w:spacing w:line="480" w:lineRule="auto"/>
        <w:jc w:val="both"/>
        <w:rPr>
          <w:rFonts w:ascii="Times New Roman" w:hAnsi="Times New Roman" w:cs="Times New Roman"/>
          <w:color w:val="000000" w:themeColor="text1"/>
          <w:sz w:val="24"/>
          <w:szCs w:val="24"/>
        </w:rPr>
      </w:pPr>
      <w:r w:rsidRPr="00960968">
        <w:rPr>
          <w:rFonts w:ascii="Times New Roman" w:hAnsi="Times New Roman" w:cs="Times New Roman"/>
          <w:b/>
          <w:bCs/>
          <w:color w:val="000000" w:themeColor="text1"/>
          <w:sz w:val="24"/>
          <w:szCs w:val="24"/>
        </w:rPr>
        <w:t xml:space="preserve">Keywords: </w:t>
      </w:r>
      <w:r w:rsidRPr="00BF238C">
        <w:rPr>
          <w:rFonts w:ascii="Times New Roman" w:hAnsi="Times New Roman" w:cs="Times New Roman"/>
          <w:color w:val="000000" w:themeColor="text1"/>
          <w:sz w:val="24"/>
          <w:szCs w:val="24"/>
        </w:rPr>
        <w:t>Policy learning; Information Processing; Policy-embedded learning; Public Policy</w:t>
      </w:r>
    </w:p>
    <w:p w14:paraId="3E200348" w14:textId="41E37CC5" w:rsidR="007E38AB" w:rsidRPr="00555117" w:rsidRDefault="007E38AB">
      <w:pPr>
        <w:rPr>
          <w:rFonts w:ascii="Times New Roman" w:hAnsi="Times New Roman" w:cs="Times New Roman"/>
        </w:rPr>
      </w:pPr>
    </w:p>
    <w:p w14:paraId="45ABF682" w14:textId="77777777" w:rsidR="00015716" w:rsidRDefault="00015716">
      <w:pPr>
        <w:rPr>
          <w:rFonts w:ascii="Times New Roman" w:eastAsiaTheme="majorEastAsia" w:hAnsi="Times New Roman" w:cs="Times New Roman"/>
          <w:color w:val="2F5496" w:themeColor="accent1" w:themeShade="BF"/>
          <w:kern w:val="0"/>
          <w:sz w:val="32"/>
          <w:szCs w:val="32"/>
          <w:lang w:val="en-US"/>
          <w14:ligatures w14:val="none"/>
        </w:rPr>
      </w:pPr>
      <w:bookmarkStart w:id="0" w:name="introduction"/>
      <w:bookmarkStart w:id="1" w:name="_Toc223685850"/>
      <w:r>
        <w:rPr>
          <w:rFonts w:ascii="Times New Roman" w:hAnsi="Times New Roman" w:cs="Times New Roman"/>
        </w:rPr>
        <w:br w:type="page"/>
      </w:r>
    </w:p>
    <w:p w14:paraId="3E200349" w14:textId="708BFE69" w:rsidR="007E38AB" w:rsidRPr="00555117" w:rsidRDefault="00000000">
      <w:pPr>
        <w:pStyle w:val="Heading1"/>
        <w:rPr>
          <w:rFonts w:ascii="Times New Roman" w:hAnsi="Times New Roman" w:cs="Times New Roman"/>
        </w:rPr>
      </w:pPr>
      <w:r w:rsidRPr="00555117">
        <w:rPr>
          <w:rFonts w:ascii="Times New Roman" w:hAnsi="Times New Roman" w:cs="Times New Roman"/>
        </w:rPr>
        <w:lastRenderedPageBreak/>
        <w:t>1. Introduction</w:t>
      </w:r>
      <w:bookmarkEnd w:id="1"/>
    </w:p>
    <w:p w14:paraId="3E20034A" w14:textId="77777777" w:rsidR="007E38AB" w:rsidRPr="00555117" w:rsidRDefault="00000000">
      <w:pPr>
        <w:rPr>
          <w:rFonts w:ascii="Times New Roman" w:hAnsi="Times New Roman" w:cs="Times New Roman"/>
        </w:rPr>
      </w:pPr>
      <w:r w:rsidRPr="00555117">
        <w:rPr>
          <w:rFonts w:ascii="Times New Roman" w:hAnsi="Times New Roman" w:cs="Times New Roman"/>
        </w:rPr>
        <w:t>Why do policy actors do what they do? Why and how does a policy or a particular institutional arrangement change or remain immutable? Those are some of the most quintessential puzzles in public policy research and practice. Several theoretical approaches and frameworks about the policy process have endeavored to solve these puzzles. For example, by looking at changes in beliefs and coalitions (Sabatier &amp; Jenkins-Smith, 1993), shifting components of institutional arrangements over time (Ostrom, 1990), the mechanisms of policy adjustment (Lindblom, 1959), the diffusion of policy ideas across political jurisdictions (Braun &amp; Gilardi, 2006), the interplay of external events and institutional dynamics (Baumgartner &amp; Jones, 1993), or the influence of policy entrepreneurs in coupling problems, solutions, and political conditions, (Kingdon, 1984), among others.</w:t>
      </w:r>
    </w:p>
    <w:p w14:paraId="3E20034B" w14:textId="77777777" w:rsidR="007E38AB" w:rsidRPr="00555117" w:rsidRDefault="00000000">
      <w:pPr>
        <w:rPr>
          <w:rFonts w:ascii="Times New Roman" w:hAnsi="Times New Roman" w:cs="Times New Roman"/>
        </w:rPr>
      </w:pPr>
      <w:r w:rsidRPr="00555117">
        <w:rPr>
          <w:rFonts w:ascii="Times New Roman" w:hAnsi="Times New Roman" w:cs="Times New Roman"/>
        </w:rPr>
        <w:t>The contributions of these approaches to the puzzles noted above notwithstanding, the policy learning approach stands out as among the most fundamental and promising, largely because of the central character of learning itself. Although definitions vary, policy learning can be understood, at its core, as a process in which policy actors, embedded in particular contexts and institutional settings, seek and process information and knowledge about policy problems to update their understanding of viable solutions (Zaki et al., 2022). This process yields a range of products (i.e., outcomes), including cognitive, such as updates in beliefs and understandings, whether confirmatory or diametrically transformative, as well as behavioral, such as changes in political advocacy strategies and different degrees of policy change (see Dunlop &amp; Radaelli, 2013; Heikkila &amp; Gerlak, 2013; Plümer, 2024). On this basis, policy learning has been elevated to the rank of an “ontology of the policy process,” offering a coherent account of why policy actors and institutions behave as they do by tracing why, how, and when they learn about policy problems and viable solutions (see Kamkhaji, 2022; Zaki, 2024a) . In this view, learning is not merely something that occurs within policymaking. It is a constitutive problem-oriented process that shapes individual and collective behavior as actors develop solutions in interaction with the cognitive and institutional structures in which problem-solving unfolds. Here, explaining policy behavior and outcomes requires attending to the key attributes of learning, namely who learns, what they learn, from whom, how, and why. Put differently, we can better account for why policy actors behave in particular ways, and with what consequences, by treating their actions as a function of their learning processes (Dunlop &amp; Radaelli, 2013; Zaki, 2024a).</w:t>
      </w:r>
    </w:p>
    <w:p w14:paraId="3E20034C" w14:textId="77777777" w:rsidR="007E38AB" w:rsidRPr="00555117" w:rsidRDefault="00000000">
      <w:pPr>
        <w:rPr>
          <w:rFonts w:ascii="Times New Roman" w:hAnsi="Times New Roman" w:cs="Times New Roman"/>
        </w:rPr>
      </w:pPr>
      <w:r w:rsidRPr="00555117">
        <w:rPr>
          <w:rFonts w:ascii="Times New Roman" w:hAnsi="Times New Roman" w:cs="Times New Roman"/>
        </w:rPr>
        <w:t>The notable analytical potential of policy learning, together with its normative appeal, has spurred a flurry of research in which learning has evolved into a multifaceted concept that often resists universal definition. Reviews of the policy learning literature accordingly document dozens of definitions of policy learning. These definitions are grounded in distinct ontological and epistemological assumptions and diverge in their analytical emphases, whether they privilege learning outcomes, the levels at which learning occurs, or the units of analysis, ranging from individuals to collectives, organizations, subsystems, and entire societies (Gerlak et al., 2018; Zaki et al., 2022; Zaki &amp; Radaelli, 2024).</w:t>
      </w:r>
    </w:p>
    <w:p w14:paraId="3E20034D"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Leveraging the analytical potency of policy learning, we can observe its growth proceeding in several directions, including its proliferation across the various theories and frameworks of policymaking. In the Multiple Streams Approach (MSA), recent work has shown how learning manifests within and across loosely coupled streams, for example through indicators, focusing events, and feedback that reshape problem definitions, through policy communities’ work on policy and instrument design, and through political learning and coupling practices in which entrepreneurs craft discursive links between problems, policies, and politics (Blum, 2018; Herweg et al., 2023; Möck &amp; Feindt, 2024). Learning has also traveled into narrative and framing scholarship, most visibly in the Narrative Policy Framework (NPF), where narratives are treated as structured stories with characters and morals that actors deploy strategically; this </w:t>
      </w:r>
      <w:r w:rsidRPr="00555117">
        <w:rPr>
          <w:rFonts w:ascii="Times New Roman" w:hAnsi="Times New Roman" w:cs="Times New Roman"/>
        </w:rPr>
        <w:lastRenderedPageBreak/>
        <w:t>makes narrative stability and change an empirically observable surface of belief dynamics and, increasingly, a basis for theorizing policy narrative learning as convergence on new narrative configurations over time (Bandelow et al., 2025; see M. D. Jones &amp; McBeth, 2010; Jung &amp; Huang, 2024; Shanahan et al., 2011). Beyond MSF and NPF, learning is shown in policy diffusion and transfer models that formalize how governments learn from their own experiences and those of others’ (Volden et al., 2008), in work spanning the policy cycle from design to implementation (Biegelbauer, 2016), as well as in classic accounts linking different learning dynamics to different orders of policy change, from incremental adjustments to paradigmatic shifts (Bennett &amp; Howlett, 1992; Hall, 1993; Heclo, 1974; Moyson, 2017). Among the various theories of the policy process, the Advocacy Coalition Framework (ACF), through its focus on the connections between belief systems, belief change, and policy-oriented learning, offers one of the most substantive conceptualizations of the nexus between policy learning and policy change (Bandelow et al., 2019; Jenkins-Smith &amp; Sabatier, 1993; Nohrstedt et al., 2023; Pattison, 2018). In this tradition, policy-oriented learning is defined as “enduring alterations of thought or behavioral intentions that result from experience and which are concerned with the attainment or revision of the precepts of the belief systems of individuals or collectives” (Jenkins-Smith &amp; Sabatier, 1993, p. 42). Furthermore, policy learning also entered international relations scholarship, prominently featuring in theories of European integration as a core mechanism shaping integration trajectories within and across EU institutions (Radaelli, 2022; Zaki, 2026). Overall, this itinerary underscores how policy learning now operates as a genuinely crosscutting analytic language throughout policy process scholarship (Dunlop &amp; Radaelli, 2013).</w:t>
      </w:r>
    </w:p>
    <w:p w14:paraId="3E20034E"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Beyond crystallizing across existing theories and frameworks, policy learning also serves as the basis for developing analytical frameworks in its own terms, as work in this vein increasingly specifies what varies in learning, how that variation is produced, and how it connects to policy-related outcomes. For example, a key move here could be treating learning as a structured typological space, where learning modes are differentiated by the interaction of problem tractability and actor certification (yielding epistemic, hierarchical, bargaining, and reflexive learning), and then refined by adding who controls learning objectives and who controls learning content or means, thereby expanding the set of analytically distinct “species” and clarifying scope conditions (Dunlop &amp; Radaelli, 2013). This systematization is complemented by frameworks that open the black box between learning and change by mapping macro-to-micro foundations, micro-to-micro group interaction, and micro-to-macro aggregation to align claims about learning with the level at which their mechanisms operate (Dunlop &amp; Radaelli, 2017). Other frameworks bring political conditions into sharper focus by specifying intention-sensitive learning heuristics, distinguishing policy-oriented from power-oriented learning, and linking their balance to issue salience and actor polarization, with explicit expectations about when learning supports problem-solving and when it tilts toward the strategic use of ideas (Trein &amp; Vagionaki, 2022). Another example comes from the epistemic learning variety, where the inter- and intra-disciplinary problem is turned into an explicit analytic object through a two-dimensional framework that differentiates vertical dynamics (selection and contestation within the core discipline informing policy) from horizontal dynamics (the range of disciplines mobilized), offering a way to diagnose when policy actors narrow or broaden the scientific basis of learning under crisis conditions (Zaki &amp; Wayenberg, 2021). Finally, learning-centered frameworks increasingly treat learning as governable and contestable, conceptualizing how policy actors strategize, design, and govern learning by intervening in core elements such as the actors involved, information and knowledge, learning systems and structures, and policy issue formulation, and thereby shaping both the technical and political products of learning (Zaki, 2024a). This same move also expands the outcome space beyond “better policy” by theorizing how learning failures, both misdirected design </w:t>
      </w:r>
      <w:r w:rsidRPr="00555117">
        <w:rPr>
          <w:rFonts w:ascii="Times New Roman" w:hAnsi="Times New Roman" w:cs="Times New Roman"/>
        </w:rPr>
        <w:lastRenderedPageBreak/>
        <w:t>failures and normative failures, can contribute to public value(s) destruction rather than creation (Zaki, 2024b).</w:t>
      </w:r>
    </w:p>
    <w:p w14:paraId="3E20034F" w14:textId="77777777" w:rsidR="007E38AB" w:rsidRPr="00555117" w:rsidRDefault="00000000">
      <w:pPr>
        <w:rPr>
          <w:rFonts w:ascii="Times New Roman" w:hAnsi="Times New Roman" w:cs="Times New Roman"/>
        </w:rPr>
      </w:pPr>
      <w:r w:rsidRPr="00555117">
        <w:rPr>
          <w:rFonts w:ascii="Times New Roman" w:hAnsi="Times New Roman" w:cs="Times New Roman"/>
        </w:rPr>
        <w:t>Here, it is pertinent to note that this theoretical richness is not merely a product of abstract conceptual development. It is, to a large extent, rooted in and continuously refined by empirical realities. Many of these contributions developed on the basis of empirical analyses across a wide range of substantive domains and cases, from public health to agriculture and food security to crisis governance and beyond (e.g., Albright, 2011; Beach et al., 2021; Busetti &amp; Righettini, 2023; Crow et al., 2023). This wide empirical uptake also ties the analytical ambition of learning to a normative and evaluative one, because learning is repeatedly implicated in whether policy processes generate workable solutions, substantive reforms, and improved performance, rather than merely producing activity or symbolic change. Thus, the empirical record underscores that learning is not inherently beneficial. When expertise is misidentified, when information is selectively curated, or when inappropriate learning modes are employed, learning can become misdirected and contribute to policy failures or fiascos (Dunlop et al., 2020; Zaki &amp; Wayenberg, 2021), and, more broadly, to public value(s) destruction rather than creation (Zaki, 2024a). It is precisely this combination of analytical reach and normative stakes that helps explain why learning has increasingly become an object of deliberate intervention, with policy actors attempting to design, steer, and institutionalize more robust learning processes rather than leaving learning to chance (Zaki, 2024a).</w:t>
      </w:r>
    </w:p>
    <w:p w14:paraId="3E200350"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The wide-ranging development of the policy learning literature is analytically and normatively productive, but it also endures a specific kind of conceptual vulnerability that several of the approaches discussed above have flagged and, cumulatively, attempted to address. As learning travels across theories, levels of analysis, and empirical domains, definitions increasingly foreground </w:t>
      </w:r>
      <w:r w:rsidRPr="00555117">
        <w:rPr>
          <w:rFonts w:ascii="Times New Roman" w:hAnsi="Times New Roman" w:cs="Times New Roman"/>
          <w:i/>
          <w:iCs/>
        </w:rPr>
        <w:t>what</w:t>
      </w:r>
      <w:r w:rsidRPr="00555117">
        <w:rPr>
          <w:rFonts w:ascii="Times New Roman" w:hAnsi="Times New Roman" w:cs="Times New Roman"/>
        </w:rPr>
        <w:t xml:space="preserve"> changes (beliefs, strategies, policies) while leaving less explicit </w:t>
      </w:r>
      <w:r w:rsidRPr="00555117">
        <w:rPr>
          <w:rFonts w:ascii="Times New Roman" w:hAnsi="Times New Roman" w:cs="Times New Roman"/>
          <w:i/>
          <w:iCs/>
        </w:rPr>
        <w:t>how</w:t>
      </w:r>
      <w:r w:rsidRPr="00555117">
        <w:rPr>
          <w:rFonts w:ascii="Times New Roman" w:hAnsi="Times New Roman" w:cs="Times New Roman"/>
        </w:rPr>
        <w:t xml:space="preserve"> such change is generated at the micro-foundational level. This is partly because many influential formulations, even when adapted well beyond their original homes, remain anchored in the policy-oriented learning traditions of the ACF that privilege outcomes, specifically belief systems and their revision (Jenkins-Smith &amp; Sabatier, 1993). The risk, then, is that policy learning can remain, in part, an omnibus label for belief change and policy adjustment, rather than a mechanism with a clearly specified internal logic. In doing so, we risk under-utilizing one of the field’s strongest strengths: its ability to account for the fundamental “fuel” of policy actor behavior, namely how policy-relevant information is encountered, selected, interpreted, and processed, and how this processing generates the diverse products of learning. To be sure, several frameworks have already pushed in this direction by elucidating learning mechanisms and clarifying how learning links to outcomes across levels of analysis (Dunlop &amp; Radaelli, 2017; Heikkila &amp; Gerlak, 2013; Zaki, 2024a). Yet, if policy learning is fundamentally about updating beliefs and understandings, the pivotal analytical question remains how actors reconcile informational cues with prior beliefs, heuristics, and institutional constraints. In this element, we shift attention to the micro-foundational substrate that makes updating possible in the first place, namely, information and its processing.</w:t>
      </w:r>
    </w:p>
    <w:p w14:paraId="3E200351"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Information constitutes the raw material with which ideas, knowledge, beliefs, and social construction of policy problems are built (Nowlin, 2021; Zaki et al., 2022). Within learning, individuals and collectives exchange information about policy problems and then reconcile and process it within their existing belief systems, norms, heuristics, and preferences. Accordingly, they develop updated understandings of these problems and their potential solutions, guiding policymaking (Beach et al., 2021; Braun &amp; Gilardi, 2006; Wagner &amp; Ylä-Anttila, 2020). How these informational cues are exchanged, selected, and processed significantly impacts what is learned and the products of learning (Heikkila &amp; Gerlak, 2013; Moyson, 2017; Nowlin, 2021). With information and information processing at the core, we define policy learning as </w:t>
      </w:r>
      <w:r w:rsidRPr="00555117">
        <w:rPr>
          <w:rFonts w:ascii="Times New Roman" w:hAnsi="Times New Roman" w:cs="Times New Roman"/>
          <w:i/>
          <w:iCs/>
        </w:rPr>
        <w:t xml:space="preserve">an iterative, problem-oriented process in which policy actors attended to, seek, and process </w:t>
      </w:r>
      <w:r w:rsidRPr="00555117">
        <w:rPr>
          <w:rFonts w:ascii="Times New Roman" w:hAnsi="Times New Roman" w:cs="Times New Roman"/>
          <w:i/>
          <w:iCs/>
        </w:rPr>
        <w:lastRenderedPageBreak/>
        <w:t>information about policy issues, aiming to update their understanding of how they can be solved</w:t>
      </w:r>
      <w:r w:rsidRPr="00555117">
        <w:rPr>
          <w:rFonts w:ascii="Times New Roman" w:hAnsi="Times New Roman" w:cs="Times New Roman"/>
        </w:rPr>
        <w:t>. Therefore, policy learning is an updating of beliefs following the processing of information. Yet, the updated understandings and beliefs must be congruent with - or in the direction of - the information to be considered “real” learning rather than stochastic behavioral or cognitive changes. This definition makes an immediate implication unavoidable: explaining learning requires theorizing the information-processing dynamics through which actors attend to some signals while discounting others, and through which belief updating becomes more or less likely.</w:t>
      </w:r>
    </w:p>
    <w:p w14:paraId="3E200352" w14:textId="77777777" w:rsidR="007E38AB" w:rsidRPr="00555117" w:rsidRDefault="00000000">
      <w:pPr>
        <w:rPr>
          <w:rFonts w:ascii="Times New Roman" w:hAnsi="Times New Roman" w:cs="Times New Roman"/>
        </w:rPr>
      </w:pPr>
      <w:r w:rsidRPr="00555117">
        <w:rPr>
          <w:rFonts w:ascii="Times New Roman" w:hAnsi="Times New Roman" w:cs="Times New Roman"/>
        </w:rPr>
        <w:t>Despite being understood as a key aspect of policy learning, especially over recent years, the role of information processing as a micro-foundational dimension of policy learning is often under-theorized (but see Nowlin, 2021). Policy process research on information and information processing has been developed by scholars of Punctuated Equilibrium Theory (PET) (see B. D. Jones &amp; Baumgartner, 2012) and largely independent from policy process work on policy learning. This is even though several decades ago, trailblazers in the field, such as Simon (1997) and Deutsch (1963), among others, pointed to the need for recognizing the connected nature of policymaking and early understandings of policy learning, where the interaction between information and heuristics, biases, and reasoning paradigms substantively shapes policy outcomes. This relative scarcity of theoretical focus on the connections between information processing and policy learning somewhat limits the field’s ability to explain the underlying causal mechanisms through which policy actors learn and, consequently, limits the ability to explain their learning outcomes. This is particularly problematic given the importance of integrating multilevel views of policy learning (micro, meso, and macro) in describing how learning aggregates towards specific outcomes (see Dunlop &amp; Radaelli, 2016; Heikkila &amp; Gerlak, 2013; Zaki et al., 2022). The task, then, is to reconnect policy learning scholarship to the information-processing mechanisms it often presupposes, and to do so in a way that clarifies how learning operates and aggregates across micro, meso, and macro levels.</w:t>
      </w:r>
    </w:p>
    <w:p w14:paraId="3E200353" w14:textId="77777777" w:rsidR="007E38AB" w:rsidRPr="00555117" w:rsidRDefault="00000000">
      <w:pPr>
        <w:rPr>
          <w:rFonts w:ascii="Times New Roman" w:hAnsi="Times New Roman" w:cs="Times New Roman"/>
        </w:rPr>
      </w:pPr>
      <w:r w:rsidRPr="00555117">
        <w:rPr>
          <w:rFonts w:ascii="Times New Roman" w:hAnsi="Times New Roman" w:cs="Times New Roman"/>
        </w:rPr>
        <w:t>In this Element, we build on work that situates learning at the center of policymaking, where learning is embedded in a policy context with policy actors, governance and sensemaking structures, and information (Zaki et al., 2022). Specifically, we develop a model that synthesizes research on learning and information processing to offer insights into how information processing dynamics (i.e., attention to some information signals while ignoring or downplaying others) influence what is or is not learned. In brief, the model posits that learning is the updating of beliefs that results from the interaction of information and prior beliefs, where the likelihood of learning increases as the strength of the information signal relative to the prior belief increases. This model of learning accounts for micro learning among individuals and meso-level learning among collectives. Additionally, the learning process illustrated by the model is embedded within a broader policymaking system context, which shapes how learning influences policy outcomes. This approach advances the theoretical debate on learning by further enshrining the micro-foundational and fundamental information processing dimension within existing approaches to policy learning and by plotting its influences on policy learning processes. This helps provide a more robust baseline for aggregating how learning takes place across multiple levels and thus advances our ability to explain learning outcomes and how learning contributes to policy change (Dunlop &amp; Radaelli, 2017; Moyson et al., 2017), further addressing the need for a more comprehensive model of agency underlying policy learning (Goyal &amp; Howlett, 2018).</w:t>
      </w:r>
    </w:p>
    <w:p w14:paraId="3E200354"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Looking ahead, in Chapter 2, we provide a thorough overview of the foundations of policy learning as a field of study and its development. Then, we showcase how these foundations developed into the contemporary sprawling landscape of policy learning research and its main analytical, theoretical, and conceptual streams (i.e., forms, modes, mechanisms, types, and outcomes of learning). From there, we </w:t>
      </w:r>
      <w:r w:rsidRPr="00555117">
        <w:rPr>
          <w:rFonts w:ascii="Times New Roman" w:hAnsi="Times New Roman" w:cs="Times New Roman"/>
        </w:rPr>
        <w:lastRenderedPageBreak/>
        <w:t>discuss the different ontological approaches to policy learning, with special attention to the role of information processing therein. In Chapter 3, we discuss the role of belief systems and information processing in policy learning, and we build a model of policy learning based on them. Then, in Chapter 4, we empirically apply the model to the case of the United States public opinion about nuclear energy following the Fukushima nuclear disaster. Next, in Chapter 5, we examine the broader policymaking system context in which learning through information processing occurs, and how those systemic factors produce policy outcomes. Specifically, we rely on our adopted approach of “policy-embedded learning” as a framework and conceptual background for thinking about the roles of information and information processing in learning as well as policy change and development. Finally, in Chapter 6, we offer brief concluding remarks that connect our model and framework to the conceptual, analytical, and theoretical approaches to learning discussed in this Element. This also includes a discussion of the limitations of this approach, most notably how policy change happens outside of policy learning through information processing.</w:t>
      </w:r>
    </w:p>
    <w:p w14:paraId="75929EE5" w14:textId="77777777" w:rsidR="00015716" w:rsidRDefault="00015716">
      <w:pPr>
        <w:rPr>
          <w:rFonts w:ascii="Times New Roman" w:eastAsiaTheme="majorEastAsia" w:hAnsi="Times New Roman" w:cs="Times New Roman"/>
          <w:color w:val="2F5496" w:themeColor="accent1" w:themeShade="BF"/>
          <w:kern w:val="0"/>
          <w:sz w:val="32"/>
          <w:szCs w:val="32"/>
          <w:lang w:val="en-US"/>
          <w14:ligatures w14:val="none"/>
        </w:rPr>
      </w:pPr>
      <w:bookmarkStart w:id="2" w:name="Xc199ce4c92b7c29a8729b032482c342f9df3c7f"/>
      <w:bookmarkStart w:id="3" w:name="_Toc223685851"/>
      <w:bookmarkEnd w:id="0"/>
      <w:r>
        <w:rPr>
          <w:rFonts w:ascii="Times New Roman" w:hAnsi="Times New Roman" w:cs="Times New Roman"/>
        </w:rPr>
        <w:br w:type="page"/>
      </w:r>
    </w:p>
    <w:p w14:paraId="3E200355" w14:textId="711CB682" w:rsidR="007E38AB" w:rsidRPr="00555117" w:rsidRDefault="00000000">
      <w:pPr>
        <w:pStyle w:val="Heading1"/>
        <w:rPr>
          <w:rFonts w:ascii="Times New Roman" w:hAnsi="Times New Roman" w:cs="Times New Roman"/>
        </w:rPr>
      </w:pPr>
      <w:r w:rsidRPr="00555117">
        <w:rPr>
          <w:rFonts w:ascii="Times New Roman" w:hAnsi="Times New Roman" w:cs="Times New Roman"/>
        </w:rPr>
        <w:lastRenderedPageBreak/>
        <w:t>2. Policy Learning: History, Roots, and Branches</w:t>
      </w:r>
      <w:bookmarkEnd w:id="3"/>
    </w:p>
    <w:p w14:paraId="3E200356" w14:textId="77777777" w:rsidR="007E38AB" w:rsidRPr="00555117" w:rsidRDefault="00000000">
      <w:pPr>
        <w:rPr>
          <w:rFonts w:ascii="Times New Roman" w:hAnsi="Times New Roman" w:cs="Times New Roman"/>
        </w:rPr>
      </w:pPr>
      <w:bookmarkStart w:id="4" w:name="introduction-1"/>
      <w:r w:rsidRPr="00555117">
        <w:rPr>
          <w:rFonts w:ascii="Times New Roman" w:hAnsi="Times New Roman" w:cs="Times New Roman"/>
        </w:rPr>
        <w:t>2.1 Introduction</w:t>
      </w:r>
    </w:p>
    <w:p w14:paraId="3E200357" w14:textId="77777777" w:rsidR="007E38AB" w:rsidRPr="00555117" w:rsidRDefault="00000000">
      <w:pPr>
        <w:rPr>
          <w:rFonts w:ascii="Times New Roman" w:hAnsi="Times New Roman" w:cs="Times New Roman"/>
        </w:rPr>
      </w:pPr>
      <w:r w:rsidRPr="00555117">
        <w:rPr>
          <w:rFonts w:ascii="Times New Roman" w:hAnsi="Times New Roman" w:cs="Times New Roman"/>
        </w:rPr>
        <w:t>Before turning to information processing as a micro-foundational hinge for learning, it is useful to briefly explore the genealogy and landscape of the policy learning literature. The contemporary conceptual landscape did not emerge as an abstract exercise in classification. Rather, it crystallized through successive attempts to make sense of how policy actors confront uncertainty, novel policy problems, the contestation that surrounds them, and how they mobilize knowledge under institutional constraints. A brief reconstruction of these roots helps explain both why policy learning became such an expansive field of study and why, as the field matured, it generated multiple branches that sometimes converge and sometimes compete. This historical sketch, therefore, provides the groundwork for the syntheses and distinctions that follow.</w:t>
      </w:r>
    </w:p>
    <w:p w14:paraId="3E200358" w14:textId="77777777" w:rsidR="007E38AB" w:rsidRPr="00555117" w:rsidRDefault="00000000">
      <w:pPr>
        <w:rPr>
          <w:rFonts w:ascii="Times New Roman" w:hAnsi="Times New Roman" w:cs="Times New Roman"/>
        </w:rPr>
      </w:pPr>
      <w:r w:rsidRPr="00555117">
        <w:rPr>
          <w:rFonts w:ascii="Times New Roman" w:hAnsi="Times New Roman" w:cs="Times New Roman"/>
        </w:rPr>
        <w:t>The contemporary foundations of learning in public policy and administration were laid decades ago by trailblazers such as Dewey (1946), Deutsch (1963), Lasswell (1970), Lasswell (1951), among others. This early intellectual stream was underpinned by an understanding of administration and policymaking as problem-oriented practices, continuously pressed to respond to novel, unfolding societal challenges (Kaufman, 1969). It was also animated by a view of policymaking as a process of collective problem-solving and “puzzling”, rather than merely a sequence of decisions imposed through power (Heclo, 1974). In this spirit, early learning scholarship sought to strengthen the link between knowledge and action by bringing together publics, stakeholders, and scientific communities to address societal problems. Its central tenet was a pragmatist orientation toward discovering what works, avoiding what does not, and building forms of stakeholder collaboration capable of sustaining informed collective action. In doing so, learning offered a supplementary, and often less visible, explanatory dimension to policy analysis (Hall, 1993; Heclo, 1974; Zaki &amp; Radaelli, 2024).</w:t>
      </w:r>
    </w:p>
    <w:p w14:paraId="3E200359" w14:textId="77777777" w:rsidR="007E38AB" w:rsidRPr="00555117" w:rsidRDefault="00000000">
      <w:pPr>
        <w:rPr>
          <w:rFonts w:ascii="Times New Roman" w:hAnsi="Times New Roman" w:cs="Times New Roman"/>
        </w:rPr>
      </w:pPr>
      <w:r w:rsidRPr="00555117">
        <w:rPr>
          <w:rFonts w:ascii="Times New Roman" w:hAnsi="Times New Roman" w:cs="Times New Roman"/>
        </w:rPr>
        <w:t>This pragmatic, solution-oriented foundation also helps explain the subsequent expansion of policy learning research and practice. Accelerating technological and industrial change, more tightly connected ecologies, and rising complexity generated policy problems that were increasingly difficult to define, depoliticize, or settle, and that came to be described through an expanding vocabulary of “wickedness,” “turbulence,” and “crises” (Boin et al., 2020; Head &amp; Alford, 2015; Rittel &amp; Webber, 1973; Zaki, 2024c). As policy problems became more contested and less tractable, inclusive, deliberate, and cumulative learning processes, whether at individual or collective levels, were increasingly positioned as central to developing workable responses.</w:t>
      </w:r>
    </w:p>
    <w:p w14:paraId="3E20035A" w14:textId="77777777" w:rsidR="007E38AB" w:rsidRPr="00555117" w:rsidRDefault="00000000">
      <w:pPr>
        <w:rPr>
          <w:rFonts w:ascii="Times New Roman" w:hAnsi="Times New Roman" w:cs="Times New Roman"/>
        </w:rPr>
      </w:pPr>
      <w:r w:rsidRPr="00555117">
        <w:rPr>
          <w:rFonts w:ascii="Times New Roman" w:hAnsi="Times New Roman" w:cs="Times New Roman"/>
        </w:rPr>
        <w:t>In parallel, policy learning emerged as a practice, as actors increasingly engaged in more systematic efforts to learn over time, across jurisdictions, and across sectors. From the 1970s onward, scholarship documented this growth across domains ranging from environmental and climate governance to welfare, economic policy, and public health, as well as crisis governance and emergency politics (Crow et al., 2023; Dunlop, 2017; Gerlak et al., 2018; Heclo, 1974; Kamkhaji &amp; Radaelli, 2017; T. Lee &amp; Meene, 2012; Rietig, 2019; Shi, 2012; Taylor et al., 2022; Trein &amp; Vagionaki, 2022). Institutional arrangements were also developed to scaffold learning, whether through benchmarking, mutual adjustment, cross-jurisdictional comparison, and cross-sectoral exchange, including prominent instruments in the European Union such as the Open Method of Coordination and the European Semester, as well as internal coordination practices (Borrás &amp; Jacobsson, 2004; Kerber &amp; Eckardt, 2007). Likewise, transnational and thematic networks have pursued learning-oriented objectives by enabling shared metrics, peer exchange, and diffusion of practices (Candel et al., 2023; T. Lee &amp; Meene, 2012).</w:t>
      </w:r>
    </w:p>
    <w:p w14:paraId="3E20035B" w14:textId="77777777" w:rsidR="007E38AB" w:rsidRPr="00555117" w:rsidRDefault="00000000">
      <w:pPr>
        <w:rPr>
          <w:rFonts w:ascii="Times New Roman" w:hAnsi="Times New Roman" w:cs="Times New Roman"/>
        </w:rPr>
      </w:pPr>
      <w:r w:rsidRPr="00555117">
        <w:rPr>
          <w:rFonts w:ascii="Times New Roman" w:hAnsi="Times New Roman" w:cs="Times New Roman"/>
        </w:rPr>
        <w:lastRenderedPageBreak/>
        <w:t>Interest in policy learning did not only manifest at the apex of governance architectures. Beyond the European Union and transnational policy networks, learning occurs at sub-national levels, including provinces, cities, and local communities, where proximity to implementation, service delivery, and community problem-solving often makes learning both more immediate and more consequential (Ansell et al., 2017; Busetti &amp; Righettini, 2023; Marshall &amp; Béland, 2019; Zaki &amp; Wayenberg, 2023). So, one can comfortably say that the expanding practice of learning has, in turn, fueled theoretical development, contributing to what Dunlop et al. (2018) describe as “the family tree of policy learning,” boasting roots that sprouted into multiple branches. What began at the roots as collective puzzlement oriented toward workable solutions, reflections on knowledge utilization (Weiss, 1986), public engagement in problem-solving (Dewey, 1946; Lasswell, 1970), negotiated adjustments (Lindblom, 1959), and boundedly rational information processing within governmental and societal networks (Simon, 1997), has since grown into a set of interrelated branches. These include subfields centered around ideas and ideational change (Ettelt et al., 2012), the mobility of policies through transfer, diffusion, and convergence (D. P. Dolowitz &amp; Marsh, 2000), information processing and attention dynamics (Nowlin, 2021; Zaki et al., 2022), evidence use and evaluative learning (Sanderson, 2009), and typological approaches that differentiate learning according to actor objectives and contextual conditions (Biegelbauer, 2016; Dunlop &amp; Radaelli, 2013). Following the same metaphor, these branches also bear different analytical “fruits”, ranging from design-oriented and governance approaches that treat learning as something that can be deliberately shaped (Dunlop &amp; Radaelli, 2017; Heikkila &amp; Gerlak, 2013; Zaki, 2024a), to causal accounts linking learning to belief and policy change (Dunlop &amp; Radaelli, 2017; Sabatier &amp; Jenkins-Smith, 1993)</w:t>
      </w:r>
    </w:p>
    <w:p w14:paraId="3E20035C" w14:textId="77777777" w:rsidR="007E38AB" w:rsidRPr="00555117" w:rsidRDefault="00000000">
      <w:pPr>
        <w:rPr>
          <w:rFonts w:ascii="Times New Roman" w:hAnsi="Times New Roman" w:cs="Times New Roman"/>
        </w:rPr>
      </w:pPr>
      <w:r w:rsidRPr="00555117">
        <w:rPr>
          <w:rFonts w:ascii="Times New Roman" w:hAnsi="Times New Roman" w:cs="Times New Roman"/>
        </w:rPr>
        <w:t>Taken together, this history helps explain why policy learning grew into a family tree, with multiple branches that share ancestry yet differ in their conceptual commitments and empirical objects of concern. This breadth has been productive, but it has also created a familiar trade-off between inclusiveness and precision. As learning spans theories and domains, it becomes easier to invoke it as an umbrella term than to specify exactly what varies, how learning is instantiated, and how it can be identified across studies. This is the terrain of conceptual stretching and “overlapping contours” that motivates repeated calls for synthesis and systematization (Borrás, 2011; Dunlop &amp; Radaelli, 2013; Gerlak et al., 2018; Levy, 1994; Zaki et al., 2022). The next section responds by mapping the field in a way that retains its pluralism while clarifying its core orientations, units, and analytical descriptors, thereby setting up a more organized foundation for the information-processing focus developed later in this element.</w:t>
      </w:r>
    </w:p>
    <w:p w14:paraId="3E20035D" w14:textId="77777777" w:rsidR="007E38AB" w:rsidRPr="00555117" w:rsidRDefault="00000000">
      <w:pPr>
        <w:rPr>
          <w:rFonts w:ascii="Times New Roman" w:hAnsi="Times New Roman" w:cs="Times New Roman"/>
        </w:rPr>
      </w:pPr>
      <w:bookmarkStart w:id="5" w:name="Xa2cf50de4c73533164dccedb3d817ef674c4825"/>
      <w:bookmarkEnd w:id="4"/>
      <w:r w:rsidRPr="00555117">
        <w:rPr>
          <w:rFonts w:ascii="Times New Roman" w:hAnsi="Times New Roman" w:cs="Times New Roman"/>
        </w:rPr>
        <w:t>2.2 Policy Learning: A Synthesis of Key Conceptual, Analytical, and Theoretical Approaches</w:t>
      </w:r>
    </w:p>
    <w:p w14:paraId="3E20035E" w14:textId="77777777" w:rsidR="007E38AB" w:rsidRPr="00555117" w:rsidRDefault="00000000">
      <w:pPr>
        <w:rPr>
          <w:rFonts w:ascii="Times New Roman" w:hAnsi="Times New Roman" w:cs="Times New Roman"/>
        </w:rPr>
      </w:pPr>
      <w:bookmarkStart w:id="6" w:name="key-conceptual-approaches"/>
      <w:r w:rsidRPr="00555117">
        <w:rPr>
          <w:rFonts w:ascii="Times New Roman" w:hAnsi="Times New Roman" w:cs="Times New Roman"/>
        </w:rPr>
        <w:t>2.2.1 Key Conceptual Approaches</w:t>
      </w:r>
    </w:p>
    <w:p w14:paraId="3E20035F"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The increasing recognition of policy learning as a key lens for policy analysis has generated a flurry of research. While this output has enriched the field, it has also produced a sprawling vocabulary of partially overlapping concepts and descriptors that are not always clearly mapped or systematically arranged. The multilevel and often implicit nature of learning, combined with its normative appeal, further compounds this problem by making learning conceptually slippery and empirically hard to pin down. The result is a hegemonic yet overextended concept, vulnerable to conceptual stretching, definitional ambiguity, and difficulties in systematizing and comparing findings across studies. In this sense, work on policy learning risks resembling the sort of “minefield” of conceptual stretching long associated with over-scoped concepts (Levy, 1994). Recent reviews echo this diagnosis, describing a “conceptual jungle” in which overlapping approaches proliferate and consensus over even a small set of usable definitions remains elusive (Borrás, 2011; Gerlak et al., 2018). This state of affairs has stimulated recurrent calls for theoretical and conceptual syntheses on which further field development can be anchored (Dunlop &amp; Radaelli, 2018; Goyal &amp; Howlett, 2018; Zaki et al., 2022). Accordingly, and before delving into the </w:t>
      </w:r>
      <w:r w:rsidRPr="00555117">
        <w:rPr>
          <w:rFonts w:ascii="Times New Roman" w:hAnsi="Times New Roman" w:cs="Times New Roman"/>
        </w:rPr>
        <w:lastRenderedPageBreak/>
        <w:t>information-processing dimension of policy learning, it is useful to first lay out the field’s key conceptual and theoretical approaches. The objective is twofold: first, to provide a succinct synthesis of an otherwise sprawling literature; and second, to establish a robust foundation for mapping the dynamics of policy learning and the role of information processing within it.</w:t>
      </w:r>
    </w:p>
    <w:p w14:paraId="3E200360" w14:textId="77777777" w:rsidR="007E38AB" w:rsidRPr="00555117" w:rsidRDefault="00000000">
      <w:pPr>
        <w:rPr>
          <w:rFonts w:ascii="Times New Roman" w:hAnsi="Times New Roman" w:cs="Times New Roman"/>
        </w:rPr>
      </w:pPr>
      <w:r w:rsidRPr="00555117">
        <w:rPr>
          <w:rFonts w:ascii="Times New Roman" w:hAnsi="Times New Roman" w:cs="Times New Roman"/>
        </w:rPr>
        <w:t>We begin by discussing what policy learning is. Sustained interest in learning has generated a diversity approaches of defining and operationalizing it, often distinguished by their underlying ontological orientations and epistemic commitments (Dunlop &amp; Radaelli, 2017; Zaki &amp; Radaelli, 2024). Across this spectrum, scholars have mobilized perspectives, ranging from more mechanistic and positivist accounts to interpretivist, social-constructivist, and discursive-institutionalist (Grin &amp; Loeber, 2007; Oliver &amp; Pemberton, 2004). In constructivist–interpretivist work, learning is foregrounded as an inherently social process through which actors negotiate problem definitions and meanings, communicate, interpret, and assess solution claims (Grin &amp; Van De Graaf, 1996). By contrast, other strands, most prominently those rooted in the Advocacy Coalition Framework (ACF), emphasize how actors process new information through relatively coherent pre-existing belief systems, with learning unfolding as belief updating under cognitive and political constraints (Dudley et al., 2000; Sabatier &amp; Jenkins-Smith, 1993). In ontological-epistemological terms, this positions learning closer to a presuppositionist, neo-positivist view in which beliefs structure information processing and observable belief change becomes a primary empirical trace of learning.</w:t>
      </w:r>
    </w:p>
    <w:p w14:paraId="3E200361" w14:textId="77777777" w:rsidR="007E38AB" w:rsidRPr="00555117" w:rsidRDefault="00000000">
      <w:pPr>
        <w:rPr>
          <w:rFonts w:ascii="Times New Roman" w:hAnsi="Times New Roman" w:cs="Times New Roman"/>
        </w:rPr>
      </w:pPr>
      <w:r w:rsidRPr="00555117">
        <w:rPr>
          <w:rFonts w:ascii="Times New Roman" w:hAnsi="Times New Roman" w:cs="Times New Roman"/>
        </w:rPr>
        <w:t>The ontological and epistemological diversity spills over into the field’s conceptual landscape, where policy learning is associated with a wide range of definitions and partially overlapping conceptual approaches. Literature reviews identify more than thirty distinct definitions of learning in the public policy literature (Zaki et al., 2022). Among the most prominent is the ACF’s formulation, which treats learning as enduring changes in thought, beliefs, or behavioral intentions regarding policy problems (Sabatier &amp; Jenkins-Smith, 1993). Other influential definitions conceptualize learning more instrumentally as deliberate adjustment of policy goals and techniques in response to experience and new information (Hall, 1993).</w:t>
      </w:r>
    </w:p>
    <w:p w14:paraId="3E200362" w14:textId="52D1C888" w:rsidR="007E38AB" w:rsidRPr="00555117" w:rsidRDefault="00000000">
      <w:pPr>
        <w:rPr>
          <w:rFonts w:ascii="Times New Roman" w:hAnsi="Times New Roman" w:cs="Times New Roman"/>
        </w:rPr>
      </w:pPr>
      <w:r w:rsidRPr="00555117">
        <w:rPr>
          <w:rFonts w:ascii="Times New Roman" w:hAnsi="Times New Roman" w:cs="Times New Roman"/>
        </w:rPr>
        <w:t xml:space="preserve">Beyond these, other work sees policy learning as an umbrella that captures the broader mobility of ideas and practices, encompassing phenomena such as lesson drawing, emulation, transfer, and diffusion across time and space (Giest, 2017). Other conceptualizations emphasize learning as an increase or update in knowledge about policy problems (Corbett et al., 2018), as reflective reasoning about policy using acquired knowledge and information (Newman &amp; Bird, 2017), or as processes of acquisition, translation, and dissemination of information among actors with heterogeneous knowledge bases (Heikkila &amp; Gerlak, 2013). Finally, some approaches treat learning as a decision-making paradigm in which policymaking is structured by knowledge, past experience, and anticipations of future consequences (Karlsen &amp; Larrea, 2017). Taken together, these conceptualizations can be organized into four broad perspectives on policy learning, namely process-oriented, paradigmatic, outcome-oriented, and idea-oriented. </w:t>
      </w:r>
      <w:hyperlink w:anchor="tbl-learn-concept">
        <w:r w:rsidRPr="00555117">
          <w:rPr>
            <w:rFonts w:ascii="Times New Roman" w:hAnsi="Times New Roman" w:cs="Times New Roman"/>
          </w:rPr>
          <w:t>Table 2.1</w:t>
        </w:r>
      </w:hyperlink>
      <w:r w:rsidRPr="00555117">
        <w:rPr>
          <w:rFonts w:ascii="Times New Roman" w:hAnsi="Times New Roman" w:cs="Times New Roman"/>
        </w:rPr>
        <w:t xml:space="preserve"> summarizes these perspectives, their core emphases, and representative contributions.</w:t>
      </w:r>
    </w:p>
    <w:tbl>
      <w:tblPr>
        <w:tblW w:w="5000" w:type="pct"/>
        <w:tblLayout w:type="fixed"/>
        <w:tblLook w:val="0000" w:firstRow="0" w:lastRow="0" w:firstColumn="0" w:lastColumn="0" w:noHBand="0" w:noVBand="0"/>
      </w:tblPr>
      <w:tblGrid>
        <w:gridCol w:w="9360"/>
      </w:tblGrid>
      <w:tr w:rsidR="007E38AB" w:rsidRPr="00555117" w14:paraId="3E200374" w14:textId="77777777">
        <w:tc>
          <w:tcPr>
            <w:tcW w:w="7920" w:type="dxa"/>
          </w:tcPr>
          <w:p w14:paraId="3E200363" w14:textId="77777777" w:rsidR="007E38AB" w:rsidRPr="00555117" w:rsidRDefault="00000000">
            <w:pPr>
              <w:spacing w:before="200"/>
              <w:rPr>
                <w:rFonts w:ascii="Times New Roman" w:hAnsi="Times New Roman" w:cs="Times New Roman"/>
              </w:rPr>
            </w:pPr>
            <w:bookmarkStart w:id="7" w:name="tbl-learn-concept"/>
            <w:r w:rsidRPr="00555117">
              <w:rPr>
                <w:rFonts w:ascii="Times New Roman" w:hAnsi="Times New Roman" w:cs="Times New Roman"/>
              </w:rPr>
              <w:t>Table 2.1: A Non-Exhaustive Synthesis of Conceptual Approaches to Policy Learning</w:t>
            </w:r>
          </w:p>
          <w:tbl>
            <w:tblPr>
              <w:tblW w:w="5000" w:type="pct"/>
              <w:tblLayout w:type="fixed"/>
              <w:tblLook w:val="0020" w:firstRow="1" w:lastRow="0" w:firstColumn="0" w:lastColumn="0" w:noHBand="0" w:noVBand="0"/>
            </w:tblPr>
            <w:tblGrid>
              <w:gridCol w:w="4572"/>
              <w:gridCol w:w="4572"/>
            </w:tblGrid>
            <w:tr w:rsidR="007E38AB" w:rsidRPr="00555117" w14:paraId="3E200366" w14:textId="77777777">
              <w:trPr>
                <w:tblHeader/>
              </w:trPr>
              <w:tc>
                <w:tcPr>
                  <w:tcW w:w="3960" w:type="dxa"/>
                </w:tcPr>
                <w:p w14:paraId="3E200364" w14:textId="77777777" w:rsidR="007E38AB" w:rsidRPr="00555117" w:rsidRDefault="00000000">
                  <w:pPr>
                    <w:jc w:val="center"/>
                    <w:rPr>
                      <w:rFonts w:ascii="Times New Roman" w:hAnsi="Times New Roman" w:cs="Times New Roman"/>
                    </w:rPr>
                  </w:pPr>
                  <w:r w:rsidRPr="00555117">
                    <w:rPr>
                      <w:rFonts w:ascii="Times New Roman" w:hAnsi="Times New Roman" w:cs="Times New Roman"/>
                      <w:b/>
                      <w:bCs/>
                    </w:rPr>
                    <w:t>Perspective</w:t>
                  </w:r>
                </w:p>
              </w:tc>
              <w:tc>
                <w:tcPr>
                  <w:tcW w:w="3960" w:type="dxa"/>
                </w:tcPr>
                <w:p w14:paraId="3E200365" w14:textId="77777777" w:rsidR="007E38AB" w:rsidRPr="00555117" w:rsidRDefault="00000000">
                  <w:pPr>
                    <w:jc w:val="center"/>
                    <w:rPr>
                      <w:rFonts w:ascii="Times New Roman" w:hAnsi="Times New Roman" w:cs="Times New Roman"/>
                    </w:rPr>
                  </w:pPr>
                  <w:r w:rsidRPr="00555117">
                    <w:rPr>
                      <w:rFonts w:ascii="Times New Roman" w:hAnsi="Times New Roman" w:cs="Times New Roman"/>
                      <w:b/>
                      <w:bCs/>
                    </w:rPr>
                    <w:t>Conceptualization</w:t>
                  </w:r>
                </w:p>
              </w:tc>
            </w:tr>
            <w:tr w:rsidR="007E38AB" w:rsidRPr="00555117" w14:paraId="3E200369" w14:textId="77777777">
              <w:tc>
                <w:tcPr>
                  <w:tcW w:w="3960" w:type="dxa"/>
                </w:tcPr>
                <w:p w14:paraId="3E200367" w14:textId="77777777" w:rsidR="007E38AB" w:rsidRPr="00555117" w:rsidRDefault="00000000" w:rsidP="00C53939">
                  <w:pPr>
                    <w:rPr>
                      <w:rFonts w:ascii="Times New Roman" w:hAnsi="Times New Roman" w:cs="Times New Roman"/>
                    </w:rPr>
                  </w:pPr>
                  <w:r w:rsidRPr="00555117">
                    <w:rPr>
                      <w:rFonts w:ascii="Times New Roman" w:hAnsi="Times New Roman" w:cs="Times New Roman"/>
                      <w:b/>
                      <w:bCs/>
                    </w:rPr>
                    <w:t>Process-oriented: Focused on how learning takes place</w:t>
                  </w:r>
                </w:p>
              </w:tc>
              <w:tc>
                <w:tcPr>
                  <w:tcW w:w="3960" w:type="dxa"/>
                </w:tcPr>
                <w:p w14:paraId="3E200368" w14:textId="77777777" w:rsidR="007E38AB" w:rsidRPr="00555117" w:rsidRDefault="00000000" w:rsidP="00C53939">
                  <w:pPr>
                    <w:rPr>
                      <w:rFonts w:ascii="Times New Roman" w:hAnsi="Times New Roman" w:cs="Times New Roman"/>
                    </w:rPr>
                  </w:pPr>
                  <w:r w:rsidRPr="00555117">
                    <w:rPr>
                      <w:rFonts w:ascii="Times New Roman" w:hAnsi="Times New Roman" w:cs="Times New Roman"/>
                    </w:rPr>
                    <w:t xml:space="preserve">The acquisition, translation, and dissemination of information among actors with diverse knowledge bases (Heikkila &amp; Gerlak, 2013). The transmission of policy knowledge between </w:t>
                  </w:r>
                  <w:r w:rsidRPr="00555117">
                    <w:rPr>
                      <w:rFonts w:ascii="Times New Roman" w:hAnsi="Times New Roman" w:cs="Times New Roman"/>
                    </w:rPr>
                    <w:lastRenderedPageBreak/>
                    <w:t>political actors (Legrand, 2012). Deliberate and critical reflection on prior knowledge (Rietig &amp; Perkins, 2018).</w:t>
                  </w:r>
                </w:p>
              </w:tc>
            </w:tr>
            <w:tr w:rsidR="007E38AB" w:rsidRPr="00555117" w14:paraId="3E20036C" w14:textId="77777777">
              <w:tc>
                <w:tcPr>
                  <w:tcW w:w="3960" w:type="dxa"/>
                </w:tcPr>
                <w:p w14:paraId="3E20036A" w14:textId="77777777" w:rsidR="007E38AB" w:rsidRPr="00555117" w:rsidRDefault="00000000" w:rsidP="00C53939">
                  <w:pPr>
                    <w:rPr>
                      <w:rFonts w:ascii="Times New Roman" w:hAnsi="Times New Roman" w:cs="Times New Roman"/>
                    </w:rPr>
                  </w:pPr>
                  <w:r w:rsidRPr="00555117">
                    <w:rPr>
                      <w:rFonts w:ascii="Times New Roman" w:hAnsi="Times New Roman" w:cs="Times New Roman"/>
                      <w:b/>
                      <w:bCs/>
                    </w:rPr>
                    <w:lastRenderedPageBreak/>
                    <w:t>Paradigmatic: Learning as a decisional approach or a policymaking style</w:t>
                  </w:r>
                </w:p>
              </w:tc>
              <w:tc>
                <w:tcPr>
                  <w:tcW w:w="3960" w:type="dxa"/>
                </w:tcPr>
                <w:p w14:paraId="3E20036B" w14:textId="77777777" w:rsidR="007E38AB" w:rsidRPr="00555117" w:rsidRDefault="00000000" w:rsidP="00C53939">
                  <w:pPr>
                    <w:rPr>
                      <w:rFonts w:ascii="Times New Roman" w:hAnsi="Times New Roman" w:cs="Times New Roman"/>
                    </w:rPr>
                  </w:pPr>
                  <w:r w:rsidRPr="00555117">
                    <w:rPr>
                      <w:rFonts w:ascii="Times New Roman" w:hAnsi="Times New Roman" w:cs="Times New Roman"/>
                    </w:rPr>
                    <w:t>An approach to policymaking where policy decisions are made based on knowledge and past experiences and future expectations (Karlsen &amp; Larrea, 2017). Learning as a deliberate attempt to adjust the goals or techniques of policy in response to experience and new information (Hall, 1993).</w:t>
                  </w:r>
                </w:p>
              </w:tc>
            </w:tr>
            <w:tr w:rsidR="007E38AB" w:rsidRPr="00555117" w14:paraId="3E20036F" w14:textId="77777777">
              <w:tc>
                <w:tcPr>
                  <w:tcW w:w="3960" w:type="dxa"/>
                </w:tcPr>
                <w:p w14:paraId="3E20036D" w14:textId="77777777" w:rsidR="007E38AB" w:rsidRPr="00555117" w:rsidRDefault="00000000" w:rsidP="00C53939">
                  <w:pPr>
                    <w:rPr>
                      <w:rFonts w:ascii="Times New Roman" w:hAnsi="Times New Roman" w:cs="Times New Roman"/>
                    </w:rPr>
                  </w:pPr>
                  <w:r w:rsidRPr="00555117">
                    <w:rPr>
                      <w:rFonts w:ascii="Times New Roman" w:hAnsi="Times New Roman" w:cs="Times New Roman"/>
                      <w:b/>
                      <w:bCs/>
                    </w:rPr>
                    <w:t>Outcome-oriented: Focused on the products of learning such as cognitive updates and changes in policy positions</w:t>
                  </w:r>
                </w:p>
              </w:tc>
              <w:tc>
                <w:tcPr>
                  <w:tcW w:w="3960" w:type="dxa"/>
                </w:tcPr>
                <w:p w14:paraId="3E20036E" w14:textId="77777777" w:rsidR="007E38AB" w:rsidRPr="00555117" w:rsidRDefault="00000000" w:rsidP="00C53939">
                  <w:pPr>
                    <w:rPr>
                      <w:rFonts w:ascii="Times New Roman" w:hAnsi="Times New Roman" w:cs="Times New Roman"/>
                    </w:rPr>
                  </w:pPr>
                  <w:r w:rsidRPr="00555117">
                    <w:rPr>
                      <w:rFonts w:ascii="Times New Roman" w:hAnsi="Times New Roman" w:cs="Times New Roman"/>
                    </w:rPr>
                    <w:t>Enduring changes in thoughts, beliefs, or behavioral intentions regarding policy problems (Sabatier &amp; Jenkins-Smith, 1993). The general increase in knowledge about policies (Corbett et al., 2018).</w:t>
                  </w:r>
                </w:p>
              </w:tc>
            </w:tr>
            <w:tr w:rsidR="007E38AB" w:rsidRPr="00555117" w14:paraId="3E200372" w14:textId="77777777">
              <w:tc>
                <w:tcPr>
                  <w:tcW w:w="3960" w:type="dxa"/>
                </w:tcPr>
                <w:p w14:paraId="3E200370" w14:textId="77777777" w:rsidR="007E38AB" w:rsidRPr="00555117" w:rsidRDefault="00000000" w:rsidP="00C53939">
                  <w:pPr>
                    <w:rPr>
                      <w:rFonts w:ascii="Times New Roman" w:hAnsi="Times New Roman" w:cs="Times New Roman"/>
                    </w:rPr>
                  </w:pPr>
                  <w:r w:rsidRPr="00555117">
                    <w:rPr>
                      <w:rFonts w:ascii="Times New Roman" w:hAnsi="Times New Roman" w:cs="Times New Roman"/>
                      <w:b/>
                      <w:bCs/>
                    </w:rPr>
                    <w:t>Idea-oriented: Learning as the mobility of ideas and policies across time and space</w:t>
                  </w:r>
                </w:p>
              </w:tc>
              <w:tc>
                <w:tcPr>
                  <w:tcW w:w="3960" w:type="dxa"/>
                </w:tcPr>
                <w:p w14:paraId="3E200371" w14:textId="77777777" w:rsidR="007E38AB" w:rsidRPr="00555117" w:rsidRDefault="00000000" w:rsidP="00C53939">
                  <w:pPr>
                    <w:rPr>
                      <w:rFonts w:ascii="Times New Roman" w:hAnsi="Times New Roman" w:cs="Times New Roman"/>
                    </w:rPr>
                  </w:pPr>
                  <w:r w:rsidRPr="00555117">
                    <w:rPr>
                      <w:rFonts w:ascii="Times New Roman" w:hAnsi="Times New Roman" w:cs="Times New Roman"/>
                    </w:rPr>
                    <w:t>A process whereby knowledge about policy in one jurisdiction is acquired and utilized in decisions regarding the development of policies in another (Newman &amp; Bird, 2017). Drawing lessons from experiences, and using knowledge to inform policy action (Motta, 2018).</w:t>
                  </w:r>
                </w:p>
              </w:tc>
            </w:tr>
            <w:bookmarkEnd w:id="7"/>
          </w:tbl>
          <w:p w14:paraId="3E200373" w14:textId="77777777" w:rsidR="007E38AB" w:rsidRPr="00555117" w:rsidRDefault="007E38AB">
            <w:pPr>
              <w:rPr>
                <w:rFonts w:ascii="Times New Roman" w:hAnsi="Times New Roman" w:cs="Times New Roman"/>
              </w:rPr>
            </w:pPr>
          </w:p>
        </w:tc>
      </w:tr>
    </w:tbl>
    <w:p w14:paraId="3E200375" w14:textId="2B226DB1" w:rsidR="007E38AB" w:rsidRPr="00555117" w:rsidRDefault="00000000">
      <w:pPr>
        <w:rPr>
          <w:rFonts w:ascii="Times New Roman" w:hAnsi="Times New Roman" w:cs="Times New Roman"/>
        </w:rPr>
      </w:pPr>
      <w:r w:rsidRPr="00555117">
        <w:rPr>
          <w:rFonts w:ascii="Times New Roman" w:hAnsi="Times New Roman" w:cs="Times New Roman"/>
        </w:rPr>
        <w:lastRenderedPageBreak/>
        <w:t>With a multitude of definitions existing, many of which have been reviewed above, we now circle back to what learning is at a fundamental level. Here, one way to navigate and systematize this proliferation of definitions in the policy learning literature is to distinguish between a concept’s background meaning and its more systematized variants, thereby clarifying what the concept is fundamentally about before tracing how it is specified across different research traditions (see Adcock &amp; Collier, 2001). At this foundational level, policy learning can be understood as an iterative, problem-oriented process in which policy actors embedded in sensemaking and institutional structures seek and process information about policy issues with the aim of updating their understandings of how these issues can be addressed within an evolving context (Zaki et al., 2022). Such updating can yield different products, including cognitive outcomes, such as developing or revising beliefs and understandings of policy problems and plausible solutions, and, in some cases, behavioral outcomes, such as deploying political strategies and adjusting or changing policies in response to those updated understandings (Heikkila &amp; Gerlak, 2013).</w:t>
      </w:r>
    </w:p>
    <w:p w14:paraId="3E200376" w14:textId="77777777" w:rsidR="007E38AB" w:rsidRPr="00555117" w:rsidRDefault="00000000">
      <w:pPr>
        <w:rPr>
          <w:rFonts w:ascii="Times New Roman" w:hAnsi="Times New Roman" w:cs="Times New Roman"/>
        </w:rPr>
      </w:pPr>
      <w:r w:rsidRPr="00555117">
        <w:rPr>
          <w:rFonts w:ascii="Times New Roman" w:hAnsi="Times New Roman" w:cs="Times New Roman"/>
        </w:rPr>
        <w:t>Adopting this view, which foregrounds the fundamental role of information in the learning process, and making explicit its constitutive analytical dimensions (information and knowledge, actors, learning structures, policy problems, and context), provides a common baseline for identifying learning across conceptually diverse strands. For instance, policy transfer and lesson drawing can be approached as a learning process organized around the movement and use of policy-relevant information across time and/or space, where actors draw on external experiences or jurisdictions to inform domestic choices (e.g., D. P. Dolowitz &amp; Marsh, 2000; Rose, 1991; Volden et al., 2008). An information-processing lens then helps structure analysis by specifying what information is mobilized, from which sources, by whom, and through which cognitive and governance structures it is selected, interpreted, translated, and institutionalized.</w:t>
      </w:r>
    </w:p>
    <w:p w14:paraId="3E200377" w14:textId="77777777" w:rsidR="007E38AB" w:rsidRPr="00555117" w:rsidRDefault="00000000">
      <w:pPr>
        <w:rPr>
          <w:rFonts w:ascii="Times New Roman" w:hAnsi="Times New Roman" w:cs="Times New Roman"/>
        </w:rPr>
      </w:pPr>
      <w:r w:rsidRPr="00555117">
        <w:rPr>
          <w:rFonts w:ascii="Times New Roman" w:hAnsi="Times New Roman" w:cs="Times New Roman"/>
        </w:rPr>
        <w:lastRenderedPageBreak/>
        <w:t>With these conceptual foundations and streams in place, we now turn to key theoretical perspectives that further specify learning in analytical terms, focusing on descriptors such as forms, mechanisms, modes, and types of learning.</w:t>
      </w:r>
    </w:p>
    <w:p w14:paraId="3E200378" w14:textId="77777777" w:rsidR="007E38AB" w:rsidRPr="00555117" w:rsidRDefault="00000000">
      <w:pPr>
        <w:rPr>
          <w:rFonts w:ascii="Times New Roman" w:hAnsi="Times New Roman" w:cs="Times New Roman"/>
        </w:rPr>
      </w:pPr>
      <w:bookmarkStart w:id="8" w:name="Xb75bbfe329ac1091d247c0a8c073b1a961b3f60"/>
      <w:bookmarkEnd w:id="6"/>
      <w:r w:rsidRPr="00555117">
        <w:rPr>
          <w:rFonts w:ascii="Times New Roman" w:hAnsi="Times New Roman" w:cs="Times New Roman"/>
        </w:rPr>
        <w:t>2.2.2 Key Analytical Approaches: Learning as Levels of Analysis</w:t>
      </w:r>
    </w:p>
    <w:p w14:paraId="3E200379" w14:textId="05540D89" w:rsidR="007E38AB" w:rsidRPr="00555117" w:rsidRDefault="00000000">
      <w:pPr>
        <w:rPr>
          <w:rFonts w:ascii="Times New Roman" w:hAnsi="Times New Roman" w:cs="Times New Roman"/>
        </w:rPr>
      </w:pPr>
      <w:r w:rsidRPr="00555117">
        <w:rPr>
          <w:rFonts w:ascii="Times New Roman" w:hAnsi="Times New Roman" w:cs="Times New Roman"/>
        </w:rPr>
        <w:t xml:space="preserve">As discussed, several approaches have emerged to describe policy learning processes and capture a diverse set of learning phenomena. The concept of learning, therefore, affords multiple analytical vantage points on the policy process, not least because learning can be theorized as operating at different levels of analysis and through different pathways. In this sense, policy learning is positioned to explain related behavior at the micro level of individuals, the meso level of groups, organizations, and subsystems, and the macro level of broader institutional and societal dynamics, while also allowing for multidimensional and non-linear patterns in which learning unfolds across levels and loops back on itself. </w:t>
      </w:r>
      <w:hyperlink w:anchor="tbl-learn-levels">
        <w:r w:rsidRPr="00555117">
          <w:rPr>
            <w:rFonts w:ascii="Times New Roman" w:hAnsi="Times New Roman" w:cs="Times New Roman"/>
          </w:rPr>
          <w:t>Table 2.2</w:t>
        </w:r>
      </w:hyperlink>
      <w:r w:rsidRPr="00555117">
        <w:rPr>
          <w:rFonts w:ascii="Times New Roman" w:hAnsi="Times New Roman" w:cs="Times New Roman"/>
        </w:rPr>
        <w:t xml:space="preserve"> summarizes these levels and dynamics, providing brief descriptions and illustrative examples of micro-, meso-, and macro-level learning, as well as multidimensional and non-linear learning trajectories.</w:t>
      </w:r>
    </w:p>
    <w:tbl>
      <w:tblPr>
        <w:tblW w:w="5000" w:type="pct"/>
        <w:tblLayout w:type="fixed"/>
        <w:tblLook w:val="0000" w:firstRow="0" w:lastRow="0" w:firstColumn="0" w:lastColumn="0" w:noHBand="0" w:noVBand="0"/>
      </w:tblPr>
      <w:tblGrid>
        <w:gridCol w:w="9360"/>
      </w:tblGrid>
      <w:tr w:rsidR="007E38AB" w:rsidRPr="00555117" w14:paraId="3E20038B" w14:textId="77777777">
        <w:tc>
          <w:tcPr>
            <w:tcW w:w="7920" w:type="dxa"/>
          </w:tcPr>
          <w:p w14:paraId="3E20037A" w14:textId="77777777" w:rsidR="007E38AB" w:rsidRPr="00555117" w:rsidRDefault="00000000">
            <w:pPr>
              <w:spacing w:before="200"/>
              <w:rPr>
                <w:rFonts w:ascii="Times New Roman" w:hAnsi="Times New Roman" w:cs="Times New Roman"/>
              </w:rPr>
            </w:pPr>
            <w:bookmarkStart w:id="9" w:name="tbl-learn-levels"/>
            <w:r w:rsidRPr="00555117">
              <w:rPr>
                <w:rFonts w:ascii="Times New Roman" w:hAnsi="Times New Roman" w:cs="Times New Roman"/>
              </w:rPr>
              <w:t>Table 2.2: Learning as Levels of Analysis</w:t>
            </w:r>
          </w:p>
          <w:tbl>
            <w:tblPr>
              <w:tblW w:w="5000" w:type="pct"/>
              <w:tblLayout w:type="fixed"/>
              <w:tblLook w:val="0020" w:firstRow="1" w:lastRow="0" w:firstColumn="0" w:lastColumn="0" w:noHBand="0" w:noVBand="0"/>
            </w:tblPr>
            <w:tblGrid>
              <w:gridCol w:w="4572"/>
              <w:gridCol w:w="4572"/>
            </w:tblGrid>
            <w:tr w:rsidR="007E38AB" w:rsidRPr="00555117" w14:paraId="3E20037D" w14:textId="77777777">
              <w:trPr>
                <w:tblHeader/>
              </w:trPr>
              <w:tc>
                <w:tcPr>
                  <w:tcW w:w="3960" w:type="dxa"/>
                </w:tcPr>
                <w:p w14:paraId="3E20037B" w14:textId="77777777" w:rsidR="007E38AB" w:rsidRPr="00555117" w:rsidRDefault="00000000">
                  <w:pPr>
                    <w:jc w:val="center"/>
                    <w:rPr>
                      <w:rFonts w:ascii="Times New Roman" w:hAnsi="Times New Roman" w:cs="Times New Roman"/>
                    </w:rPr>
                  </w:pPr>
                  <w:r w:rsidRPr="00555117">
                    <w:rPr>
                      <w:rFonts w:ascii="Times New Roman" w:hAnsi="Times New Roman" w:cs="Times New Roman"/>
                      <w:b/>
                      <w:bCs/>
                    </w:rPr>
                    <w:t>Levels of Analysis</w:t>
                  </w:r>
                </w:p>
              </w:tc>
              <w:tc>
                <w:tcPr>
                  <w:tcW w:w="3960" w:type="dxa"/>
                </w:tcPr>
                <w:p w14:paraId="3E20037C" w14:textId="77777777" w:rsidR="007E38AB" w:rsidRPr="00555117" w:rsidRDefault="00000000">
                  <w:pPr>
                    <w:jc w:val="center"/>
                    <w:rPr>
                      <w:rFonts w:ascii="Times New Roman" w:hAnsi="Times New Roman" w:cs="Times New Roman"/>
                    </w:rPr>
                  </w:pPr>
                  <w:r w:rsidRPr="00555117">
                    <w:rPr>
                      <w:rFonts w:ascii="Times New Roman" w:hAnsi="Times New Roman" w:cs="Times New Roman"/>
                      <w:b/>
                      <w:bCs/>
                    </w:rPr>
                    <w:t>Examples</w:t>
                  </w:r>
                </w:p>
              </w:tc>
            </w:tr>
            <w:tr w:rsidR="007E38AB" w:rsidRPr="00555117" w14:paraId="3E200380" w14:textId="77777777">
              <w:tc>
                <w:tcPr>
                  <w:tcW w:w="3960" w:type="dxa"/>
                </w:tcPr>
                <w:p w14:paraId="3E20037E" w14:textId="77777777" w:rsidR="007E38AB" w:rsidRPr="00555117" w:rsidRDefault="00000000" w:rsidP="00C26A09">
                  <w:pPr>
                    <w:rPr>
                      <w:rFonts w:ascii="Times New Roman" w:hAnsi="Times New Roman" w:cs="Times New Roman"/>
                    </w:rPr>
                  </w:pPr>
                  <w:r w:rsidRPr="00555117">
                    <w:rPr>
                      <w:rFonts w:ascii="Times New Roman" w:hAnsi="Times New Roman" w:cs="Times New Roman"/>
                      <w:b/>
                      <w:bCs/>
                    </w:rPr>
                    <w:t>Micro-level: Focus on individuals and cognitive foundations</w:t>
                  </w:r>
                </w:p>
              </w:tc>
              <w:tc>
                <w:tcPr>
                  <w:tcW w:w="3960" w:type="dxa"/>
                </w:tcPr>
                <w:p w14:paraId="3E20037F" w14:textId="77777777" w:rsidR="007E38AB" w:rsidRPr="00555117" w:rsidRDefault="00000000" w:rsidP="00C26A09">
                  <w:pPr>
                    <w:rPr>
                      <w:rFonts w:ascii="Times New Roman" w:hAnsi="Times New Roman" w:cs="Times New Roman"/>
                    </w:rPr>
                  </w:pPr>
                  <w:r w:rsidRPr="00555117">
                    <w:rPr>
                      <w:rFonts w:ascii="Times New Roman" w:hAnsi="Times New Roman" w:cs="Times New Roman"/>
                    </w:rPr>
                    <w:t>Learning as a cognitive micro foundational process (Beach et al., 2021), behavioral perspectives moderating learning (Zito, 2009), the role of individual beliefs and information flows in learning (Moyson, 2017; Nowlin, 2021; Pattison, 2018), biases and heuristics (Heikkila et al., 2024; Malkamäki et al., 2021; Wagner &amp; Ylä-Anttila, 2020).</w:t>
                  </w:r>
                </w:p>
              </w:tc>
            </w:tr>
            <w:tr w:rsidR="007E38AB" w:rsidRPr="00555117" w14:paraId="3E200383" w14:textId="77777777">
              <w:tc>
                <w:tcPr>
                  <w:tcW w:w="3960" w:type="dxa"/>
                </w:tcPr>
                <w:p w14:paraId="3E200381" w14:textId="77777777" w:rsidR="007E38AB" w:rsidRPr="00555117" w:rsidRDefault="00000000" w:rsidP="00C26A09">
                  <w:pPr>
                    <w:rPr>
                      <w:rFonts w:ascii="Times New Roman" w:hAnsi="Times New Roman" w:cs="Times New Roman"/>
                    </w:rPr>
                  </w:pPr>
                  <w:r w:rsidRPr="00555117">
                    <w:rPr>
                      <w:rFonts w:ascii="Times New Roman" w:hAnsi="Times New Roman" w:cs="Times New Roman"/>
                      <w:b/>
                      <w:bCs/>
                    </w:rPr>
                    <w:t>Meso-level: Focus on organizational units, collectives, and networks</w:t>
                  </w:r>
                </w:p>
              </w:tc>
              <w:tc>
                <w:tcPr>
                  <w:tcW w:w="3960" w:type="dxa"/>
                </w:tcPr>
                <w:p w14:paraId="3E200382" w14:textId="77777777" w:rsidR="007E38AB" w:rsidRPr="00555117" w:rsidRDefault="00000000" w:rsidP="00C26A09">
                  <w:pPr>
                    <w:rPr>
                      <w:rFonts w:ascii="Times New Roman" w:hAnsi="Times New Roman" w:cs="Times New Roman"/>
                    </w:rPr>
                  </w:pPr>
                  <w:r w:rsidRPr="00555117">
                    <w:rPr>
                      <w:rFonts w:ascii="Times New Roman" w:hAnsi="Times New Roman" w:cs="Times New Roman"/>
                    </w:rPr>
                    <w:t>Learning as interactions with information and beliefs within and across advocacy coalitions (Sabatier &amp; Jenkins-Smith, 1993; Weible, 2008), learning as interaction within and with expert communities (Haas, 1992), learning within networks (Howlett et al., 2017), learning within organizations (Borrás, 2011; Zaki &amp; Dupont, 2024; Zito, 2009), learning by public organizations focused on public problem solving (Zaki, 2026).</w:t>
                  </w:r>
                </w:p>
              </w:tc>
            </w:tr>
            <w:tr w:rsidR="007E38AB" w:rsidRPr="00555117" w14:paraId="3E200386" w14:textId="77777777">
              <w:tc>
                <w:tcPr>
                  <w:tcW w:w="3960" w:type="dxa"/>
                </w:tcPr>
                <w:p w14:paraId="3E200384" w14:textId="77777777" w:rsidR="007E38AB" w:rsidRPr="00555117" w:rsidRDefault="00000000" w:rsidP="00C26A09">
                  <w:pPr>
                    <w:rPr>
                      <w:rFonts w:ascii="Times New Roman" w:hAnsi="Times New Roman" w:cs="Times New Roman"/>
                    </w:rPr>
                  </w:pPr>
                  <w:r w:rsidRPr="00555117">
                    <w:rPr>
                      <w:rFonts w:ascii="Times New Roman" w:hAnsi="Times New Roman" w:cs="Times New Roman"/>
                      <w:b/>
                      <w:bCs/>
                    </w:rPr>
                    <w:t>Macro-level: Focus on systems</w:t>
                  </w:r>
                </w:p>
              </w:tc>
              <w:tc>
                <w:tcPr>
                  <w:tcW w:w="3960" w:type="dxa"/>
                </w:tcPr>
                <w:p w14:paraId="3E200385" w14:textId="77777777" w:rsidR="007E38AB" w:rsidRPr="00555117" w:rsidRDefault="00000000" w:rsidP="00C26A09">
                  <w:pPr>
                    <w:rPr>
                      <w:rFonts w:ascii="Times New Roman" w:hAnsi="Times New Roman" w:cs="Times New Roman"/>
                    </w:rPr>
                  </w:pPr>
                  <w:r w:rsidRPr="00555117">
                    <w:rPr>
                      <w:rFonts w:ascii="Times New Roman" w:hAnsi="Times New Roman" w:cs="Times New Roman"/>
                    </w:rPr>
                    <w:t>Learning and deliberation in transnational policy issues and crises (Dunlop et al., 2020), collective puzzlement and the role of ideas and paradigms (Hall, 1993; Heclo, 1974), learning as an inter-system transfer and diffusion of ideas (D. P. Dolowitz &amp; Marsh, 2000; Marsh &amp; Sharman, 2009), learning and systemic convergence towards certain policy ideas (Bennett, 1991).</w:t>
                  </w:r>
                </w:p>
              </w:tc>
            </w:tr>
            <w:tr w:rsidR="007E38AB" w:rsidRPr="00555117" w14:paraId="3E200389" w14:textId="77777777">
              <w:tc>
                <w:tcPr>
                  <w:tcW w:w="3960" w:type="dxa"/>
                </w:tcPr>
                <w:p w14:paraId="3E200387" w14:textId="77777777" w:rsidR="007E38AB" w:rsidRPr="00555117" w:rsidRDefault="00000000" w:rsidP="00C26A09">
                  <w:pPr>
                    <w:rPr>
                      <w:rFonts w:ascii="Times New Roman" w:hAnsi="Times New Roman" w:cs="Times New Roman"/>
                    </w:rPr>
                  </w:pPr>
                  <w:r w:rsidRPr="00555117">
                    <w:rPr>
                      <w:rFonts w:ascii="Times New Roman" w:hAnsi="Times New Roman" w:cs="Times New Roman"/>
                      <w:b/>
                      <w:bCs/>
                    </w:rPr>
                    <w:lastRenderedPageBreak/>
                    <w:t>Multidimensional and non-linear learning: Focus on cross-level interactions</w:t>
                  </w:r>
                </w:p>
              </w:tc>
              <w:tc>
                <w:tcPr>
                  <w:tcW w:w="3960" w:type="dxa"/>
                </w:tcPr>
                <w:p w14:paraId="3E200388" w14:textId="77777777" w:rsidR="007E38AB" w:rsidRPr="00555117" w:rsidRDefault="00000000" w:rsidP="00C26A09">
                  <w:pPr>
                    <w:rPr>
                      <w:rFonts w:ascii="Times New Roman" w:hAnsi="Times New Roman" w:cs="Times New Roman"/>
                    </w:rPr>
                  </w:pPr>
                  <w:r w:rsidRPr="00555117">
                    <w:rPr>
                      <w:rFonts w:ascii="Times New Roman" w:hAnsi="Times New Roman" w:cs="Times New Roman"/>
                    </w:rPr>
                    <w:t>Learning as a multidimensional and interactive process between micro, macro, and meso levels (Dunlop &amp; Radaelli, 2017), the interaction of learning types over time, learning type shifts and interactions over time (Biegelbauer, 2016; B. Zaki et al., 2024).</w:t>
                  </w:r>
                </w:p>
              </w:tc>
            </w:tr>
            <w:bookmarkEnd w:id="9"/>
          </w:tbl>
          <w:p w14:paraId="3E20038A" w14:textId="77777777" w:rsidR="007E38AB" w:rsidRPr="00555117" w:rsidRDefault="007E38AB">
            <w:pPr>
              <w:rPr>
                <w:rFonts w:ascii="Times New Roman" w:hAnsi="Times New Roman" w:cs="Times New Roman"/>
              </w:rPr>
            </w:pPr>
          </w:p>
        </w:tc>
      </w:tr>
    </w:tbl>
    <w:p w14:paraId="3E20038C" w14:textId="77777777" w:rsidR="007E38AB" w:rsidRPr="00555117" w:rsidRDefault="00000000">
      <w:pPr>
        <w:rPr>
          <w:rFonts w:ascii="Times New Roman" w:hAnsi="Times New Roman" w:cs="Times New Roman"/>
        </w:rPr>
      </w:pPr>
      <w:r w:rsidRPr="00555117">
        <w:rPr>
          <w:rFonts w:ascii="Times New Roman" w:hAnsi="Times New Roman" w:cs="Times New Roman"/>
        </w:rPr>
        <w:lastRenderedPageBreak/>
        <w:t>With the key analytical perspectives in the policy learning literature established, we next turn our attention to the various theoretical descriptors of policy learning, i.e., the various theoretical perspectives by which learning processes can be described.</w:t>
      </w:r>
    </w:p>
    <w:p w14:paraId="3E20038D" w14:textId="77777777" w:rsidR="007E38AB" w:rsidRPr="00555117" w:rsidRDefault="00000000">
      <w:pPr>
        <w:rPr>
          <w:rFonts w:ascii="Times New Roman" w:hAnsi="Times New Roman" w:cs="Times New Roman"/>
        </w:rPr>
      </w:pPr>
      <w:bookmarkStart w:id="10" w:name="X1a96d1fd7831cdf86b7760fd70995322b6b8497"/>
      <w:bookmarkEnd w:id="8"/>
      <w:r w:rsidRPr="00555117">
        <w:rPr>
          <w:rFonts w:ascii="Times New Roman" w:hAnsi="Times New Roman" w:cs="Times New Roman"/>
        </w:rPr>
        <w:t>2.2.3 Key Theoretical Perspectives: Disentangling Theoretical Descriptors of Learning</w:t>
      </w:r>
    </w:p>
    <w:p w14:paraId="3E20038E" w14:textId="547F06B0" w:rsidR="007E38AB" w:rsidRPr="00555117" w:rsidRDefault="00000000">
      <w:pPr>
        <w:rPr>
          <w:rFonts w:ascii="Times New Roman" w:hAnsi="Times New Roman" w:cs="Times New Roman"/>
        </w:rPr>
      </w:pPr>
      <w:r w:rsidRPr="00555117">
        <w:rPr>
          <w:rFonts w:ascii="Times New Roman" w:hAnsi="Times New Roman" w:cs="Times New Roman"/>
        </w:rPr>
        <w:t xml:space="preserve">Once learning is located across levels of analysis, the next challenge becomes analytic vocabulary. Against a backdrop of ontological–epistemological diversity and the resulting conceptual pluralism, the field has accumulated a wide repertoire of learning descriptors that often appear interchangeable in practice, even when they point to different aspects of the learning process. Many of these descriptors have emerged inductively from empirical analyses and are frequently bundled under the catch-all label “types of learning,” yet often lack the definitional precision and dimensional grounding needed for reliable identification and differentiation (Gerlak et al., 2018; Zaki et al., 2022). In what follows, we therefore disentangle the most common descriptor families by clarifying the specific question that each of these descriptors answers. This is not a taxonomic exercise for its own sake. It is a prerequisite for identifying learning reliably and linking claims about learning to the mechanisms that plausibly generate observable outcomes. Accordingly, we distinguish between </w:t>
      </w:r>
      <w:r w:rsidRPr="00555117">
        <w:rPr>
          <w:rFonts w:ascii="Times New Roman" w:hAnsi="Times New Roman" w:cs="Times New Roman"/>
          <w:b/>
          <w:bCs/>
        </w:rPr>
        <w:t>forms</w:t>
      </w:r>
      <w:r w:rsidRPr="00555117">
        <w:rPr>
          <w:rFonts w:ascii="Times New Roman" w:hAnsi="Times New Roman" w:cs="Times New Roman"/>
        </w:rPr>
        <w:t xml:space="preserve">, </w:t>
      </w:r>
      <w:r w:rsidRPr="00555117">
        <w:rPr>
          <w:rFonts w:ascii="Times New Roman" w:hAnsi="Times New Roman" w:cs="Times New Roman"/>
          <w:b/>
          <w:bCs/>
        </w:rPr>
        <w:t>modes</w:t>
      </w:r>
      <w:r w:rsidRPr="00555117">
        <w:rPr>
          <w:rFonts w:ascii="Times New Roman" w:hAnsi="Times New Roman" w:cs="Times New Roman"/>
        </w:rPr>
        <w:t xml:space="preserve">, </w:t>
      </w:r>
      <w:r w:rsidRPr="00555117">
        <w:rPr>
          <w:rFonts w:ascii="Times New Roman" w:hAnsi="Times New Roman" w:cs="Times New Roman"/>
          <w:b/>
          <w:bCs/>
        </w:rPr>
        <w:t>mechanisms</w:t>
      </w:r>
      <w:r w:rsidRPr="00555117">
        <w:rPr>
          <w:rFonts w:ascii="Times New Roman" w:hAnsi="Times New Roman" w:cs="Times New Roman"/>
        </w:rPr>
        <w:t xml:space="preserve">, </w:t>
      </w:r>
      <w:r w:rsidRPr="00555117">
        <w:rPr>
          <w:rFonts w:ascii="Times New Roman" w:hAnsi="Times New Roman" w:cs="Times New Roman"/>
          <w:b/>
          <w:bCs/>
        </w:rPr>
        <w:t>types</w:t>
      </w:r>
      <w:r w:rsidRPr="00555117">
        <w:rPr>
          <w:rFonts w:ascii="Times New Roman" w:hAnsi="Times New Roman" w:cs="Times New Roman"/>
        </w:rPr>
        <w:t xml:space="preserve">, and </w:t>
      </w:r>
      <w:r w:rsidRPr="00555117">
        <w:rPr>
          <w:rFonts w:ascii="Times New Roman" w:hAnsi="Times New Roman" w:cs="Times New Roman"/>
          <w:b/>
          <w:bCs/>
        </w:rPr>
        <w:t>outcomes</w:t>
      </w:r>
      <w:r w:rsidRPr="00555117">
        <w:rPr>
          <w:rFonts w:ascii="Times New Roman" w:hAnsi="Times New Roman" w:cs="Times New Roman"/>
        </w:rPr>
        <w:t xml:space="preserve"> of learning, as summarized in </w:t>
      </w:r>
      <w:hyperlink w:anchor="tbl-learn-descript">
        <w:r w:rsidRPr="00555117">
          <w:rPr>
            <w:rFonts w:ascii="Times New Roman" w:hAnsi="Times New Roman" w:cs="Times New Roman"/>
          </w:rPr>
          <w:t>Table 2.3</w:t>
        </w:r>
      </w:hyperlink>
      <w:r w:rsidRPr="00555117">
        <w:rPr>
          <w:rFonts w:ascii="Times New Roman" w:hAnsi="Times New Roman" w:cs="Times New Roman"/>
        </w:rPr>
        <w:t>, pivoting on the understanding of policy learning as a process fundamentally concerned with the circulation and consumption of policy-relevant information and knowledge by policy actors.</w:t>
      </w:r>
    </w:p>
    <w:tbl>
      <w:tblPr>
        <w:tblW w:w="5000" w:type="pct"/>
        <w:tblLayout w:type="fixed"/>
        <w:tblLook w:val="0000" w:firstRow="0" w:lastRow="0" w:firstColumn="0" w:lastColumn="0" w:noHBand="0" w:noVBand="0"/>
      </w:tblPr>
      <w:tblGrid>
        <w:gridCol w:w="9360"/>
      </w:tblGrid>
      <w:tr w:rsidR="007E38AB" w:rsidRPr="00555117" w14:paraId="3E20039D" w14:textId="77777777">
        <w:tc>
          <w:tcPr>
            <w:tcW w:w="7920" w:type="dxa"/>
          </w:tcPr>
          <w:p w14:paraId="3E20038F" w14:textId="77777777" w:rsidR="007E38AB" w:rsidRPr="00555117" w:rsidRDefault="00000000">
            <w:pPr>
              <w:spacing w:before="200"/>
              <w:rPr>
                <w:rFonts w:ascii="Times New Roman" w:hAnsi="Times New Roman" w:cs="Times New Roman"/>
              </w:rPr>
            </w:pPr>
            <w:bookmarkStart w:id="11" w:name="tbl-learn-descript"/>
            <w:r w:rsidRPr="00555117">
              <w:rPr>
                <w:rFonts w:ascii="Times New Roman" w:hAnsi="Times New Roman" w:cs="Times New Roman"/>
              </w:rPr>
              <w:t>Table 2.3: A Non-Exhaustive Account of Theoretical Descriptors of Learning</w:t>
            </w:r>
          </w:p>
          <w:tbl>
            <w:tblPr>
              <w:tblW w:w="5000" w:type="pct"/>
              <w:tblLayout w:type="fixed"/>
              <w:tblLook w:val="0020" w:firstRow="1" w:lastRow="0" w:firstColumn="0" w:lastColumn="0" w:noHBand="0" w:noVBand="0"/>
            </w:tblPr>
            <w:tblGrid>
              <w:gridCol w:w="1633"/>
              <w:gridCol w:w="1633"/>
              <w:gridCol w:w="1633"/>
              <w:gridCol w:w="1633"/>
              <w:gridCol w:w="2612"/>
            </w:tblGrid>
            <w:tr w:rsidR="007E38AB" w:rsidRPr="00555117" w14:paraId="3E200395" w14:textId="77777777">
              <w:trPr>
                <w:tblHeader/>
              </w:trPr>
              <w:tc>
                <w:tcPr>
                  <w:tcW w:w="1414" w:type="dxa"/>
                </w:tcPr>
                <w:p w14:paraId="3E200390" w14:textId="77777777" w:rsidR="007E38AB" w:rsidRPr="00555117" w:rsidRDefault="00000000" w:rsidP="00C26A09">
                  <w:pPr>
                    <w:rPr>
                      <w:rFonts w:ascii="Times New Roman" w:hAnsi="Times New Roman" w:cs="Times New Roman"/>
                    </w:rPr>
                  </w:pPr>
                  <w:r w:rsidRPr="00555117">
                    <w:rPr>
                      <w:rFonts w:ascii="Times New Roman" w:hAnsi="Times New Roman" w:cs="Times New Roman"/>
                      <w:b/>
                      <w:bCs/>
                    </w:rPr>
                    <w:t>Forms of Learning</w:t>
                  </w:r>
                </w:p>
              </w:tc>
              <w:tc>
                <w:tcPr>
                  <w:tcW w:w="1414" w:type="dxa"/>
                </w:tcPr>
                <w:p w14:paraId="3E200391" w14:textId="77777777" w:rsidR="007E38AB" w:rsidRPr="00555117" w:rsidRDefault="00000000" w:rsidP="00C26A09">
                  <w:pPr>
                    <w:rPr>
                      <w:rFonts w:ascii="Times New Roman" w:hAnsi="Times New Roman" w:cs="Times New Roman"/>
                    </w:rPr>
                  </w:pPr>
                  <w:r w:rsidRPr="00555117">
                    <w:rPr>
                      <w:rFonts w:ascii="Times New Roman" w:hAnsi="Times New Roman" w:cs="Times New Roman"/>
                      <w:b/>
                      <w:bCs/>
                    </w:rPr>
                    <w:t>Modes of Learning</w:t>
                  </w:r>
                </w:p>
              </w:tc>
              <w:tc>
                <w:tcPr>
                  <w:tcW w:w="1414" w:type="dxa"/>
                </w:tcPr>
                <w:p w14:paraId="3E200392" w14:textId="77777777" w:rsidR="007E38AB" w:rsidRPr="00555117" w:rsidRDefault="00000000" w:rsidP="00C26A09">
                  <w:pPr>
                    <w:rPr>
                      <w:rFonts w:ascii="Times New Roman" w:hAnsi="Times New Roman" w:cs="Times New Roman"/>
                    </w:rPr>
                  </w:pPr>
                  <w:r w:rsidRPr="00555117">
                    <w:rPr>
                      <w:rFonts w:ascii="Times New Roman" w:hAnsi="Times New Roman" w:cs="Times New Roman"/>
                      <w:b/>
                      <w:bCs/>
                    </w:rPr>
                    <w:t>Mechanisms of Learning</w:t>
                  </w:r>
                </w:p>
              </w:tc>
              <w:tc>
                <w:tcPr>
                  <w:tcW w:w="1414" w:type="dxa"/>
                </w:tcPr>
                <w:p w14:paraId="3E200393" w14:textId="77777777" w:rsidR="007E38AB" w:rsidRPr="00555117" w:rsidRDefault="00000000" w:rsidP="00C26A09">
                  <w:pPr>
                    <w:rPr>
                      <w:rFonts w:ascii="Times New Roman" w:hAnsi="Times New Roman" w:cs="Times New Roman"/>
                    </w:rPr>
                  </w:pPr>
                  <w:r w:rsidRPr="00555117">
                    <w:rPr>
                      <w:rFonts w:ascii="Times New Roman" w:hAnsi="Times New Roman" w:cs="Times New Roman"/>
                      <w:b/>
                      <w:bCs/>
                    </w:rPr>
                    <w:t>Types of Learning</w:t>
                  </w:r>
                </w:p>
              </w:tc>
              <w:tc>
                <w:tcPr>
                  <w:tcW w:w="2262" w:type="dxa"/>
                </w:tcPr>
                <w:p w14:paraId="3E200394" w14:textId="77777777" w:rsidR="007E38AB" w:rsidRPr="00555117" w:rsidRDefault="00000000" w:rsidP="00C26A09">
                  <w:pPr>
                    <w:rPr>
                      <w:rFonts w:ascii="Times New Roman" w:hAnsi="Times New Roman" w:cs="Times New Roman"/>
                    </w:rPr>
                  </w:pPr>
                  <w:r w:rsidRPr="00555117">
                    <w:rPr>
                      <w:rFonts w:ascii="Times New Roman" w:hAnsi="Times New Roman" w:cs="Times New Roman"/>
                      <w:b/>
                      <w:bCs/>
                    </w:rPr>
                    <w:t>Outcomes of learning</w:t>
                  </w:r>
                </w:p>
              </w:tc>
            </w:tr>
            <w:tr w:rsidR="007E38AB" w:rsidRPr="00555117" w14:paraId="3E20039B" w14:textId="77777777">
              <w:tc>
                <w:tcPr>
                  <w:tcW w:w="1414" w:type="dxa"/>
                </w:tcPr>
                <w:p w14:paraId="3E200396" w14:textId="77777777" w:rsidR="007E38AB" w:rsidRPr="00555117" w:rsidRDefault="00000000" w:rsidP="00C26A09">
                  <w:pPr>
                    <w:rPr>
                      <w:rFonts w:ascii="Times New Roman" w:hAnsi="Times New Roman" w:cs="Times New Roman"/>
                    </w:rPr>
                  </w:pPr>
                  <w:r w:rsidRPr="00555117">
                    <w:rPr>
                      <w:rFonts w:ascii="Times New Roman" w:hAnsi="Times New Roman" w:cs="Times New Roman"/>
                    </w:rPr>
                    <w:t>Lesson drawing Policy Transfer and emulation</w:t>
                  </w:r>
                </w:p>
              </w:tc>
              <w:tc>
                <w:tcPr>
                  <w:tcW w:w="1414" w:type="dxa"/>
                </w:tcPr>
                <w:p w14:paraId="3E200397" w14:textId="77777777" w:rsidR="007E38AB" w:rsidRPr="00555117" w:rsidRDefault="00000000" w:rsidP="00C26A09">
                  <w:pPr>
                    <w:rPr>
                      <w:rFonts w:ascii="Times New Roman" w:hAnsi="Times New Roman" w:cs="Times New Roman"/>
                    </w:rPr>
                  </w:pPr>
                  <w:r w:rsidRPr="00555117">
                    <w:rPr>
                      <w:rFonts w:ascii="Times New Roman" w:hAnsi="Times New Roman" w:cs="Times New Roman"/>
                    </w:rPr>
                    <w:t>Epistemic Hierarchical Reflexive Bargaining-oriented</w:t>
                  </w:r>
                </w:p>
              </w:tc>
              <w:tc>
                <w:tcPr>
                  <w:tcW w:w="1414" w:type="dxa"/>
                </w:tcPr>
                <w:p w14:paraId="3E200398" w14:textId="77777777" w:rsidR="007E38AB" w:rsidRPr="00555117" w:rsidRDefault="00000000" w:rsidP="00C26A09">
                  <w:pPr>
                    <w:rPr>
                      <w:rFonts w:ascii="Times New Roman" w:hAnsi="Times New Roman" w:cs="Times New Roman"/>
                    </w:rPr>
                  </w:pPr>
                  <w:r w:rsidRPr="00555117">
                    <w:rPr>
                      <w:rFonts w:ascii="Times New Roman" w:hAnsi="Times New Roman" w:cs="Times New Roman"/>
                    </w:rPr>
                    <w:t>Contingent Inferential</w:t>
                  </w:r>
                </w:p>
              </w:tc>
              <w:tc>
                <w:tcPr>
                  <w:tcW w:w="1414" w:type="dxa"/>
                </w:tcPr>
                <w:p w14:paraId="7C0F8DCD" w14:textId="77777777" w:rsidR="00794B9B" w:rsidRDefault="00000000" w:rsidP="00794B9B">
                  <w:pPr>
                    <w:spacing w:after="0" w:line="240" w:lineRule="auto"/>
                    <w:rPr>
                      <w:rFonts w:ascii="Times New Roman" w:hAnsi="Times New Roman" w:cs="Times New Roman"/>
                    </w:rPr>
                  </w:pPr>
                  <w:r w:rsidRPr="00555117">
                    <w:rPr>
                      <w:rFonts w:ascii="Times New Roman" w:hAnsi="Times New Roman" w:cs="Times New Roman"/>
                    </w:rPr>
                    <w:t xml:space="preserve">Instrumental Social Managerial Political </w:t>
                  </w:r>
                </w:p>
                <w:p w14:paraId="3E200399" w14:textId="62EB685C" w:rsidR="007E38AB" w:rsidRPr="00555117" w:rsidRDefault="00000000" w:rsidP="00794B9B">
                  <w:pPr>
                    <w:spacing w:after="0" w:line="240" w:lineRule="auto"/>
                    <w:rPr>
                      <w:rFonts w:ascii="Times New Roman" w:hAnsi="Times New Roman" w:cs="Times New Roman"/>
                    </w:rPr>
                  </w:pPr>
                  <w:r w:rsidRPr="00555117">
                    <w:rPr>
                      <w:rFonts w:ascii="Times New Roman" w:hAnsi="Times New Roman" w:cs="Times New Roman"/>
                    </w:rPr>
                    <w:t>Single loop Double loop Triple loop Organizational Governance Narrative</w:t>
                  </w:r>
                </w:p>
              </w:tc>
              <w:tc>
                <w:tcPr>
                  <w:tcW w:w="2262" w:type="dxa"/>
                </w:tcPr>
                <w:p w14:paraId="3E20039A" w14:textId="77777777" w:rsidR="007E38AB" w:rsidRPr="00555117" w:rsidRDefault="00000000" w:rsidP="00C26A09">
                  <w:pPr>
                    <w:rPr>
                      <w:rFonts w:ascii="Times New Roman" w:hAnsi="Times New Roman" w:cs="Times New Roman"/>
                    </w:rPr>
                  </w:pPr>
                  <w:r w:rsidRPr="008D6C8A">
                    <w:rPr>
                      <w:rFonts w:ascii="Times New Roman" w:hAnsi="Times New Roman" w:cs="Times New Roman"/>
                      <w:b/>
                      <w:bCs/>
                    </w:rPr>
                    <w:t>Cognitive</w:t>
                  </w:r>
                  <w:r w:rsidRPr="00555117">
                    <w:rPr>
                      <w:rFonts w:ascii="Times New Roman" w:hAnsi="Times New Roman" w:cs="Times New Roman"/>
                    </w:rPr>
                    <w:t xml:space="preserve">: updates in knowledge, understandings, beliefs/paradigms, and problem definitions. </w:t>
                  </w:r>
                  <w:r w:rsidRPr="008D6C8A">
                    <w:rPr>
                      <w:rFonts w:ascii="Times New Roman" w:hAnsi="Times New Roman" w:cs="Times New Roman"/>
                      <w:b/>
                      <w:bCs/>
                    </w:rPr>
                    <w:t>Behavioral</w:t>
                  </w:r>
                  <w:r w:rsidRPr="00555117">
                    <w:rPr>
                      <w:rFonts w:ascii="Times New Roman" w:hAnsi="Times New Roman" w:cs="Times New Roman"/>
                    </w:rPr>
                    <w:t>: changes in advocacy/coalition strategies and in policy or organizational practice, including policy stability/lock-in or policy change (e.g., instrument calibration, instrument replacement, or goal/paradigm change)</w:t>
                  </w:r>
                </w:p>
              </w:tc>
            </w:tr>
            <w:bookmarkEnd w:id="11"/>
          </w:tbl>
          <w:p w14:paraId="3E20039C" w14:textId="77777777" w:rsidR="007E38AB" w:rsidRPr="00555117" w:rsidRDefault="007E38AB">
            <w:pPr>
              <w:rPr>
                <w:rFonts w:ascii="Times New Roman" w:hAnsi="Times New Roman" w:cs="Times New Roman"/>
              </w:rPr>
            </w:pPr>
          </w:p>
        </w:tc>
      </w:tr>
    </w:tbl>
    <w:p w14:paraId="3E20039E" w14:textId="77777777" w:rsidR="007E38AB" w:rsidRPr="00555117" w:rsidRDefault="00000000">
      <w:pPr>
        <w:rPr>
          <w:rFonts w:ascii="Times New Roman" w:hAnsi="Times New Roman" w:cs="Times New Roman"/>
        </w:rPr>
      </w:pPr>
      <w:r w:rsidRPr="00555117">
        <w:rPr>
          <w:rFonts w:ascii="Times New Roman" w:hAnsi="Times New Roman" w:cs="Times New Roman"/>
          <w:b/>
          <w:bCs/>
        </w:rPr>
        <w:lastRenderedPageBreak/>
        <w:t>Forms of learning</w:t>
      </w:r>
      <w:r w:rsidRPr="00555117">
        <w:rPr>
          <w:rFonts w:ascii="Times New Roman" w:hAnsi="Times New Roman" w:cs="Times New Roman"/>
        </w:rPr>
        <w:t xml:space="preserve">. If learning can be broadly understood as a process involving policy actors seeking and processing information and knowledge about policy problems, then forms of learning denote the relatively stable, patterned routes and formats through which policy actors seek, access, and acquire information and knowledge, prior to interpretation and use. The canonical examples sit in the family of trans-jurisdictional knowledge mobility, including </w:t>
      </w:r>
      <w:r w:rsidRPr="00555117">
        <w:rPr>
          <w:rFonts w:ascii="Times New Roman" w:hAnsi="Times New Roman" w:cs="Times New Roman"/>
          <w:i/>
          <w:iCs/>
        </w:rPr>
        <w:t>policy transfer</w:t>
      </w:r>
      <w:r w:rsidRPr="00555117">
        <w:rPr>
          <w:rFonts w:ascii="Times New Roman" w:hAnsi="Times New Roman" w:cs="Times New Roman"/>
        </w:rPr>
        <w:t xml:space="preserve"> as the broad umbrella through which information about policies, administrative arrangements, and institutions is sourced in one context and used in another (D. Dolowitz &amp; Marsh, 1996), alongside diffusion as a more patterned interdependence-driven route of cue sourcing across jurisdictions (Shipan &amp; Volden, 2008, 2012), and </w:t>
      </w:r>
      <w:r w:rsidRPr="00555117">
        <w:rPr>
          <w:rFonts w:ascii="Times New Roman" w:hAnsi="Times New Roman" w:cs="Times New Roman"/>
          <w:i/>
          <w:iCs/>
        </w:rPr>
        <w:t>convergence-producing pathways</w:t>
      </w:r>
      <w:r w:rsidRPr="00555117">
        <w:rPr>
          <w:rFonts w:ascii="Times New Roman" w:hAnsi="Times New Roman" w:cs="Times New Roman"/>
        </w:rPr>
        <w:t xml:space="preserve"> such as harmonization or emulation that structure how knowledge flows in ways that can facilitate similarity in policy. Within the same forms category, </w:t>
      </w:r>
      <w:r w:rsidRPr="00555117">
        <w:rPr>
          <w:rFonts w:ascii="Times New Roman" w:hAnsi="Times New Roman" w:cs="Times New Roman"/>
          <w:i/>
          <w:iCs/>
        </w:rPr>
        <w:t>lesson drawing</w:t>
      </w:r>
      <w:r w:rsidRPr="00555117">
        <w:rPr>
          <w:rFonts w:ascii="Times New Roman" w:hAnsi="Times New Roman" w:cs="Times New Roman"/>
        </w:rPr>
        <w:t xml:space="preserve"> is better treated as a comparatively more deliberate, problem-oriented scan across time and space for solutions to evaluate or avoid (Rose, 1991), as are institutionalized formats such as </w:t>
      </w:r>
      <w:r w:rsidRPr="00555117">
        <w:rPr>
          <w:rFonts w:ascii="Times New Roman" w:hAnsi="Times New Roman" w:cs="Times New Roman"/>
          <w:i/>
          <w:iCs/>
        </w:rPr>
        <w:t>benchmarking</w:t>
      </w:r>
      <w:r w:rsidRPr="00555117">
        <w:rPr>
          <w:rFonts w:ascii="Times New Roman" w:hAnsi="Times New Roman" w:cs="Times New Roman"/>
        </w:rPr>
        <w:t xml:space="preserve"> and </w:t>
      </w:r>
      <w:r w:rsidRPr="00555117">
        <w:rPr>
          <w:rFonts w:ascii="Times New Roman" w:hAnsi="Times New Roman" w:cs="Times New Roman"/>
          <w:i/>
          <w:iCs/>
        </w:rPr>
        <w:t>peer learning</w:t>
      </w:r>
      <w:r w:rsidRPr="00555117">
        <w:rPr>
          <w:rFonts w:ascii="Times New Roman" w:hAnsi="Times New Roman" w:cs="Times New Roman"/>
        </w:rPr>
        <w:t xml:space="preserve"> organized through indicators, </w:t>
      </w:r>
      <w:r w:rsidRPr="00555117">
        <w:rPr>
          <w:rFonts w:ascii="Times New Roman" w:hAnsi="Times New Roman" w:cs="Times New Roman"/>
          <w:i/>
          <w:iCs/>
        </w:rPr>
        <w:t>peer review</w:t>
      </w:r>
      <w:r w:rsidRPr="00555117">
        <w:rPr>
          <w:rFonts w:ascii="Times New Roman" w:hAnsi="Times New Roman" w:cs="Times New Roman"/>
        </w:rPr>
        <w:t xml:space="preserve">, and </w:t>
      </w:r>
      <w:r w:rsidRPr="00555117">
        <w:rPr>
          <w:rFonts w:ascii="Times New Roman" w:hAnsi="Times New Roman" w:cs="Times New Roman"/>
          <w:i/>
          <w:iCs/>
        </w:rPr>
        <w:t>performance comparison</w:t>
      </w:r>
      <w:r w:rsidRPr="00555117">
        <w:rPr>
          <w:rFonts w:ascii="Times New Roman" w:hAnsi="Times New Roman" w:cs="Times New Roman"/>
        </w:rPr>
        <w:t>.</w:t>
      </w:r>
    </w:p>
    <w:p w14:paraId="3E20039F" w14:textId="77777777" w:rsidR="007E38AB" w:rsidRPr="00555117" w:rsidRDefault="00000000">
      <w:pPr>
        <w:rPr>
          <w:rFonts w:ascii="Times New Roman" w:hAnsi="Times New Roman" w:cs="Times New Roman"/>
        </w:rPr>
      </w:pPr>
      <w:r w:rsidRPr="00555117">
        <w:rPr>
          <w:rFonts w:ascii="Times New Roman" w:hAnsi="Times New Roman" w:cs="Times New Roman"/>
          <w:b/>
          <w:bCs/>
        </w:rPr>
        <w:t>Modes of learning</w:t>
      </w:r>
      <w:r w:rsidRPr="00555117">
        <w:rPr>
          <w:rFonts w:ascii="Times New Roman" w:hAnsi="Times New Roman" w:cs="Times New Roman"/>
        </w:rPr>
        <w:t xml:space="preserve">. Once information and knowledge are “in,” learning still varies systematically in how it is enacted through recurring interactional environments. Modes of learning capture these patterned teacher–learner relations and the participation structures through which knowledge is encountered, negotiated, and validated. These modes of learning, parsimoniously captured by a framework of learning genera developed by Dunlop &amp; Radaelli (2013), involves four distinct modes: Reflexive, Hierarchical, Bargaining-oriented, and Epistemic. </w:t>
      </w:r>
      <w:r w:rsidRPr="00555117">
        <w:rPr>
          <w:rFonts w:ascii="Times New Roman" w:hAnsi="Times New Roman" w:cs="Times New Roman"/>
          <w:i/>
          <w:iCs/>
        </w:rPr>
        <w:t>Reflexive</w:t>
      </w:r>
      <w:r w:rsidRPr="00555117">
        <w:rPr>
          <w:rFonts w:ascii="Times New Roman" w:hAnsi="Times New Roman" w:cs="Times New Roman"/>
        </w:rPr>
        <w:t xml:space="preserve"> learning unfolds through deliberative exchange among heterogeneous stakeholders aimed at widening debate and revising shared understandings, typically under low tractability and low agreement on who counts as an authoritative problem-solver. </w:t>
      </w:r>
      <w:r w:rsidRPr="00555117">
        <w:rPr>
          <w:rFonts w:ascii="Times New Roman" w:hAnsi="Times New Roman" w:cs="Times New Roman"/>
          <w:i/>
          <w:iCs/>
        </w:rPr>
        <w:t>Hierarchical</w:t>
      </w:r>
      <w:r w:rsidRPr="00555117">
        <w:rPr>
          <w:rFonts w:ascii="Times New Roman" w:hAnsi="Times New Roman" w:cs="Times New Roman"/>
        </w:rPr>
        <w:t xml:space="preserve"> learning is organized around authority and compliance, where learning is steered through asymmetric power relations, rules, and institutional constraints that channel what can be learned and toward which objectives. </w:t>
      </w:r>
      <w:r w:rsidRPr="00555117">
        <w:rPr>
          <w:rFonts w:ascii="Times New Roman" w:hAnsi="Times New Roman" w:cs="Times New Roman"/>
          <w:i/>
          <w:iCs/>
        </w:rPr>
        <w:t>Bargaining-oriented</w:t>
      </w:r>
      <w:r w:rsidRPr="00555117">
        <w:rPr>
          <w:rFonts w:ascii="Times New Roman" w:hAnsi="Times New Roman" w:cs="Times New Roman"/>
        </w:rPr>
        <w:t xml:space="preserve"> learning is often a spillover of negotiation and contestation in which information serves as a strategic resource to broker agreement through concessions, often without deep preference revision. </w:t>
      </w:r>
      <w:r w:rsidRPr="00555117">
        <w:rPr>
          <w:rFonts w:ascii="Times New Roman" w:hAnsi="Times New Roman" w:cs="Times New Roman"/>
          <w:i/>
          <w:iCs/>
        </w:rPr>
        <w:t>Epistemic</w:t>
      </w:r>
      <w:r w:rsidRPr="00555117">
        <w:rPr>
          <w:rFonts w:ascii="Times New Roman" w:hAnsi="Times New Roman" w:cs="Times New Roman"/>
        </w:rPr>
        <w:t xml:space="preserve"> learning is structured by knowledge asymmetries between certified experts and non-expert learners, with expert authority grounded in socially recognized standards and used to reduce ambiguity and delineate feasible options.</w:t>
      </w:r>
    </w:p>
    <w:p w14:paraId="3E2003A0" w14:textId="77777777" w:rsidR="007E38AB" w:rsidRPr="00555117" w:rsidRDefault="00000000">
      <w:pPr>
        <w:rPr>
          <w:rFonts w:ascii="Times New Roman" w:hAnsi="Times New Roman" w:cs="Times New Roman"/>
        </w:rPr>
      </w:pPr>
      <w:r w:rsidRPr="00555117">
        <w:rPr>
          <w:rFonts w:ascii="Times New Roman" w:hAnsi="Times New Roman" w:cs="Times New Roman"/>
          <w:b/>
          <w:bCs/>
        </w:rPr>
        <w:t>Mechanisms of learning</w:t>
      </w:r>
      <w:r w:rsidRPr="00555117">
        <w:rPr>
          <w:rFonts w:ascii="Times New Roman" w:hAnsi="Times New Roman" w:cs="Times New Roman"/>
        </w:rPr>
        <w:t xml:space="preserve">. If modes describe the setting in which learning is instantiated, mechanisms of learning specify the within-setting causal processing through which informational inputs are converted into cognitive and behavioral adjustment. Following Kamkhaji &amp; Radaelli (2017), a useful distinction separates </w:t>
      </w:r>
      <w:r w:rsidRPr="00555117">
        <w:rPr>
          <w:rFonts w:ascii="Times New Roman" w:hAnsi="Times New Roman" w:cs="Times New Roman"/>
          <w:i/>
          <w:iCs/>
        </w:rPr>
        <w:t>inferential</w:t>
      </w:r>
      <w:r w:rsidRPr="00555117">
        <w:rPr>
          <w:rFonts w:ascii="Times New Roman" w:hAnsi="Times New Roman" w:cs="Times New Roman"/>
        </w:rPr>
        <w:t xml:space="preserve"> and </w:t>
      </w:r>
      <w:r w:rsidRPr="00555117">
        <w:rPr>
          <w:rFonts w:ascii="Times New Roman" w:hAnsi="Times New Roman" w:cs="Times New Roman"/>
          <w:i/>
          <w:iCs/>
        </w:rPr>
        <w:t>contingent</w:t>
      </w:r>
      <w:r w:rsidRPr="00555117">
        <w:rPr>
          <w:rFonts w:ascii="Times New Roman" w:hAnsi="Times New Roman" w:cs="Times New Roman"/>
        </w:rPr>
        <w:t xml:space="preserve"> mechanisms. Inferential learning proceeds through deliberate reasoning about experience and cause–and-effect relations, with belief updating occurring before (or alongside) behavioral change; under acute time pressure, this mechanism often reappears ex post, when feedback allows actors to stabilize interpretations and justify what has been done. Contingent learning, by contrast, is a fast associative pathway triggered by surprise, where salient cue–outcome pairings generate rapid behavioral shifts without prior deliberation, effectively fusing cognition and action under “change-or-die” conditions; inferential processing may then return to consolidate, rationalize, or lock in the emergent trajectory.</w:t>
      </w:r>
    </w:p>
    <w:p w14:paraId="3E2003A1" w14:textId="77777777" w:rsidR="007E38AB" w:rsidRPr="00555117" w:rsidRDefault="00000000">
      <w:pPr>
        <w:rPr>
          <w:rFonts w:ascii="Times New Roman" w:hAnsi="Times New Roman" w:cs="Times New Roman"/>
        </w:rPr>
      </w:pPr>
      <w:r w:rsidRPr="00555117">
        <w:rPr>
          <w:rFonts w:ascii="Times New Roman" w:hAnsi="Times New Roman" w:cs="Times New Roman"/>
          <w:b/>
          <w:bCs/>
        </w:rPr>
        <w:t>Types of learning</w:t>
      </w:r>
      <w:r w:rsidRPr="00555117">
        <w:rPr>
          <w:rFonts w:ascii="Times New Roman" w:hAnsi="Times New Roman" w:cs="Times New Roman"/>
        </w:rPr>
        <w:t xml:space="preserve">. Against this backdrop, types of learning denote the objects of learning, meaning what actors learn about, or the substantive target domain in which they acquire knowledge, update understandings, or adjust beliefs and practices. The classics remain analytically useful precisely because they specify distinct objects. </w:t>
      </w:r>
      <w:r w:rsidRPr="00555117">
        <w:rPr>
          <w:rFonts w:ascii="Times New Roman" w:hAnsi="Times New Roman" w:cs="Times New Roman"/>
          <w:i/>
          <w:iCs/>
        </w:rPr>
        <w:t>Instrumental</w:t>
      </w:r>
      <w:r w:rsidRPr="00555117">
        <w:rPr>
          <w:rFonts w:ascii="Times New Roman" w:hAnsi="Times New Roman" w:cs="Times New Roman"/>
        </w:rPr>
        <w:t xml:space="preserve"> learning concerns what actors come to know about policy instruments, including technical viability, effectiveness, efficiency, and calibration (May, 1992). </w:t>
      </w:r>
      <w:r w:rsidRPr="00555117">
        <w:rPr>
          <w:rFonts w:ascii="Times New Roman" w:hAnsi="Times New Roman" w:cs="Times New Roman"/>
          <w:i/>
          <w:iCs/>
        </w:rPr>
        <w:t>Social</w:t>
      </w:r>
      <w:r w:rsidRPr="00555117">
        <w:rPr>
          <w:rFonts w:ascii="Times New Roman" w:hAnsi="Times New Roman" w:cs="Times New Roman"/>
        </w:rPr>
        <w:t xml:space="preserve"> learning concerns what actors come to know about the social construction of policy issues and the </w:t>
      </w:r>
      <w:r w:rsidRPr="00555117">
        <w:rPr>
          <w:rFonts w:ascii="Times New Roman" w:hAnsi="Times New Roman" w:cs="Times New Roman"/>
        </w:rPr>
        <w:lastRenderedPageBreak/>
        <w:t xml:space="preserve">interpretation of paradigms that organize legitimate goals and solutions (Bennett &amp; Howlett, 1992; Hall, 1993) (Hall, 1993). </w:t>
      </w:r>
      <w:r w:rsidRPr="00555117">
        <w:rPr>
          <w:rFonts w:ascii="Times New Roman" w:hAnsi="Times New Roman" w:cs="Times New Roman"/>
          <w:i/>
          <w:iCs/>
        </w:rPr>
        <w:t>Managerial</w:t>
      </w:r>
      <w:r w:rsidRPr="00555117">
        <w:rPr>
          <w:rFonts w:ascii="Times New Roman" w:hAnsi="Times New Roman" w:cs="Times New Roman"/>
        </w:rPr>
        <w:t xml:space="preserve"> learning centers on implementation arrangements and administrative routines (Biegelbauer, 2016), while </w:t>
      </w:r>
      <w:r w:rsidRPr="00555117">
        <w:rPr>
          <w:rFonts w:ascii="Times New Roman" w:hAnsi="Times New Roman" w:cs="Times New Roman"/>
          <w:i/>
          <w:iCs/>
        </w:rPr>
        <w:t>political</w:t>
      </w:r>
      <w:r w:rsidRPr="00555117">
        <w:rPr>
          <w:rFonts w:ascii="Times New Roman" w:hAnsi="Times New Roman" w:cs="Times New Roman"/>
        </w:rPr>
        <w:t xml:space="preserve"> learning focuses on what actors learn about political feasibility, coalition dynamics, and advocacy strategy (Zaki &amp; Dupont, 2024). The loop-learning tradition can be read in the same object-centered way: </w:t>
      </w:r>
      <w:r w:rsidRPr="00555117">
        <w:rPr>
          <w:rFonts w:ascii="Times New Roman" w:hAnsi="Times New Roman" w:cs="Times New Roman"/>
          <w:i/>
          <w:iCs/>
        </w:rPr>
        <w:t>single-loop</w:t>
      </w:r>
      <w:r w:rsidRPr="00555117">
        <w:rPr>
          <w:rFonts w:ascii="Times New Roman" w:hAnsi="Times New Roman" w:cs="Times New Roman"/>
        </w:rPr>
        <w:t xml:space="preserve"> learning targets the operational performance of existing routines (including instrument settings and day-to-day adjustments); </w:t>
      </w:r>
      <w:r w:rsidRPr="00555117">
        <w:rPr>
          <w:rFonts w:ascii="Times New Roman" w:hAnsi="Times New Roman" w:cs="Times New Roman"/>
          <w:i/>
          <w:iCs/>
        </w:rPr>
        <w:t>double-loop</w:t>
      </w:r>
      <w:r w:rsidRPr="00555117">
        <w:rPr>
          <w:rFonts w:ascii="Times New Roman" w:hAnsi="Times New Roman" w:cs="Times New Roman"/>
        </w:rPr>
        <w:t xml:space="preserve"> learning targets how policy is done (instrument choice, settings, and the working assumptions linking instruments to goals); and </w:t>
      </w:r>
      <w:r w:rsidRPr="00555117">
        <w:rPr>
          <w:rFonts w:ascii="Times New Roman" w:hAnsi="Times New Roman" w:cs="Times New Roman"/>
          <w:i/>
          <w:iCs/>
        </w:rPr>
        <w:t>triple-loop</w:t>
      </w:r>
      <w:r w:rsidRPr="00555117">
        <w:rPr>
          <w:rFonts w:ascii="Times New Roman" w:hAnsi="Times New Roman" w:cs="Times New Roman"/>
        </w:rPr>
        <w:t xml:space="preserve"> learning targets what policy is for and why (goals, paradigms, values, and worldviews that structure problem definitions and legitimate solutions). Beyond these, additional types sharpen the object of learning in other domains. For example, </w:t>
      </w:r>
      <w:r w:rsidRPr="00555117">
        <w:rPr>
          <w:rFonts w:ascii="Times New Roman" w:hAnsi="Times New Roman" w:cs="Times New Roman"/>
          <w:i/>
          <w:iCs/>
        </w:rPr>
        <w:t>Organizational</w:t>
      </w:r>
      <w:r w:rsidRPr="00555117">
        <w:rPr>
          <w:rFonts w:ascii="Times New Roman" w:hAnsi="Times New Roman" w:cs="Times New Roman"/>
        </w:rPr>
        <w:t xml:space="preserve"> learning concerns organizational routines, procedures, and viability (Schout, 2010). On the other hand, </w:t>
      </w:r>
      <w:r w:rsidRPr="00555117">
        <w:rPr>
          <w:rFonts w:ascii="Times New Roman" w:hAnsi="Times New Roman" w:cs="Times New Roman"/>
          <w:i/>
          <w:iCs/>
        </w:rPr>
        <w:t>Organizational policy learning</w:t>
      </w:r>
      <w:r w:rsidRPr="00555117">
        <w:rPr>
          <w:rFonts w:ascii="Times New Roman" w:hAnsi="Times New Roman" w:cs="Times New Roman"/>
        </w:rPr>
        <w:t xml:space="preserve"> focuses on what organizations learn about mobilizing resources and capacities to shape policymaking and governance, thereby linking learning to shifts in organizational capabilities and assessments of what is feasible in practice (Zaki, 2026). </w:t>
      </w:r>
      <w:r w:rsidRPr="00555117">
        <w:rPr>
          <w:rFonts w:ascii="Times New Roman" w:hAnsi="Times New Roman" w:cs="Times New Roman"/>
          <w:i/>
          <w:iCs/>
        </w:rPr>
        <w:t>Governance</w:t>
      </w:r>
      <w:r w:rsidRPr="00555117">
        <w:rPr>
          <w:rFonts w:ascii="Times New Roman" w:hAnsi="Times New Roman" w:cs="Times New Roman"/>
        </w:rPr>
        <w:t xml:space="preserve"> learning concerns what actors learn about governance designs and arrangements, including the rules, procedures, and participation architectures through which collective action is organized (Challies et al., 2017). </w:t>
      </w:r>
      <w:r w:rsidRPr="00555117">
        <w:rPr>
          <w:rFonts w:ascii="Times New Roman" w:hAnsi="Times New Roman" w:cs="Times New Roman"/>
          <w:i/>
          <w:iCs/>
        </w:rPr>
        <w:t>Narrative</w:t>
      </w:r>
      <w:r w:rsidRPr="00555117">
        <w:rPr>
          <w:rFonts w:ascii="Times New Roman" w:hAnsi="Times New Roman" w:cs="Times New Roman"/>
        </w:rPr>
        <w:t xml:space="preserve"> learning concerns what actors learn about the policy narrative itself, including updates to the narrative configuration through which problems and solutions are represented (setting, characters, plot, and moral), as well as the beliefs and strategies embedded in that configuration (Shanahan et al., 2018).</w:t>
      </w:r>
    </w:p>
    <w:p w14:paraId="3E2003A2" w14:textId="77777777" w:rsidR="007E38AB" w:rsidRPr="00555117" w:rsidRDefault="00000000">
      <w:pPr>
        <w:rPr>
          <w:rFonts w:ascii="Times New Roman" w:hAnsi="Times New Roman" w:cs="Times New Roman"/>
        </w:rPr>
      </w:pPr>
      <w:r w:rsidRPr="00555117">
        <w:rPr>
          <w:rFonts w:ascii="Times New Roman" w:hAnsi="Times New Roman" w:cs="Times New Roman"/>
          <w:b/>
          <w:bCs/>
        </w:rPr>
        <w:t>Outcomes of learning</w:t>
      </w:r>
      <w:r w:rsidRPr="00555117">
        <w:rPr>
          <w:rFonts w:ascii="Times New Roman" w:hAnsi="Times New Roman" w:cs="Times New Roman"/>
        </w:rPr>
        <w:t>. With forms, modes, mechanisms, and types specified, the final step is to clarify what learning produces. Fundamentally, policy learning yields two broad sets of outcomes: cognitive and behavioral. Cognitive products concern changes in understandings and beliefs, whether confirmatory or disconfirmatory, while behavioral products concern changes in action and practice, including policy change or policy stability, as well as shifts in political advocacy strategies and tactics (Heikkila &amp; Gerlak, 2013; Zaki &amp; Dupont, 2024). In these terms, a learning outcome can be understood as any change in a policy process, policy, institution, or actor behavior that can be plausibly linked to a learning process, even if empirically demonstrating causal influence remains difficult (Zaki &amp; Radaelli, 2024). Cognitively, learning may update policy beliefs (the lenses through which actors interpret problems and instrument effects, including fundamental values and policy-relevant ideas) without necessarily shifting policy preferences (actors’ goals and evaluative stances in a given context). Learning is therefore “consistent” when preferences are brought into alignment with updated beliefs, which helps explain why observable belief change does not always translate into immediate behavioral change (Plümer, 2024). Behaviorally, the magnitude of change associated with learning is often captured through Hall (1993) three “orders” of change: first-order change calibrates existing instrument settings while leaving instruments and overarching goals intact; second-order change alters the instruments (and their settings) while keeping the hierarchy of goals largely stable; and third-order change denotes a paradigm shift involving simultaneous change in settings, instruments, and goals, typically accompanied by a redefinition of policy discourse (Hall, 1993). Finally, learning should not be equated with change by default: it can also contribute to stability and confirmation by reinforcing policy-related beliefs and sustaining existing policy choices, as highlighted in advocacy coalition research and institutionalist accounts (Migone et al., 2024; Weible et al., 2023).</w:t>
      </w:r>
    </w:p>
    <w:p w14:paraId="3E2003A3" w14:textId="77777777" w:rsidR="007E38AB" w:rsidRPr="00555117" w:rsidRDefault="00000000">
      <w:pPr>
        <w:rPr>
          <w:rFonts w:ascii="Times New Roman" w:hAnsi="Times New Roman" w:cs="Times New Roman"/>
        </w:rPr>
      </w:pPr>
      <w:bookmarkStart w:id="12" w:name="conclusion"/>
      <w:bookmarkEnd w:id="5"/>
      <w:bookmarkEnd w:id="10"/>
      <w:r w:rsidRPr="00555117">
        <w:rPr>
          <w:rFonts w:ascii="Times New Roman" w:hAnsi="Times New Roman" w:cs="Times New Roman"/>
        </w:rPr>
        <w:t>2.3 Conclusion</w:t>
      </w:r>
    </w:p>
    <w:p w14:paraId="3E2003A4"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The review of the vibrant policy learning literature above shows a landscape sprawling with a wide range of ontologies and conceptual and theoretical approaches that continue to grow through empirical analyses across diverse policy domains. While this literature continues to provide insights into policy processes </w:t>
      </w:r>
      <w:r w:rsidRPr="00555117">
        <w:rPr>
          <w:rFonts w:ascii="Times New Roman" w:hAnsi="Times New Roman" w:cs="Times New Roman"/>
        </w:rPr>
        <w:lastRenderedPageBreak/>
        <w:t>and outcomes, the persistent issue of how learning occurs at the micro-foundational level and aggregates across the micro, meso, and macro levels, from individuals to collectives, remains scarcely theorized and challenging to address (Dunlop &amp; Radaelli, 2017; B. D. Jones, 2017).</w:t>
      </w:r>
    </w:p>
    <w:p w14:paraId="3E2003A5" w14:textId="77777777" w:rsidR="007E38AB" w:rsidRPr="00555117" w:rsidRDefault="00000000">
      <w:pPr>
        <w:rPr>
          <w:rFonts w:ascii="Times New Roman" w:hAnsi="Times New Roman" w:cs="Times New Roman"/>
        </w:rPr>
      </w:pPr>
      <w:r w:rsidRPr="00555117">
        <w:rPr>
          <w:rFonts w:ascii="Times New Roman" w:hAnsi="Times New Roman" w:cs="Times New Roman"/>
        </w:rPr>
        <w:t>This chapter illustrates why policy learning is simultaneously a generative research program and a conceptually crowded field, largely because it spans levels and traditions, and is described through multiple descriptor families that do not always align cleanly. Yet this mapping also clarifies what remains undertheorized in much learning scholarship, namely the micro-foundational logic through which learning is produced rather than merely inferred from outcomes. If learning is fundamentally about updating beliefs and understandings in relation to policy problems, then explanation ultimately requires a defensible account of how policy-relevant information is encountered, selected, weighted, and reconciled with priors under cognitive and institutional constraints. Chapter 3 takes up this hinge point directly by developing a model of learning through information processing, thereby connecting the field’s conceptual richness to clearer causal mechanisms that can travel across micro and meso levels and support more cumulative inference.</w:t>
      </w:r>
    </w:p>
    <w:p w14:paraId="0AE9EB27" w14:textId="77777777" w:rsidR="00794B9B" w:rsidRDefault="00794B9B">
      <w:pPr>
        <w:rPr>
          <w:rFonts w:ascii="Times New Roman" w:eastAsiaTheme="majorEastAsia" w:hAnsi="Times New Roman" w:cs="Times New Roman"/>
          <w:color w:val="2F5496" w:themeColor="accent1" w:themeShade="BF"/>
          <w:kern w:val="0"/>
          <w:sz w:val="32"/>
          <w:szCs w:val="32"/>
          <w:lang w:val="en-US"/>
          <w14:ligatures w14:val="none"/>
        </w:rPr>
      </w:pPr>
      <w:bookmarkStart w:id="13" w:name="X95fe8a89bfd87957c91f51269b452aec16443ec"/>
      <w:bookmarkStart w:id="14" w:name="_Toc223685852"/>
      <w:bookmarkEnd w:id="2"/>
      <w:bookmarkEnd w:id="12"/>
      <w:r>
        <w:rPr>
          <w:rFonts w:ascii="Times New Roman" w:hAnsi="Times New Roman" w:cs="Times New Roman"/>
        </w:rPr>
        <w:br w:type="page"/>
      </w:r>
    </w:p>
    <w:p w14:paraId="3E2003A6" w14:textId="7BBFDF64" w:rsidR="007E38AB" w:rsidRPr="00555117" w:rsidRDefault="00000000">
      <w:pPr>
        <w:pStyle w:val="Heading1"/>
        <w:rPr>
          <w:rFonts w:ascii="Times New Roman" w:hAnsi="Times New Roman" w:cs="Times New Roman"/>
        </w:rPr>
      </w:pPr>
      <w:r w:rsidRPr="00555117">
        <w:rPr>
          <w:rFonts w:ascii="Times New Roman" w:hAnsi="Times New Roman" w:cs="Times New Roman"/>
        </w:rPr>
        <w:lastRenderedPageBreak/>
        <w:t>3. A Model of Policy Learning through Information Processing</w:t>
      </w:r>
      <w:bookmarkEnd w:id="14"/>
    </w:p>
    <w:p w14:paraId="3E2003A7" w14:textId="77777777" w:rsidR="007E38AB" w:rsidRPr="00555117" w:rsidRDefault="00000000">
      <w:pPr>
        <w:rPr>
          <w:rFonts w:ascii="Times New Roman" w:hAnsi="Times New Roman" w:cs="Times New Roman"/>
        </w:rPr>
      </w:pPr>
      <w:bookmarkStart w:id="15" w:name="introduction-2"/>
      <w:r w:rsidRPr="00555117">
        <w:rPr>
          <w:rFonts w:ascii="Times New Roman" w:hAnsi="Times New Roman" w:cs="Times New Roman"/>
        </w:rPr>
        <w:t>3.1 Introduction</w:t>
      </w:r>
    </w:p>
    <w:p w14:paraId="3E2003A8" w14:textId="77777777" w:rsidR="007E38AB" w:rsidRPr="00555117" w:rsidRDefault="00000000">
      <w:pPr>
        <w:rPr>
          <w:rFonts w:ascii="Times New Roman" w:hAnsi="Times New Roman" w:cs="Times New Roman"/>
        </w:rPr>
      </w:pPr>
      <w:r w:rsidRPr="00555117">
        <w:rPr>
          <w:rFonts w:ascii="Times New Roman" w:hAnsi="Times New Roman" w:cs="Times New Roman"/>
        </w:rPr>
        <w:t>Policy actors and institutions generally have a wide array of information available about potential problems, policy alternatives, and political factors. All of this available information has the potential to contribute to policy learning. Yet actors and institutions are unable to effectively process all available information. Therefore, learning is based on which bits of information receive attention and how they are processed through the belief systems of policy actors and the institutional structures of the policymaking system.</w:t>
      </w:r>
    </w:p>
    <w:p w14:paraId="3E2003A9" w14:textId="77777777" w:rsidR="007E38AB" w:rsidRPr="00555117" w:rsidRDefault="00000000">
      <w:pPr>
        <w:rPr>
          <w:rFonts w:ascii="Times New Roman" w:hAnsi="Times New Roman" w:cs="Times New Roman"/>
        </w:rPr>
      </w:pPr>
      <w:r w:rsidRPr="00555117">
        <w:rPr>
          <w:rFonts w:ascii="Times New Roman" w:hAnsi="Times New Roman" w:cs="Times New Roman"/>
        </w:rPr>
        <w:t>In this chapter, we develop a model of policy learning through information processing. Building on the Advocacy Coalition Framework’s (ACF) emphasis on policy-oriented learning, we place beliefs and belief systems at the core of the model, since they structure the policy actors’ attention to, interpretation, and weighting of incoming information. Additionally, we utilize a Bayesian framework to situate the interaction of beliefs and information processing. A Bayesian approach includes prior beliefs, a likelihood function where information signals are weighed relative to prior beliefs, and posterior beliefs, or beliefs following the processing of information. In brief, learning occurs through selective attention to information signals and their reconciliation with prior beliefs. The model conceptualizes this reconciliation explicitly by treating beliefs as structured priors that organize attention and interpretation, and by treating policy-relevant information as signals that vary in clarity, strength, and credibility. On this view, learning is not synonymous with just any belief shift. Rather, learning is belief updating that is attributable to the interaction between priors and informational cues under identifiable conditions of attention and processing.</w:t>
      </w:r>
    </w:p>
    <w:p w14:paraId="3E2003AA" w14:textId="77777777" w:rsidR="007E38AB" w:rsidRPr="00555117" w:rsidRDefault="00000000">
      <w:pPr>
        <w:rPr>
          <w:rFonts w:ascii="Times New Roman" w:hAnsi="Times New Roman" w:cs="Times New Roman"/>
        </w:rPr>
      </w:pPr>
      <w:r w:rsidRPr="00555117">
        <w:rPr>
          <w:rFonts w:ascii="Times New Roman" w:hAnsi="Times New Roman" w:cs="Times New Roman"/>
        </w:rPr>
        <w:t>Depending on how information signals compare to prior beliefs, the process can yield several belief-related outcomes, including no learning, belief decay, belief reinforcement, or belief change. We reserve the term learning for belief change that moves in the direction of processed information. The chapter proceeds by first detailing belief systems and their role in policy learning, and then we lay out the learning through information processing model.</w:t>
      </w:r>
    </w:p>
    <w:p w14:paraId="3E2003AB" w14:textId="77777777" w:rsidR="007E38AB" w:rsidRPr="00555117" w:rsidRDefault="00000000">
      <w:pPr>
        <w:rPr>
          <w:rFonts w:ascii="Times New Roman" w:hAnsi="Times New Roman" w:cs="Times New Roman"/>
        </w:rPr>
      </w:pPr>
      <w:bookmarkStart w:id="16" w:name="belief-systems-and-learning"/>
      <w:bookmarkEnd w:id="15"/>
      <w:r w:rsidRPr="00555117">
        <w:rPr>
          <w:rFonts w:ascii="Times New Roman" w:hAnsi="Times New Roman" w:cs="Times New Roman"/>
        </w:rPr>
        <w:t>3.2 Belief Systems and Learning</w:t>
      </w:r>
    </w:p>
    <w:p w14:paraId="3E2003AC" w14:textId="77777777" w:rsidR="007E38AB" w:rsidRPr="00555117" w:rsidRDefault="00000000">
      <w:pPr>
        <w:rPr>
          <w:rFonts w:ascii="Times New Roman" w:hAnsi="Times New Roman" w:cs="Times New Roman"/>
        </w:rPr>
      </w:pPr>
      <w:r w:rsidRPr="00555117">
        <w:rPr>
          <w:rFonts w:ascii="Times New Roman" w:hAnsi="Times New Roman" w:cs="Times New Roman"/>
        </w:rPr>
        <w:t>The ACF, with its focus on policy-oriented learning as a key driver of policy change, is the policy process theory with the most developed understanding of policy learning. Policy-oriented learning within the ACF is a cognitive process based on policy beliefs, belief systems, and belief change. It is defined as “enduring alterations of thought or behavioral intentions that result from experience, and which are concerned with the attainment or revision of the precepts of the belief systems of individuals or of collectives” (Jenkins-Smith &amp; Sabatier, 1993, p. 42). Hence, learning here involves changes in thought and behavior that result from changes in the belief systems of individuals or collectives. This definition pivots on a cognitive process that produces belief and behavioral change, while also recognizing that learning occurs among individuals and collectives (also see Gerlak &amp; Heikkila, 2011; Heikkila &amp; Gerlak, 2013).</w:t>
      </w:r>
    </w:p>
    <w:p w14:paraId="3E2003AD" w14:textId="77777777" w:rsidR="007E38AB" w:rsidRPr="00555117" w:rsidRDefault="00000000">
      <w:pPr>
        <w:rPr>
          <w:rFonts w:ascii="Times New Roman" w:hAnsi="Times New Roman" w:cs="Times New Roman"/>
        </w:rPr>
      </w:pPr>
      <w:r w:rsidRPr="00555117">
        <w:rPr>
          <w:rFonts w:ascii="Times New Roman" w:hAnsi="Times New Roman" w:cs="Times New Roman"/>
        </w:rPr>
        <w:t>Beliefs in the ACF manifest in a hierarchical, three-tiered system of belief types, including deep core beliefs, policy core beliefs, and secondary beliefs. Within the belief hierarchy, beliefs move from abstract foundational beliefs – deep core beliefs – to beliefs specific to a policy issue or subsystem – policy core beliefs – to secondary beliefs, which focus on particular means to achieve policy goals. Deep core beliefs inform and constrain policy core beliefs, and deep core and policy core beliefs constrain secondary beliefs.</w:t>
      </w:r>
    </w:p>
    <w:p w14:paraId="3E2003AE" w14:textId="77777777" w:rsidR="007E38AB" w:rsidRPr="00555117" w:rsidRDefault="00000000">
      <w:pPr>
        <w:rPr>
          <w:rFonts w:ascii="Times New Roman" w:hAnsi="Times New Roman" w:cs="Times New Roman"/>
        </w:rPr>
      </w:pPr>
      <w:r w:rsidRPr="00555117">
        <w:rPr>
          <w:rFonts w:ascii="Times New Roman" w:hAnsi="Times New Roman" w:cs="Times New Roman"/>
        </w:rPr>
        <w:lastRenderedPageBreak/>
        <w:t>Advocacy coalitions are formed around shared policy core beliefs. Policy core beliefs are relevant to a particular policy issue, domain, or subsystem. Additionally, policy core beliefs contain a normative element that “may reflect basic orientation and value priorities for the policy subsystem” such as “whose welfare … is of greatest concern”; and empirical considerations that involve, “overall assessments of the seriousness of the problem, basic causes of the problem, and preferred solutions for the addressing the problem” (Jenkins-Smith et al., 2018, pp. 140–141). The components of policy core beliefs reflect the fact that most policy issues are complex and contain multiple attributes. The various attributes of complex policy issues can be considered dimensions in a multi-dimensional issue space (Jochim &amp; Jones, 2013; B. D. Jones &amp; Baumgartner, 2005b).</w:t>
      </w:r>
    </w:p>
    <w:p w14:paraId="3E2003AF"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Policy core beliefs regard complex policy issues that contain multiple dimensions; however, policy actors and institutions are not able to consider all of the possibly relevant dimensions and therefore are likely to only focus on a few dimensions of the issue (B. D. Jones, 2001, 2017; B. D. Jones &amp; Baumgartner, 2005a). Apart from being able to only attend to a limited number of dimensions, policy actors also view some dimensions of the issue as more salient or important than others. Therefore, issues can be understood or defined in different ways through various combinations of issue dimensions and their salience. For example, assume the issue of gun violence in the US has two dimensions: ithe prevalence and availability of guns and the mental health of those who commit violent acts using guns. For some, the prevalence of guns is the salient, defining dimension, but for others, the mental health dimension is the important dimension. As a result, the issue of gun violence is defined in two separate ways. Previous work, building on notions of problem definitions, policy images, and frames, notes that the aggregation of the various dimensions weighted by the salience of each dimension constitutes an issue definition (Nowlin, 2016). Any policy issue, </w:t>
      </w:r>
      <w:r w:rsidRPr="00555117">
        <w:rPr>
          <w:rFonts w:ascii="Times New Roman" w:hAnsi="Times New Roman" w:cs="Times New Roman"/>
          <w:i/>
          <w:iCs/>
        </w:rPr>
        <w:t>I</w:t>
      </w:r>
      <w:r w:rsidRPr="00555117">
        <w:rPr>
          <w:rFonts w:ascii="Times New Roman" w:hAnsi="Times New Roman" w:cs="Times New Roman"/>
        </w:rPr>
        <w:t xml:space="preserve">, contains </w:t>
      </w:r>
      <w:r w:rsidRPr="00555117">
        <w:rPr>
          <w:rFonts w:ascii="Times New Roman" w:hAnsi="Times New Roman" w:cs="Times New Roman"/>
          <w:i/>
          <w:iCs/>
        </w:rPr>
        <w:t>D</w:t>
      </w:r>
      <m:oMath>
        <m:sSub>
          <m:sSubPr>
            <m:ctrlPr>
              <w:rPr>
                <w:rFonts w:ascii="Cambria Math" w:hAnsi="Cambria Math" w:cs="Times New Roman"/>
              </w:rPr>
            </m:ctrlPr>
          </m:sSubPr>
          <m:e>
            <m:r>
              <w:rPr>
                <w:rFonts w:ascii="Cambria Math" w:hAnsi="Cambria Math" w:cs="Times New Roman"/>
              </w:rPr>
              <m:t>​</m:t>
            </m:r>
          </m:e>
          <m:sub>
            <m:r>
              <m:rPr>
                <m:nor/>
              </m:rPr>
              <w:rPr>
                <w:rFonts w:ascii="Times New Roman" w:hAnsi="Times New Roman" w:cs="Times New Roman"/>
              </w:rPr>
              <m:t>In</m:t>
            </m:r>
          </m:sub>
        </m:sSub>
      </m:oMath>
      <w:r w:rsidRPr="00555117">
        <w:rPr>
          <w:rFonts w:ascii="Times New Roman" w:hAnsi="Times New Roman" w:cs="Times New Roman"/>
        </w:rPr>
        <w:t xml:space="preserve"> possible dimensions, and each dimension is weighted </w:t>
      </w:r>
      <w:r w:rsidRPr="00555117">
        <w:rPr>
          <w:rFonts w:ascii="Times New Roman" w:hAnsi="Times New Roman" w:cs="Times New Roman"/>
          <w:i/>
          <w:iCs/>
        </w:rPr>
        <w:t>D</w:t>
      </w:r>
      <m:oMath>
        <m:sSub>
          <m:sSubPr>
            <m:ctrlPr>
              <w:rPr>
                <w:rFonts w:ascii="Cambria Math" w:hAnsi="Cambria Math" w:cs="Times New Roman"/>
              </w:rPr>
            </m:ctrlPr>
          </m:sSubPr>
          <m:e>
            <m:r>
              <w:rPr>
                <w:rFonts w:ascii="Cambria Math" w:hAnsi="Cambria Math" w:cs="Times New Roman"/>
              </w:rPr>
              <m:t>​</m:t>
            </m:r>
          </m:e>
          <m:sub>
            <m:r>
              <m:rPr>
                <m:nor/>
              </m:rPr>
              <w:rPr>
                <w:rFonts w:ascii="Times New Roman" w:hAnsi="Times New Roman" w:cs="Times New Roman"/>
              </w:rPr>
              <m:t>In</m:t>
            </m:r>
          </m:sub>
        </m:sSub>
      </m:oMath>
      <w:r w:rsidRPr="00555117">
        <w:rPr>
          <w:rFonts w:ascii="Times New Roman" w:hAnsi="Times New Roman" w:cs="Times New Roman"/>
        </w:rPr>
        <w:t>(</w:t>
      </w:r>
      <m:oMath>
        <m:r>
          <w:rPr>
            <w:rFonts w:ascii="Cambria Math" w:hAnsi="Cambria Math" w:cs="Times New Roman"/>
          </w:rPr>
          <m:t>ω</m:t>
        </m:r>
      </m:oMath>
      <w:r w:rsidRPr="00555117">
        <w:rPr>
          <w:rFonts w:ascii="Times New Roman" w:hAnsi="Times New Roman" w:cs="Times New Roman"/>
        </w:rPr>
        <w:t>) with regard to salience. Therefore, issue definitions are the aggregate of the dimensions and their salience, and we argue that such issue definitions constitute the nucleus of policy core beliefs.</w:t>
      </w:r>
    </w:p>
    <w:p w14:paraId="3E2003B0" w14:textId="77777777" w:rsidR="007E38AB" w:rsidRPr="00555117" w:rsidRDefault="00000000">
      <w:pPr>
        <w:rPr>
          <w:rFonts w:ascii="Times New Roman" w:hAnsi="Times New Roman" w:cs="Times New Roman"/>
        </w:rPr>
      </w:pPr>
      <w:r w:rsidRPr="00555117">
        <w:rPr>
          <w:rFonts w:ascii="Times New Roman" w:hAnsi="Times New Roman" w:cs="Times New Roman"/>
        </w:rPr>
        <w:t>Issue definitions are the sum of the various dimensions of the issue weighted by the salience and form the foundation of policy core beliefs. Policy core beliefs are driven by deep core beliefs. Therefore, deep core beliefs influence the salience weights given to the various issue dimensions. With the gun violence example, the deep core beliefs of conservatism and individualism coupled with normative policy core beliefs that value the rights of gun owners, would likely lead to seeing the mental health of individuals, rather than the availability of guns, as the defining dimension of gun violence.</w:t>
      </w:r>
    </w:p>
    <w:p w14:paraId="3E2003B1" w14:textId="77777777" w:rsidR="007E38AB" w:rsidRPr="00555117" w:rsidRDefault="00000000">
      <w:pPr>
        <w:rPr>
          <w:rFonts w:ascii="Times New Roman" w:hAnsi="Times New Roman" w:cs="Times New Roman"/>
        </w:rPr>
      </w:pPr>
      <w:r w:rsidRPr="00555117">
        <w:rPr>
          <w:rFonts w:ascii="Times New Roman" w:hAnsi="Times New Roman" w:cs="Times New Roman"/>
        </w:rPr>
        <w:t>It is also important to distinguish between policy beliefs and policy preferences, and to highlight how beliefs influence preferences. As noted by Plümer (2024), policy preferences “refer to the goals of actors within a specific policymaking context” (9). Some argue that policy preferences are policy core beliefs associated with preferred policy approaches and constitute policy core policy preferences (Jenkins-Smith et al., 2018). While policy beliefs and policy preferences are both cognitive learning products, beliefs exist a priori and inform preferences in the same way beliefs inform attitudes (Fishbein &amp; Ajzen, 2011; Nowlin, 2019). Beliefs can inform the perceived effectiveness of a policy approach, whereas preferences, like attitudes, are stated as “I support” or “I oppose” that policy approach (Moyson, 2017; Plümer, 2024). As noted, the hierarchical nature of belief systems means that beliefs range from abstract to particular, with the more abstract beliefs influencing the more particular beliefs. Therefore, secondary beliefs are the beliefs closest to policy preferences. For example, a secondary belief that a carbon tax is an efficient and effective way to address climate change would translate into support for a carbon tax, i.e., a policy preference.</w:t>
      </w:r>
    </w:p>
    <w:p w14:paraId="3E2003B2" w14:textId="6496E8A0" w:rsidR="007E38AB" w:rsidRPr="00555117" w:rsidRDefault="00000000">
      <w:pPr>
        <w:rPr>
          <w:rFonts w:ascii="Times New Roman" w:hAnsi="Times New Roman" w:cs="Times New Roman"/>
        </w:rPr>
      </w:pPr>
      <w:hyperlink w:anchor="fig-defs">
        <w:r w:rsidRPr="00555117">
          <w:rPr>
            <w:rFonts w:ascii="Times New Roman" w:hAnsi="Times New Roman" w:cs="Times New Roman"/>
          </w:rPr>
          <w:t>Figure 3.1</w:t>
        </w:r>
      </w:hyperlink>
      <w:r w:rsidRPr="00555117">
        <w:rPr>
          <w:rFonts w:ascii="Times New Roman" w:hAnsi="Times New Roman" w:cs="Times New Roman"/>
        </w:rPr>
        <w:t xml:space="preserve"> illustrates our formulation of the relationships between policy beliefs, issue definitions, and policy preferences.</w:t>
      </w:r>
    </w:p>
    <w:tbl>
      <w:tblPr>
        <w:tblW w:w="5000" w:type="pct"/>
        <w:tblLayout w:type="fixed"/>
        <w:tblLook w:val="0000" w:firstRow="0" w:lastRow="0" w:firstColumn="0" w:lastColumn="0" w:noHBand="0" w:noVBand="0"/>
      </w:tblPr>
      <w:tblGrid>
        <w:gridCol w:w="9360"/>
      </w:tblGrid>
      <w:tr w:rsidR="007E38AB" w:rsidRPr="00555117" w14:paraId="3E2003B5" w14:textId="77777777">
        <w:tc>
          <w:tcPr>
            <w:tcW w:w="7920" w:type="dxa"/>
          </w:tcPr>
          <w:p w14:paraId="3E2003B3" w14:textId="77777777" w:rsidR="007E38AB" w:rsidRPr="00555117" w:rsidRDefault="00000000">
            <w:pPr>
              <w:spacing w:before="200"/>
              <w:rPr>
                <w:rFonts w:ascii="Times New Roman" w:hAnsi="Times New Roman" w:cs="Times New Roman"/>
              </w:rPr>
            </w:pPr>
            <w:bookmarkStart w:id="17" w:name="fig-defs"/>
            <w:r w:rsidRPr="00555117">
              <w:rPr>
                <w:rFonts w:ascii="Times New Roman" w:hAnsi="Times New Roman" w:cs="Times New Roman"/>
              </w:rPr>
              <w:lastRenderedPageBreak/>
              <w:t>Figure 3.1: Policy Beliefs, Issue Definitions, and Preferences</w:t>
            </w:r>
          </w:p>
          <w:p w14:paraId="3E2003B4" w14:textId="77777777" w:rsidR="007E38AB" w:rsidRPr="00555117" w:rsidRDefault="00000000">
            <w:pPr>
              <w:jc w:val="center"/>
              <w:rPr>
                <w:rFonts w:ascii="Times New Roman" w:hAnsi="Times New Roman" w:cs="Times New Roman"/>
              </w:rPr>
            </w:pPr>
            <w:r w:rsidRPr="00555117">
              <w:rPr>
                <w:rFonts w:ascii="Times New Roman" w:hAnsi="Times New Roman" w:cs="Times New Roman"/>
                <w:noProof/>
              </w:rPr>
              <w:drawing>
                <wp:inline distT="0" distB="0" distL="0" distR="0" wp14:anchorId="3E2005EC" wp14:editId="3E2005ED">
                  <wp:extent cx="5486400" cy="18288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chap3_files/figure-docx/mermaid-figure-1.png"/>
                          <pic:cNvPicPr>
                            <a:picLocks noChangeAspect="1" noChangeArrowheads="1"/>
                          </pic:cNvPicPr>
                        </pic:nvPicPr>
                        <pic:blipFill>
                          <a:blip r:embed="rId7"/>
                          <a:stretch>
                            <a:fillRect/>
                          </a:stretch>
                        </pic:blipFill>
                        <pic:spPr bwMode="auto">
                          <a:xfrm>
                            <a:off x="0" y="0"/>
                            <a:ext cx="5486400" cy="1828800"/>
                          </a:xfrm>
                          <a:prstGeom prst="rect">
                            <a:avLst/>
                          </a:prstGeom>
                          <a:noFill/>
                          <a:ln w="9525">
                            <a:noFill/>
                            <a:headEnd/>
                            <a:tailEnd/>
                          </a:ln>
                        </pic:spPr>
                      </pic:pic>
                    </a:graphicData>
                  </a:graphic>
                </wp:inline>
              </w:drawing>
            </w:r>
          </w:p>
        </w:tc>
        <w:bookmarkEnd w:id="17"/>
      </w:tr>
    </w:tbl>
    <w:p w14:paraId="3E2003B6" w14:textId="6ED3146B" w:rsidR="007E38AB" w:rsidRPr="00555117" w:rsidRDefault="00000000">
      <w:pPr>
        <w:rPr>
          <w:rFonts w:ascii="Times New Roman" w:hAnsi="Times New Roman" w:cs="Times New Roman"/>
        </w:rPr>
      </w:pPr>
      <w:r w:rsidRPr="00555117">
        <w:rPr>
          <w:rFonts w:ascii="Times New Roman" w:hAnsi="Times New Roman" w:cs="Times New Roman"/>
        </w:rPr>
        <w:t xml:space="preserve">As shown in </w:t>
      </w:r>
      <w:hyperlink w:anchor="fig-defs">
        <w:r w:rsidRPr="00555117">
          <w:rPr>
            <w:rFonts w:ascii="Times New Roman" w:hAnsi="Times New Roman" w:cs="Times New Roman"/>
          </w:rPr>
          <w:t>Figure 3.1</w:t>
        </w:r>
      </w:hyperlink>
      <w:r w:rsidRPr="00555117">
        <w:rPr>
          <w:rFonts w:ascii="Times New Roman" w:hAnsi="Times New Roman" w:cs="Times New Roman"/>
        </w:rPr>
        <w:t>, deep core beliefs shape policy core beliefs, which consist of the issue definition, or the aggregated salience of the various issue dimensions. Policy core beliefs inform secondary beliefs, which in turn inform policy preferences. While learning as belief updating could occur for any belief, they become less likely to change as they become increasingly applicable to multiple policy issues. It is rare that deep core beliefs, such as political ideology or cultural worldviews, change, whereas narrowly focused secondary beliefs are the most likely to change. Policy core beliefs are more likely to change than deep core beliefs, but less likely than secondary beliefs. Since preferences follow from beliefs, policy preferences are more likely to change following a change in secondary or policy core beliefs.</w:t>
      </w:r>
    </w:p>
    <w:p w14:paraId="3E2003B7" w14:textId="77777777" w:rsidR="007E38AB" w:rsidRPr="00555117" w:rsidRDefault="00000000">
      <w:pPr>
        <w:rPr>
          <w:rFonts w:ascii="Times New Roman" w:hAnsi="Times New Roman" w:cs="Times New Roman"/>
        </w:rPr>
      </w:pPr>
      <w:r w:rsidRPr="00555117">
        <w:rPr>
          <w:rFonts w:ascii="Times New Roman" w:hAnsi="Times New Roman" w:cs="Times New Roman"/>
        </w:rPr>
        <w:t>Policy-oriented learning is associated with belief system changes within a subsystem. However, ACF scholarship has also noted that belief reinforcement can be a type of or an outcome of policy-oriented learning (Nohrstedt et al., 2023; Pattison, 2018). Indeed, belief reinforcement seems to be the most common type of policy-oriented learning (Weible et al., 2023). Recent work has proposed that policy learning as change and reinforcement can be explained when policy beliefs are understood as a probability distribution with a central tendency (the belief) and variance (uncertainty about the belief) (Nowlin, 2024). With this approach, learning as belief change occurs when there is a shift in the central tendency, and learning as belief reinforcement occurs when there is a reduction in variance. Using this approach, policy-oriented learning outcomes include no change in beliefs (i.e., no learning), belief reinforcement (i.e., a reduction in uncertainty), belief change (i.e., learning, or a significant shift in the central tendency), or belief change and reinforcement (i.e., a shift in beliefs and a reduction of uncertainty) (Nowlin, 2024). The likelihood of belief change is a function of the strength of the belief, with firmly held beliefs with low uncertainty less likely to change than less firmly held or less certain beliefs (Jenkins-Smith et al., 2018; Nowlin, 2021).</w:t>
      </w:r>
    </w:p>
    <w:p w14:paraId="3E2003B8" w14:textId="77777777" w:rsidR="007E38AB" w:rsidRPr="00555117" w:rsidRDefault="00000000">
      <w:pPr>
        <w:rPr>
          <w:rFonts w:ascii="Times New Roman" w:hAnsi="Times New Roman" w:cs="Times New Roman"/>
        </w:rPr>
      </w:pPr>
      <w:r w:rsidRPr="00555117">
        <w:rPr>
          <w:rFonts w:ascii="Times New Roman" w:hAnsi="Times New Roman" w:cs="Times New Roman"/>
        </w:rPr>
        <w:t>Belief systems are comprised of deep core beliefs, policy core beliefs that include issue definitions, and secondary beliefs that inform policy preferences. The ubiquity of information surrounding policy actors provides opportunities to learn (i.e., update beliefs). As noted, the interaction between information and heuristics, biases, and beliefs has long been understood as important for policy outcomes (Deutsch, 1963; Simon, 1997); yet little work has explicitly focused on these interactions as drivers of learning. Drawing on work developed from Punctuated Equilibrium Theory (PET), we define information as signals about problems and solutions that emanate throughout the policymaking system (B. D. Jones &amp; Baumgartner, 2005b; Workman et al., 2009). Information processing occurs once policy actors attended to those signals.</w:t>
      </w:r>
    </w:p>
    <w:p w14:paraId="3E2003B9"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The nature of information and information processing for policymaking is discussed in detail in Chapter 5. Briefly, information for policymaking is imperfect, costly, and asymmetric; however, policy actors face </w:t>
      </w:r>
      <w:r w:rsidRPr="00555117">
        <w:rPr>
          <w:rFonts w:ascii="Times New Roman" w:hAnsi="Times New Roman" w:cs="Times New Roman"/>
        </w:rPr>
        <w:lastRenderedPageBreak/>
        <w:t>incentives to share information, otherwise they risk allowing other actors to define the policy issue. Therefore, information about policy problems is ubiquitous in the policy process. It comes in the form of information on conditions and problems collected by government agencies (e.g., inflation, unemployment, crime), lobbying by interest groups, media reporting, and public opinion data, among many others. Additionally, focusing events, such as a disaster, terrorist attack, or pandemic provide strong information signals about potential problems (Birkland, 1997, 1998, 2004; DeLeo et al., 2021). Information flows need to be processed to determine what, if any, actions are needed. However, given the amount of information present, only some signals are processed, while many are ignored. In the next section, we lay out the learning through information processing model.</w:t>
      </w:r>
    </w:p>
    <w:p w14:paraId="3E2003BA" w14:textId="77777777" w:rsidR="007E38AB" w:rsidRPr="00555117" w:rsidRDefault="00000000">
      <w:pPr>
        <w:rPr>
          <w:rFonts w:ascii="Times New Roman" w:hAnsi="Times New Roman" w:cs="Times New Roman"/>
        </w:rPr>
      </w:pPr>
      <w:bookmarkStart w:id="18" w:name="X387419a65463316c8b72b03d9583e7a823f7af3"/>
      <w:bookmarkEnd w:id="16"/>
      <w:r w:rsidRPr="00555117">
        <w:rPr>
          <w:rFonts w:ascii="Times New Roman" w:hAnsi="Times New Roman" w:cs="Times New Roman"/>
        </w:rPr>
        <w:t>3.3 Learning and Information Processing Model</w:t>
      </w:r>
    </w:p>
    <w:p w14:paraId="3E2003BB" w14:textId="77777777" w:rsidR="007E38AB" w:rsidRPr="00555117" w:rsidRDefault="00000000">
      <w:pPr>
        <w:rPr>
          <w:rFonts w:ascii="Times New Roman" w:hAnsi="Times New Roman" w:cs="Times New Roman"/>
        </w:rPr>
      </w:pPr>
      <w:r w:rsidRPr="00555117">
        <w:rPr>
          <w:rFonts w:ascii="Times New Roman" w:hAnsi="Times New Roman" w:cs="Times New Roman"/>
        </w:rPr>
        <w:t>Recent work combined policy-oriented learning with insights from the information processing literature to develop a model of policy learning through information processing (Nowlin, 2021). The model focuses on cognitive processes associated with learning and uses a Bayesian framework to illustrate belief change and updating. A Bayesian approach to policy was first applied by scholars of policy diffusion, where learning was seen as an important mechanism for the movement of policy ideas across governments (Braun &amp; Gilardi, 2006; Meseguer, 2004). In brief, a Bayesian framework involves a prior belief, information that is attended to and processed through a likelihood function, and a posterior belief that is a function of the prior beliefs and the information. Information signals that receive no or little attention are not processed further.</w:t>
      </w:r>
    </w:p>
    <w:p w14:paraId="3E2003BC"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In more formal terms and using notation from Druckman &amp; McGrath (2019), the model includes a prior belief that is understood as a probability distribution about the true state of the world expressed as </w:t>
      </w:r>
      <m:oMath>
        <m:r>
          <w:rPr>
            <w:rFonts w:ascii="Cambria Math" w:hAnsi="Cambria Math" w:cs="Times New Roman"/>
          </w:rPr>
          <m:t>π</m:t>
        </m:r>
      </m:oMath>
      <w:r w:rsidRPr="00555117">
        <w:rPr>
          <w:rFonts w:ascii="Times New Roman" w:hAnsi="Times New Roman" w:cs="Times New Roman"/>
        </w:rPr>
        <w:t>(</w:t>
      </w:r>
      <m:oMath>
        <m:r>
          <w:rPr>
            <w:rFonts w:ascii="Cambria Math" w:hAnsi="Cambria Math" w:cs="Times New Roman"/>
          </w:rPr>
          <m:t>μ</m:t>
        </m:r>
      </m:oMath>
      <w:r w:rsidRPr="00555117">
        <w:rPr>
          <w:rFonts w:ascii="Times New Roman" w:hAnsi="Times New Roman" w:cs="Times New Roman"/>
        </w:rPr>
        <w:t xml:space="preserve">) ~ </w:t>
      </w:r>
      <w:r w:rsidRPr="00555117">
        <w:rPr>
          <w:rFonts w:ascii="Times New Roman" w:hAnsi="Times New Roman" w:cs="Times New Roman"/>
          <w:i/>
          <w:iCs/>
        </w:rPr>
        <w:t>N</w:t>
      </w:r>
      <w:r w:rsidRPr="00555117">
        <w:rPr>
          <w:rFonts w:ascii="Times New Roman" w:hAnsi="Times New Roman" w:cs="Times New Roman"/>
        </w:rPr>
        <w:t>(</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μ</m:t>
                </m:r>
              </m:e>
            </m:acc>
          </m:e>
          <m:sub>
            <m:r>
              <w:rPr>
                <w:rFonts w:ascii="Cambria Math" w:hAnsi="Cambria Math" w:cs="Times New Roman"/>
              </w:rPr>
              <m:t>0</m:t>
            </m:r>
          </m:sub>
        </m:sSub>
      </m:oMath>
      <w:r w:rsidRPr="00555117">
        <w:rPr>
          <w:rFonts w:ascii="Times New Roman" w:hAnsi="Times New Roman" w:cs="Times New Roman"/>
        </w:rPr>
        <w:t xml:space="preserve">, </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0</m:t>
            </m:r>
          </m:sub>
          <m:sup>
            <m:r>
              <w:rPr>
                <w:rFonts w:ascii="Cambria Math" w:hAnsi="Cambria Math" w:cs="Times New Roman"/>
              </w:rPr>
              <m:t>2</m:t>
            </m:r>
          </m:sup>
        </m:sSubSup>
      </m:oMath>
      <w:r w:rsidRPr="00555117">
        <w:rPr>
          <w:rFonts w:ascii="Times New Roman" w:hAnsi="Times New Roman" w:cs="Times New Roman"/>
        </w:rPr>
        <w:t xml:space="preserve">) where </w:t>
      </w:r>
      <m:oMath>
        <m:r>
          <w:rPr>
            <w:rFonts w:ascii="Cambria Math" w:hAnsi="Cambria Math" w:cs="Times New Roman"/>
          </w:rPr>
          <m:t>π</m:t>
        </m:r>
      </m:oMath>
      <w:r w:rsidRPr="00555117">
        <w:rPr>
          <w:rFonts w:ascii="Times New Roman" w:hAnsi="Times New Roman" w:cs="Times New Roman"/>
        </w:rPr>
        <w:t>(</w:t>
      </w:r>
      <m:oMath>
        <m:r>
          <w:rPr>
            <w:rFonts w:ascii="Cambria Math" w:hAnsi="Cambria Math" w:cs="Times New Roman"/>
          </w:rPr>
          <m:t>μ</m:t>
        </m:r>
      </m:oMath>
      <w:r w:rsidRPr="00555117">
        <w:rPr>
          <w:rFonts w:ascii="Times New Roman" w:hAnsi="Times New Roman" w:cs="Times New Roman"/>
        </w:rPr>
        <w:t xml:space="preserve">) is the true state of the world,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μ</m:t>
                </m:r>
              </m:e>
            </m:acc>
          </m:e>
          <m:sub>
            <m:r>
              <w:rPr>
                <w:rFonts w:ascii="Cambria Math" w:hAnsi="Cambria Math" w:cs="Times New Roman"/>
              </w:rPr>
              <m:t>0</m:t>
            </m:r>
          </m:sub>
        </m:sSub>
      </m:oMath>
      <w:r w:rsidRPr="00555117">
        <w:rPr>
          <w:rFonts w:ascii="Times New Roman" w:hAnsi="Times New Roman" w:cs="Times New Roman"/>
        </w:rPr>
        <w:t xml:space="preserve"> is an individual’s belief about the state of the world, 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0</m:t>
            </m:r>
          </m:sub>
        </m:sSub>
      </m:oMath>
      <w:r w:rsidRPr="00555117">
        <w:rPr>
          <w:rFonts w:ascii="Times New Roman" w:hAnsi="Times New Roman" w:cs="Times New Roman"/>
        </w:rPr>
        <w:t xml:space="preserve"> is their uncertainty about their beliefs. Next, the individual encounters some information, </w:t>
      </w:r>
      <w:r w:rsidRPr="00555117">
        <w:rPr>
          <w:rFonts w:ascii="Times New Roman" w:hAnsi="Times New Roman" w:cs="Times New Roman"/>
          <w:i/>
          <w:iCs/>
        </w:rPr>
        <w:t>x</w:t>
      </w:r>
      <w:r w:rsidRPr="00555117">
        <w:rPr>
          <w:rFonts w:ascii="Times New Roman" w:hAnsi="Times New Roman" w:cs="Times New Roman"/>
        </w:rPr>
        <w:t xml:space="preserve">, expressed as </w:t>
      </w:r>
      <w:r w:rsidRPr="00555117">
        <w:rPr>
          <w:rFonts w:ascii="Times New Roman" w:hAnsi="Times New Roman" w:cs="Times New Roman"/>
          <w:i/>
          <w:iCs/>
        </w:rPr>
        <w:t>N</w:t>
      </w:r>
      <w:r w:rsidRPr="00555117">
        <w:rPr>
          <w:rFonts w:ascii="Times New Roman" w:hAnsi="Times New Roman" w:cs="Times New Roman"/>
        </w:rPr>
        <w:t>(</w:t>
      </w:r>
      <m:oMath>
        <m:r>
          <w:rPr>
            <w:rFonts w:ascii="Cambria Math" w:hAnsi="Cambria Math" w:cs="Times New Roman"/>
          </w:rPr>
          <m:t>μ</m:t>
        </m:r>
      </m:oMath>
      <w:r w:rsidRPr="00555117">
        <w:rPr>
          <w:rFonts w:ascii="Times New Roman" w:hAnsi="Times New Roman" w:cs="Times New Roman"/>
        </w:rPr>
        <w:t xml:space="preserve">, </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x</m:t>
            </m:r>
          </m:sub>
          <m:sup>
            <m:r>
              <w:rPr>
                <w:rFonts w:ascii="Cambria Math" w:hAnsi="Cambria Math" w:cs="Times New Roman"/>
              </w:rPr>
              <m:t>2</m:t>
            </m:r>
          </m:sup>
        </m:sSubSup>
      </m:oMath>
      <w:r w:rsidRPr="00555117">
        <w:rPr>
          <w:rFonts w:ascii="Times New Roman" w:hAnsi="Times New Roman" w:cs="Times New Roman"/>
        </w:rPr>
        <w:t xml:space="preserve">), where </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x</m:t>
            </m:r>
          </m:sub>
          <m:sup>
            <m:r>
              <w:rPr>
                <w:rFonts w:ascii="Cambria Math" w:hAnsi="Cambria Math" w:cs="Times New Roman"/>
              </w:rPr>
              <m:t>2</m:t>
            </m:r>
          </m:sup>
        </m:sSubSup>
      </m:oMath>
      <w:r w:rsidRPr="00555117">
        <w:rPr>
          <w:rFonts w:ascii="Times New Roman" w:hAnsi="Times New Roman" w:cs="Times New Roman"/>
        </w:rPr>
        <w:t xml:space="preserve"> represents the individual’s likelihood function or how she processes and weights the information. Finally, the individual updates her beliefs in light of the information </w:t>
      </w:r>
      <m:oMath>
        <m:r>
          <w:rPr>
            <w:rFonts w:ascii="Cambria Math" w:hAnsi="Cambria Math" w:cs="Times New Roman"/>
          </w:rPr>
          <m:t>π</m:t>
        </m:r>
      </m:oMath>
      <w:r w:rsidRPr="00555117">
        <w:rPr>
          <w:rFonts w:ascii="Times New Roman" w:hAnsi="Times New Roman" w:cs="Times New Roman"/>
        </w:rPr>
        <w:t>(</w:t>
      </w:r>
      <m:oMath>
        <m:r>
          <w:rPr>
            <w:rFonts w:ascii="Cambria Math" w:hAnsi="Cambria Math" w:cs="Times New Roman"/>
          </w:rPr>
          <m:t>μ</m:t>
        </m:r>
      </m:oMath>
      <w:r w:rsidRPr="00555117">
        <w:rPr>
          <w:rFonts w:ascii="Times New Roman" w:hAnsi="Times New Roman" w:cs="Times New Roman"/>
        </w:rPr>
        <w:t>|x).</w:t>
      </w:r>
    </w:p>
    <w:p w14:paraId="3E2003BD" w14:textId="77777777" w:rsidR="007E38AB" w:rsidRPr="00555117" w:rsidRDefault="00000000">
      <w:pPr>
        <w:rPr>
          <w:rFonts w:ascii="Times New Roman" w:hAnsi="Times New Roman" w:cs="Times New Roman"/>
        </w:rPr>
      </w:pPr>
      <w:r w:rsidRPr="00555117">
        <w:rPr>
          <w:rFonts w:ascii="Times New Roman" w:hAnsi="Times New Roman" w:cs="Times New Roman"/>
        </w:rPr>
        <w:t>The steps of the learning through information processing model include:</w:t>
      </w:r>
    </w:p>
    <w:p w14:paraId="3E2003BE" w14:textId="77777777" w:rsidR="007E38AB" w:rsidRPr="00555117" w:rsidRDefault="00000000">
      <w:pPr>
        <w:numPr>
          <w:ilvl w:val="0"/>
          <w:numId w:val="5"/>
        </w:numPr>
        <w:rPr>
          <w:rFonts w:ascii="Times New Roman" w:hAnsi="Times New Roman" w:cs="Times New Roman"/>
        </w:rPr>
      </w:pPr>
      <w:r w:rsidRPr="00555117">
        <w:rPr>
          <w:rFonts w:ascii="Times New Roman" w:hAnsi="Times New Roman" w:cs="Times New Roman"/>
          <w:b/>
          <w:bCs/>
        </w:rPr>
        <w:t>Prior belief</w:t>
      </w:r>
      <w:r w:rsidRPr="00555117">
        <w:rPr>
          <w:rFonts w:ascii="Times New Roman" w:hAnsi="Times New Roman" w:cs="Times New Roman"/>
        </w:rPr>
        <w:t xml:space="preserve">: </w:t>
      </w:r>
      <m:oMath>
        <m:r>
          <w:rPr>
            <w:rFonts w:ascii="Cambria Math" w:hAnsi="Cambria Math" w:cs="Times New Roman"/>
          </w:rPr>
          <m:t>π</m:t>
        </m:r>
      </m:oMath>
      <w:r w:rsidRPr="00555117">
        <w:rPr>
          <w:rFonts w:ascii="Times New Roman" w:hAnsi="Times New Roman" w:cs="Times New Roman"/>
        </w:rPr>
        <w:t>(</w:t>
      </w:r>
      <m:oMath>
        <m:r>
          <w:rPr>
            <w:rFonts w:ascii="Cambria Math" w:hAnsi="Cambria Math" w:cs="Times New Roman"/>
          </w:rPr>
          <m:t>μ</m:t>
        </m:r>
      </m:oMath>
      <w:r w:rsidRPr="00555117">
        <w:rPr>
          <w:rFonts w:ascii="Times New Roman" w:hAnsi="Times New Roman" w:cs="Times New Roman"/>
        </w:rPr>
        <w:t xml:space="preserve">) ~ </w:t>
      </w:r>
      <w:r w:rsidRPr="00555117">
        <w:rPr>
          <w:rFonts w:ascii="Times New Roman" w:hAnsi="Times New Roman" w:cs="Times New Roman"/>
          <w:i/>
          <w:iCs/>
        </w:rPr>
        <w:t>N</w:t>
      </w:r>
      <w:r w:rsidRPr="00555117">
        <w:rPr>
          <w:rFonts w:ascii="Times New Roman" w:hAnsi="Times New Roman" w:cs="Times New Roman"/>
        </w:rPr>
        <w:t>(</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μ</m:t>
                </m:r>
              </m:e>
            </m:acc>
          </m:e>
          <m:sub>
            <m:r>
              <w:rPr>
                <w:rFonts w:ascii="Cambria Math" w:hAnsi="Cambria Math" w:cs="Times New Roman"/>
              </w:rPr>
              <m:t>0</m:t>
            </m:r>
          </m:sub>
        </m:sSub>
      </m:oMath>
      <w:r w:rsidRPr="00555117">
        <w:rPr>
          <w:rFonts w:ascii="Times New Roman" w:hAnsi="Times New Roman" w:cs="Times New Roman"/>
        </w:rPr>
        <w:t xml:space="preserve">, </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0</m:t>
            </m:r>
          </m:sub>
          <m:sup>
            <m:r>
              <w:rPr>
                <w:rFonts w:ascii="Cambria Math" w:hAnsi="Cambria Math" w:cs="Times New Roman"/>
              </w:rPr>
              <m:t>2</m:t>
            </m:r>
          </m:sup>
        </m:sSubSup>
      </m:oMath>
      <w:r w:rsidRPr="00555117">
        <w:rPr>
          <w:rFonts w:ascii="Times New Roman" w:hAnsi="Times New Roman" w:cs="Times New Roman"/>
        </w:rPr>
        <w:t>)</w:t>
      </w:r>
    </w:p>
    <w:p w14:paraId="3E2003BF" w14:textId="77777777" w:rsidR="007E38AB" w:rsidRPr="00555117" w:rsidRDefault="00000000">
      <w:pPr>
        <w:numPr>
          <w:ilvl w:val="0"/>
          <w:numId w:val="5"/>
        </w:numPr>
        <w:rPr>
          <w:rFonts w:ascii="Times New Roman" w:hAnsi="Times New Roman" w:cs="Times New Roman"/>
        </w:rPr>
      </w:pPr>
      <w:r w:rsidRPr="00555117">
        <w:rPr>
          <w:rFonts w:ascii="Times New Roman" w:hAnsi="Times New Roman" w:cs="Times New Roman"/>
          <w:b/>
          <w:bCs/>
        </w:rPr>
        <w:t>Processing of information, x (likelihood function)</w:t>
      </w:r>
      <w:r w:rsidRPr="00555117">
        <w:rPr>
          <w:rFonts w:ascii="Times New Roman" w:hAnsi="Times New Roman" w:cs="Times New Roman"/>
        </w:rPr>
        <w:t xml:space="preserve">: </w:t>
      </w:r>
      <w:r w:rsidRPr="00555117">
        <w:rPr>
          <w:rFonts w:ascii="Times New Roman" w:hAnsi="Times New Roman" w:cs="Times New Roman"/>
          <w:i/>
          <w:iCs/>
        </w:rPr>
        <w:t>N</w:t>
      </w:r>
      <w:r w:rsidRPr="00555117">
        <w:rPr>
          <w:rFonts w:ascii="Times New Roman" w:hAnsi="Times New Roman" w:cs="Times New Roman"/>
        </w:rPr>
        <w:t>(</w:t>
      </w:r>
      <m:oMath>
        <m:r>
          <w:rPr>
            <w:rFonts w:ascii="Cambria Math" w:hAnsi="Cambria Math" w:cs="Times New Roman"/>
          </w:rPr>
          <m:t>μ</m:t>
        </m:r>
      </m:oMath>
      <w:r w:rsidRPr="00555117">
        <w:rPr>
          <w:rFonts w:ascii="Times New Roman" w:hAnsi="Times New Roman" w:cs="Times New Roman"/>
        </w:rPr>
        <w:t xml:space="preserve">, </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x</m:t>
            </m:r>
          </m:sub>
          <m:sup>
            <m:r>
              <w:rPr>
                <w:rFonts w:ascii="Cambria Math" w:hAnsi="Cambria Math" w:cs="Times New Roman"/>
              </w:rPr>
              <m:t>2</m:t>
            </m:r>
          </m:sup>
        </m:sSubSup>
      </m:oMath>
      <w:r w:rsidRPr="00555117">
        <w:rPr>
          <w:rFonts w:ascii="Times New Roman" w:hAnsi="Times New Roman" w:cs="Times New Roman"/>
        </w:rPr>
        <w:t>)</w:t>
      </w:r>
    </w:p>
    <w:p w14:paraId="3E2003C0" w14:textId="77777777" w:rsidR="007E38AB" w:rsidRPr="00555117" w:rsidRDefault="00000000">
      <w:pPr>
        <w:numPr>
          <w:ilvl w:val="0"/>
          <w:numId w:val="5"/>
        </w:numPr>
        <w:rPr>
          <w:rFonts w:ascii="Times New Roman" w:hAnsi="Times New Roman" w:cs="Times New Roman"/>
        </w:rPr>
      </w:pPr>
      <w:r w:rsidRPr="00555117">
        <w:rPr>
          <w:rFonts w:ascii="Times New Roman" w:hAnsi="Times New Roman" w:cs="Times New Roman"/>
          <w:b/>
          <w:bCs/>
        </w:rPr>
        <w:t>Posterior belief</w:t>
      </w:r>
      <w:r w:rsidRPr="00555117">
        <w:rPr>
          <w:rFonts w:ascii="Times New Roman" w:hAnsi="Times New Roman" w:cs="Times New Roman"/>
        </w:rPr>
        <w:t xml:space="preserve">: </w:t>
      </w:r>
      <m:oMath>
        <m:r>
          <w:rPr>
            <w:rFonts w:ascii="Cambria Math" w:hAnsi="Cambria Math" w:cs="Times New Roman"/>
          </w:rPr>
          <m:t>π</m:t>
        </m:r>
      </m:oMath>
      <w:r w:rsidRPr="00555117">
        <w:rPr>
          <w:rFonts w:ascii="Times New Roman" w:hAnsi="Times New Roman" w:cs="Times New Roman"/>
        </w:rPr>
        <w:t>(</w:t>
      </w:r>
      <m:oMath>
        <m:r>
          <w:rPr>
            <w:rFonts w:ascii="Cambria Math" w:hAnsi="Cambria Math" w:cs="Times New Roman"/>
          </w:rPr>
          <m:t>μ</m:t>
        </m:r>
      </m:oMath>
      <w:r w:rsidRPr="00555117">
        <w:rPr>
          <w:rFonts w:ascii="Times New Roman" w:hAnsi="Times New Roman" w:cs="Times New Roman"/>
        </w:rPr>
        <w:t>|x)</w:t>
      </w:r>
    </w:p>
    <w:p w14:paraId="3E2003C1"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Under this model, learning only occurs when beliefs or belief certainty change </w:t>
      </w:r>
      <w:r w:rsidRPr="00555117">
        <w:rPr>
          <w:rFonts w:ascii="Times New Roman" w:hAnsi="Times New Roman" w:cs="Times New Roman"/>
          <w:i/>
          <w:iCs/>
        </w:rPr>
        <w:t>in the direction of the information</w:t>
      </w:r>
      <w:r w:rsidRPr="00555117">
        <w:rPr>
          <w:rFonts w:ascii="Times New Roman" w:hAnsi="Times New Roman" w:cs="Times New Roman"/>
        </w:rPr>
        <w:t xml:space="preserve"> (Nowlin, 2021, 2024). In other words, learning occurs only when the updated beliefs are congruent with the processed information. The model focuses on the process of learning and does not consider the validity of beliefs or the information, or how receivers process that information. As noted by Coppock (2023), “people are free to have bonkers prior beliefs and loopy likelihood functions” (123). Additionally, if individuals were perfectly rational and motivated solely for accuracy, then the posterior beliefs would be updated in direct proportion to the information. In other words, a “strong” information signal – one that is valid, credible, reliable, and reflects the true state of the world – would lead to shifts in beliefs that reflect the strength of the signal. This type of proportion updating of beliefs has been termed rational learning (Braun &amp; Gilardi, 2006; Meseguer, 2005). However, individuals are not perfectly rational and, therefore, learning may be “bounded” as individuals weight information, as noted by </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x</m:t>
            </m:r>
          </m:sub>
          <m:sup>
            <m:r>
              <w:rPr>
                <w:rFonts w:ascii="Cambria Math" w:hAnsi="Cambria Math" w:cs="Times New Roman"/>
              </w:rPr>
              <m:t>2</m:t>
            </m:r>
          </m:sup>
        </m:sSubSup>
      </m:oMath>
      <w:r w:rsidRPr="00555117">
        <w:rPr>
          <w:rFonts w:ascii="Times New Roman" w:hAnsi="Times New Roman" w:cs="Times New Roman"/>
        </w:rPr>
        <w:t xml:space="preserve">, based on the strength of their prior beliefs (Braun &amp; Gilardi, 2006; Meseguer, 2005; Nowlin, 2021). As a </w:t>
      </w:r>
      <w:r w:rsidRPr="00555117">
        <w:rPr>
          <w:rFonts w:ascii="Times New Roman" w:hAnsi="Times New Roman" w:cs="Times New Roman"/>
        </w:rPr>
        <w:lastRenderedPageBreak/>
        <w:t>result, information and information processing may or may not lead to learning. Next, we discuss several possible learning outcomes that result from the learning process described above.</w:t>
      </w:r>
    </w:p>
    <w:p w14:paraId="3E2003C2" w14:textId="77777777" w:rsidR="007E38AB" w:rsidRPr="00555117" w:rsidRDefault="00000000">
      <w:pPr>
        <w:rPr>
          <w:rFonts w:ascii="Times New Roman" w:hAnsi="Times New Roman" w:cs="Times New Roman"/>
        </w:rPr>
      </w:pPr>
      <w:bookmarkStart w:id="19" w:name="learning-outcomes-related-to-beliefs"/>
      <w:r w:rsidRPr="00555117">
        <w:rPr>
          <w:rFonts w:ascii="Times New Roman" w:hAnsi="Times New Roman" w:cs="Times New Roman"/>
        </w:rPr>
        <w:t>3.3.1 Learning Outcomes Related to Beliefs</w:t>
      </w:r>
    </w:p>
    <w:p w14:paraId="3E2003C3"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The process of learning through information processing leads to several possible outcomes, or products, based on the motivation and biases of the individual or group. As noted, beliefs are probability distributions with a central tendency (the belief),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μ</m:t>
                </m:r>
              </m:e>
            </m:acc>
          </m:e>
          <m:sub>
            <m:r>
              <w:rPr>
                <w:rFonts w:ascii="Cambria Math" w:hAnsi="Cambria Math" w:cs="Times New Roman"/>
              </w:rPr>
              <m:t>0</m:t>
            </m:r>
          </m:sub>
        </m:sSub>
      </m:oMath>
      <w:r w:rsidRPr="00555117">
        <w:rPr>
          <w:rFonts w:ascii="Times New Roman" w:hAnsi="Times New Roman" w:cs="Times New Roman"/>
        </w:rPr>
        <w:t xml:space="preserve">, and uncertainty, </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0</m:t>
            </m:r>
          </m:sub>
          <m:sup>
            <m:r>
              <w:rPr>
                <w:rFonts w:ascii="Cambria Math" w:hAnsi="Cambria Math" w:cs="Times New Roman"/>
              </w:rPr>
              <m:t>2</m:t>
            </m:r>
          </m:sup>
        </m:sSubSup>
      </m:oMath>
      <w:r w:rsidRPr="00555117">
        <w:rPr>
          <w:rFonts w:ascii="Times New Roman" w:hAnsi="Times New Roman" w:cs="Times New Roman"/>
        </w:rPr>
        <w:t>, about the belief. Changes in either belief or certainty are possible outcomes; however, the changes must reflect the information to be considered learning.</w:t>
      </w:r>
      <w:r w:rsidRPr="00555117">
        <w:rPr>
          <w:rFonts w:ascii="Times New Roman" w:hAnsi="Times New Roman" w:cs="Times New Roman"/>
        </w:rPr>
        <w:footnoteReference w:id="1"/>
      </w:r>
    </w:p>
    <w:p w14:paraId="3E2003C4" w14:textId="77777777" w:rsidR="007E38AB" w:rsidRPr="00555117" w:rsidRDefault="00000000">
      <w:pPr>
        <w:rPr>
          <w:rFonts w:ascii="Times New Roman" w:hAnsi="Times New Roman" w:cs="Times New Roman"/>
        </w:rPr>
      </w:pPr>
      <w:r w:rsidRPr="00555117">
        <w:rPr>
          <w:rFonts w:ascii="Times New Roman" w:hAnsi="Times New Roman" w:cs="Times New Roman"/>
        </w:rPr>
        <w:t>Possible learning outcomes associated with beliefs include:</w:t>
      </w:r>
    </w:p>
    <w:p w14:paraId="3E2003C5" w14:textId="77777777" w:rsidR="007E38AB" w:rsidRPr="00555117" w:rsidRDefault="00000000">
      <w:pPr>
        <w:numPr>
          <w:ilvl w:val="0"/>
          <w:numId w:val="6"/>
        </w:numPr>
        <w:rPr>
          <w:rFonts w:ascii="Times New Roman" w:hAnsi="Times New Roman" w:cs="Times New Roman"/>
        </w:rPr>
      </w:pPr>
      <w:r w:rsidRPr="00555117">
        <w:rPr>
          <w:rFonts w:ascii="Times New Roman" w:hAnsi="Times New Roman" w:cs="Times New Roman"/>
        </w:rPr>
        <w:t>No learning: No change in beliefs or level of certainty</w:t>
      </w:r>
    </w:p>
    <w:p w14:paraId="3E2003C6" w14:textId="77777777" w:rsidR="007E38AB" w:rsidRPr="00555117" w:rsidRDefault="00000000">
      <w:pPr>
        <w:numPr>
          <w:ilvl w:val="0"/>
          <w:numId w:val="6"/>
        </w:numPr>
        <w:rPr>
          <w:rFonts w:ascii="Times New Roman" w:hAnsi="Times New Roman" w:cs="Times New Roman"/>
        </w:rPr>
      </w:pPr>
      <w:r w:rsidRPr="00555117">
        <w:rPr>
          <w:rFonts w:ascii="Times New Roman" w:hAnsi="Times New Roman" w:cs="Times New Roman"/>
        </w:rPr>
        <w:t>Belief decay: A decrease in certainty</w:t>
      </w:r>
    </w:p>
    <w:p w14:paraId="3E2003C7" w14:textId="77777777" w:rsidR="007E38AB" w:rsidRPr="00555117" w:rsidRDefault="00000000">
      <w:pPr>
        <w:numPr>
          <w:ilvl w:val="0"/>
          <w:numId w:val="6"/>
        </w:numPr>
        <w:rPr>
          <w:rFonts w:ascii="Times New Roman" w:hAnsi="Times New Roman" w:cs="Times New Roman"/>
        </w:rPr>
      </w:pPr>
      <w:r w:rsidRPr="00555117">
        <w:rPr>
          <w:rFonts w:ascii="Times New Roman" w:hAnsi="Times New Roman" w:cs="Times New Roman"/>
        </w:rPr>
        <w:t>Belief reinforcement: An increase in certainty</w:t>
      </w:r>
    </w:p>
    <w:p w14:paraId="3E2003C8" w14:textId="77777777" w:rsidR="007E38AB" w:rsidRPr="00555117" w:rsidRDefault="00000000">
      <w:pPr>
        <w:numPr>
          <w:ilvl w:val="0"/>
          <w:numId w:val="6"/>
        </w:numPr>
        <w:rPr>
          <w:rFonts w:ascii="Times New Roman" w:hAnsi="Times New Roman" w:cs="Times New Roman"/>
        </w:rPr>
      </w:pPr>
      <w:r w:rsidRPr="00555117">
        <w:rPr>
          <w:rFonts w:ascii="Times New Roman" w:hAnsi="Times New Roman" w:cs="Times New Roman"/>
        </w:rPr>
        <w:t>Belief change: A change in the central tendency of the belief distribution</w:t>
      </w:r>
    </w:p>
    <w:p w14:paraId="3E2003C9" w14:textId="77777777" w:rsidR="007E38AB" w:rsidRPr="00555117" w:rsidRDefault="00000000">
      <w:pPr>
        <w:rPr>
          <w:rFonts w:ascii="Times New Roman" w:hAnsi="Times New Roman" w:cs="Times New Roman"/>
        </w:rPr>
      </w:pPr>
      <w:r w:rsidRPr="00555117">
        <w:rPr>
          <w:rFonts w:ascii="Times New Roman" w:hAnsi="Times New Roman" w:cs="Times New Roman"/>
        </w:rPr>
        <w:t>Additionally, belief changes may be coupled with decay and/or reinforcement, as both beliefs and certainty change in response to information. For example, Nowlin (2024) finds that following a deliberative mini-public on several environmental issues, participants’ beliefs changed in various ways across topics. Participants experienced several possible outcomes, including no learning (no changes in beliefs or certainty), belief changes (a significant shift in the mean), and belief reinforcement (a reduction in uncertainty). Additionally, in some cases, participants experienced both belief change and reinforcement, as beliefs changed in conjunction with a decrease in uncertainty.</w:t>
      </w:r>
    </w:p>
    <w:p w14:paraId="3E2003CA" w14:textId="77777777" w:rsidR="007E38AB" w:rsidRPr="00555117" w:rsidRDefault="00000000">
      <w:pPr>
        <w:rPr>
          <w:rFonts w:ascii="Times New Roman" w:hAnsi="Times New Roman" w:cs="Times New Roman"/>
        </w:rPr>
      </w:pPr>
      <w:r w:rsidRPr="00555117">
        <w:rPr>
          <w:rFonts w:ascii="Times New Roman" w:hAnsi="Times New Roman" w:cs="Times New Roman"/>
        </w:rPr>
        <w:t>As noted, if individuals were fully rational and motivated by accuracy, they would update their beliefs in proportion to the information. However, it is well known that individuals are not comprehensively rational and are often motivated to reach specific conclusions rather than accuracy, which makes belief change in response to information much less likely (B. D. Jones, 2017; Kunda, 1990). In addition, several possible biases reduce the likelihood that individuals or groups learn from information, including in-group/out-group, confirmation bias, desirability bias, availability bias, negativity bias (loss aversion), anchoring bias, and status quo bias (Heikkila et al., 2024).</w:t>
      </w:r>
    </w:p>
    <w:p w14:paraId="3E2003CB"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With the policy learning through information processing model, motivated reasoning and biased information processing are captured by the interaction between prior beliefs and the likelihood function. The likelihood function determines how the information is processed and weighted, yet in most cases, information signals are processed and weighted disproportionately, with some signals ignored and others weighted strongly. In a Bayesian framework, the posterior belief is proportional to the prior belief multiplied by the likelihood function, meaning that a strong prior and/or a strong weighting of information signals will determine the degree to which beliefs change. This process likely underlies many </w:t>
      </w:r>
      <w:r w:rsidRPr="00555117">
        <w:rPr>
          <w:rFonts w:ascii="Times New Roman" w:hAnsi="Times New Roman" w:cs="Times New Roman"/>
        </w:rPr>
        <w:lastRenderedPageBreak/>
        <w:t>common biases. For example, confirmation bias can be understood as the over-weighting of information that confirms prior beliefs and the under-weighting of information that challenges prior beliefs.</w:t>
      </w:r>
    </w:p>
    <w:p w14:paraId="3E2003CC" w14:textId="77777777" w:rsidR="007E38AB" w:rsidRPr="00555117" w:rsidRDefault="00000000">
      <w:pPr>
        <w:rPr>
          <w:rFonts w:ascii="Times New Roman" w:hAnsi="Times New Roman" w:cs="Times New Roman"/>
        </w:rPr>
      </w:pPr>
      <w:r w:rsidRPr="00555117">
        <w:rPr>
          <w:rFonts w:ascii="Times New Roman" w:hAnsi="Times New Roman" w:cs="Times New Roman"/>
        </w:rPr>
        <w:t>Additionally, the interaction between prior beliefs and the likelihood function varies by belief type. Deep core beliefs would provide strong prior beliefs and act as a filter to weight information. While not impossible, changing deep core beliefs would require an exceptionally strong information signal appropriately weighted. Policy core beliefs are also difficult to change and would require a strong information signal. However, policy core beliefs may erode as different dimensions of an issue shift and become more (less) salient in response to information. Learning at the level of policy core beliefs can occur when an issue is redefined. Finally, secondary beliefs and subsequent policy preferences are the beliefs most likely to change, as the prior beliefs associated with secondary aspects or policy preferences are the least strongly held.</w:t>
      </w:r>
    </w:p>
    <w:p w14:paraId="3E2003CD" w14:textId="77777777" w:rsidR="007E38AB" w:rsidRPr="00555117" w:rsidRDefault="00000000">
      <w:pPr>
        <w:rPr>
          <w:rFonts w:ascii="Times New Roman" w:hAnsi="Times New Roman" w:cs="Times New Roman"/>
        </w:rPr>
      </w:pPr>
      <w:bookmarkStart w:id="20" w:name="conclusion-1"/>
      <w:bookmarkEnd w:id="18"/>
      <w:bookmarkEnd w:id="19"/>
      <w:r w:rsidRPr="00555117">
        <w:rPr>
          <w:rFonts w:ascii="Times New Roman" w:hAnsi="Times New Roman" w:cs="Times New Roman"/>
        </w:rPr>
        <w:t>3.4 Conclusion</w:t>
      </w:r>
    </w:p>
    <w:p w14:paraId="3E2003CE" w14:textId="77777777" w:rsidR="007E38AB" w:rsidRPr="00555117" w:rsidRDefault="00000000">
      <w:pPr>
        <w:rPr>
          <w:rFonts w:ascii="Times New Roman" w:hAnsi="Times New Roman" w:cs="Times New Roman"/>
        </w:rPr>
      </w:pPr>
      <w:r w:rsidRPr="00555117">
        <w:rPr>
          <w:rFonts w:ascii="Times New Roman" w:hAnsi="Times New Roman" w:cs="Times New Roman"/>
        </w:rPr>
        <w:t>In this chapter, we outlined a model of policy learning based on the interaction of beliefs, including deep core, policy core, and secondary, and information. The model is based in a Bayesian framework with prior beliefs that have a distribution with a central tendency and variance, a likelihood function where information signals are weighted, and posterior beliefs, which are also a distribution and include a central tendency and variance. The central tendency, the variance, or both may shift as a result of information processing. Therefore, the model produces several possible outcomes, including no learning, belief decay, belief reinforcement, and belief change.</w:t>
      </w:r>
    </w:p>
    <w:p w14:paraId="3E2003CF" w14:textId="02412C03" w:rsidR="007E38AB" w:rsidRPr="00555117" w:rsidRDefault="00000000">
      <w:pPr>
        <w:rPr>
          <w:rFonts w:ascii="Times New Roman" w:hAnsi="Times New Roman" w:cs="Times New Roman"/>
        </w:rPr>
      </w:pPr>
      <w:r w:rsidRPr="00555117">
        <w:rPr>
          <w:rFonts w:ascii="Times New Roman" w:hAnsi="Times New Roman" w:cs="Times New Roman"/>
        </w:rPr>
        <w:t xml:space="preserve">This model of learning is intended to be generalizable enough to capture many of the elements of learning discussed in Chapter 2. For example, the model can be applied to multiple conceptual approaches and theoretical descriptors of learning shown in </w:t>
      </w:r>
      <w:hyperlink w:anchor="tbl-learn-concept">
        <w:r w:rsidRPr="00555117">
          <w:rPr>
            <w:rFonts w:ascii="Times New Roman" w:hAnsi="Times New Roman" w:cs="Times New Roman"/>
          </w:rPr>
          <w:t>Table 2.1</w:t>
        </w:r>
      </w:hyperlink>
      <w:r w:rsidRPr="00555117">
        <w:rPr>
          <w:rFonts w:ascii="Times New Roman" w:hAnsi="Times New Roman" w:cs="Times New Roman"/>
        </w:rPr>
        <w:t xml:space="preserve">. The model focuses on the process and mechanisms of learning as well as learning outcomes. While it is grounded in micro-foundations, its insights can be scaled to the meso and macro level (see </w:t>
      </w:r>
      <w:hyperlink w:anchor="tbl-learn-levels">
        <w:r w:rsidRPr="00555117">
          <w:rPr>
            <w:rFonts w:ascii="Times New Roman" w:hAnsi="Times New Roman" w:cs="Times New Roman"/>
          </w:rPr>
          <w:t>Table 2.2</w:t>
        </w:r>
      </w:hyperlink>
      <w:r w:rsidRPr="00555117">
        <w:rPr>
          <w:rFonts w:ascii="Times New Roman" w:hAnsi="Times New Roman" w:cs="Times New Roman"/>
        </w:rPr>
        <w:t xml:space="preserve">), as we assume a similar learning process for individuals and collectives. Finally, the model can account for various types, modes, mechanisms, forms, and degrees of learning shown in </w:t>
      </w:r>
      <w:hyperlink w:anchor="tbl-learn-descript">
        <w:r w:rsidRPr="00555117">
          <w:rPr>
            <w:rFonts w:ascii="Times New Roman" w:hAnsi="Times New Roman" w:cs="Times New Roman"/>
          </w:rPr>
          <w:t>Table 2.3</w:t>
        </w:r>
      </w:hyperlink>
      <w:r w:rsidRPr="00555117">
        <w:rPr>
          <w:rFonts w:ascii="Times New Roman" w:hAnsi="Times New Roman" w:cs="Times New Roman"/>
        </w:rPr>
        <w:t>. In the next chapter, we examine the model empirically using US public opinion data about nuclear energy before and after the Fukushima nuclear accident.</w:t>
      </w:r>
    </w:p>
    <w:p w14:paraId="5866C8F5" w14:textId="77777777" w:rsidR="00EB29F3" w:rsidRDefault="00EB29F3">
      <w:pPr>
        <w:rPr>
          <w:rFonts w:ascii="Times New Roman" w:eastAsiaTheme="majorEastAsia" w:hAnsi="Times New Roman" w:cs="Times New Roman"/>
          <w:color w:val="2F5496" w:themeColor="accent1" w:themeShade="BF"/>
          <w:kern w:val="0"/>
          <w:sz w:val="32"/>
          <w:szCs w:val="32"/>
          <w:lang w:val="en-US"/>
          <w14:ligatures w14:val="none"/>
        </w:rPr>
      </w:pPr>
      <w:bookmarkStart w:id="21" w:name="X72d65a51334d5ba37184c94eb3a1f88a5d4c84f"/>
      <w:bookmarkStart w:id="22" w:name="_Toc223685853"/>
      <w:bookmarkEnd w:id="13"/>
      <w:bookmarkEnd w:id="20"/>
      <w:r>
        <w:rPr>
          <w:rFonts w:ascii="Times New Roman" w:hAnsi="Times New Roman" w:cs="Times New Roman"/>
        </w:rPr>
        <w:br w:type="page"/>
      </w:r>
    </w:p>
    <w:p w14:paraId="3E2003D0" w14:textId="6911513F" w:rsidR="007E38AB" w:rsidRPr="00555117" w:rsidRDefault="00000000">
      <w:pPr>
        <w:pStyle w:val="Heading1"/>
        <w:rPr>
          <w:rFonts w:ascii="Times New Roman" w:hAnsi="Times New Roman" w:cs="Times New Roman"/>
        </w:rPr>
      </w:pPr>
      <w:r w:rsidRPr="00555117">
        <w:rPr>
          <w:rFonts w:ascii="Times New Roman" w:hAnsi="Times New Roman" w:cs="Times New Roman"/>
        </w:rPr>
        <w:lastRenderedPageBreak/>
        <w:t>4. The Policy Learning through Information Processing Model: An Application</w:t>
      </w:r>
      <w:bookmarkEnd w:id="22"/>
    </w:p>
    <w:p w14:paraId="3E2003D1" w14:textId="77777777" w:rsidR="007E38AB" w:rsidRPr="00555117" w:rsidRDefault="00000000">
      <w:pPr>
        <w:rPr>
          <w:rFonts w:ascii="Times New Roman" w:hAnsi="Times New Roman" w:cs="Times New Roman"/>
        </w:rPr>
      </w:pPr>
      <w:bookmarkStart w:id="23" w:name="introduction-3"/>
      <w:r w:rsidRPr="00555117">
        <w:rPr>
          <w:rFonts w:ascii="Times New Roman" w:hAnsi="Times New Roman" w:cs="Times New Roman"/>
        </w:rPr>
        <w:t>4.1 Introduction</w:t>
      </w:r>
    </w:p>
    <w:p w14:paraId="3E2003D2" w14:textId="77777777" w:rsidR="007E38AB" w:rsidRPr="00555117" w:rsidRDefault="00000000">
      <w:pPr>
        <w:rPr>
          <w:rFonts w:ascii="Times New Roman" w:hAnsi="Times New Roman" w:cs="Times New Roman"/>
        </w:rPr>
      </w:pPr>
      <w:r w:rsidRPr="00555117">
        <w:rPr>
          <w:rFonts w:ascii="Times New Roman" w:hAnsi="Times New Roman" w:cs="Times New Roman"/>
        </w:rPr>
        <w:t>The learning through information processing model focuses on belief change following the processing of information. Drawing from the ACF, beliefs are thought to be of one of three types, including deep core, policy core, and secondary. Learning is understood as a change in beliefs. The model posits that belief change is a function of the strength of the prior belief and the strength of the information signal (Nowlin, 2021).</w:t>
      </w:r>
    </w:p>
    <w:p w14:paraId="3E2003D3" w14:textId="77777777" w:rsidR="007E38AB" w:rsidRPr="00555117" w:rsidRDefault="00000000">
      <w:pPr>
        <w:rPr>
          <w:rFonts w:ascii="Times New Roman" w:hAnsi="Times New Roman" w:cs="Times New Roman"/>
        </w:rPr>
      </w:pPr>
      <w:r w:rsidRPr="00555117">
        <w:rPr>
          <w:rFonts w:ascii="Times New Roman" w:hAnsi="Times New Roman" w:cs="Times New Roman"/>
        </w:rPr>
        <w:t>In this chapter, to illustrate the utility of our approach, we examine public opinion on nuclear energy before and after the Fukushima nuclear accident. The Fukushima accident in Japan, was a focusing event that served as a strong information signal about the risks of nuclear energy. In this case, we examine how policy core beliefs, specifically the issue definition of nuclear energy, and preferences for constructing new nuclear power plants changed as a result of Fukushima.</w:t>
      </w:r>
    </w:p>
    <w:p w14:paraId="3E2003D4" w14:textId="77777777" w:rsidR="007E38AB" w:rsidRPr="00555117" w:rsidRDefault="00000000">
      <w:pPr>
        <w:rPr>
          <w:rFonts w:ascii="Times New Roman" w:hAnsi="Times New Roman" w:cs="Times New Roman"/>
        </w:rPr>
      </w:pPr>
      <w:r w:rsidRPr="00555117">
        <w:rPr>
          <w:rFonts w:ascii="Times New Roman" w:hAnsi="Times New Roman" w:cs="Times New Roman"/>
        </w:rPr>
        <w:t>While much of the policy learning literature centers on learning among elite policy actors, we believe that using public opinion data can shed light on the nature of belief systems, information processing, and learning. Indeed, public opinion data has been used by policy process scholars to examine belief systems (e.g., Jenkins-Smith &amp; Herron, 2009; Ripberger et al., 2014) and policy learning (Nowlin, 2021, 2024, 2025; Offer-Westort et al., 2026).</w:t>
      </w:r>
    </w:p>
    <w:p w14:paraId="3E2003D5" w14:textId="77777777" w:rsidR="007E38AB" w:rsidRPr="00555117" w:rsidRDefault="00000000">
      <w:pPr>
        <w:rPr>
          <w:rFonts w:ascii="Times New Roman" w:hAnsi="Times New Roman" w:cs="Times New Roman"/>
        </w:rPr>
      </w:pPr>
      <w:r w:rsidRPr="00555117">
        <w:rPr>
          <w:rFonts w:ascii="Times New Roman" w:hAnsi="Times New Roman" w:cs="Times New Roman"/>
        </w:rPr>
        <w:t>One advantage of using public opinion is the larger number of potential respondents, compared to an elite sample, and the greater variation available to explore, compared to a small sample of elites. Additionally, research has shown that the belief systems of the public and elites have a similar structure (Herron &amp; Jenkins-Smith, 2002; Jenkins-Smith et al., 2004; Tumlison &amp; Song, 2019). Given the similar structure of belief systems, it is likely that the dynamics of policy learning associated with beliefs would be similar across elite and public samples. This makes public opinion data a usable test bed to empirically explain learning through information processing. However, to approximate elites as closely as possible, we use the portion of the public sample that has received an advanced degree beyond a bachelor’s degree (see Ripberger et al., 2014).</w:t>
      </w:r>
    </w:p>
    <w:p w14:paraId="3E2003D6" w14:textId="77777777" w:rsidR="007E38AB" w:rsidRPr="00555117" w:rsidRDefault="00000000">
      <w:pPr>
        <w:rPr>
          <w:rFonts w:ascii="Times New Roman" w:hAnsi="Times New Roman" w:cs="Times New Roman"/>
        </w:rPr>
      </w:pPr>
      <w:bookmarkStart w:id="24" w:name="the-us-public-and-nuclear-energy"/>
      <w:bookmarkEnd w:id="23"/>
      <w:r w:rsidRPr="00555117">
        <w:rPr>
          <w:rFonts w:ascii="Times New Roman" w:hAnsi="Times New Roman" w:cs="Times New Roman"/>
        </w:rPr>
        <w:t>4.2 The US Public and Nuclear Energy</w:t>
      </w:r>
    </w:p>
    <w:p w14:paraId="3E2003D7" w14:textId="77777777" w:rsidR="007E38AB" w:rsidRPr="00555117" w:rsidRDefault="00000000">
      <w:pPr>
        <w:rPr>
          <w:rFonts w:ascii="Times New Roman" w:hAnsi="Times New Roman" w:cs="Times New Roman"/>
        </w:rPr>
      </w:pPr>
      <w:r w:rsidRPr="00555117">
        <w:rPr>
          <w:rFonts w:ascii="Times New Roman" w:hAnsi="Times New Roman" w:cs="Times New Roman"/>
        </w:rPr>
        <w:t>In March 2011, a large tsunami hit the coast of Japan. The nuclear power plant in Fukushima was flooded, which led to a loss of power in the plant and a subsequent release of radioactive material. Like the two previous nuclear accidents, Three Mile Island and Chernobyl, the accident at the nuclear power plant at Fukushima provided a potentially strong information signal about the risks of nuclear energy, and public support for nuclear energy tends to fall in the wake of such accidents (Besley &amp; Oh, 2014; Gupta et al., 2019). Focusing events, such as accidents at nuclear power plants, can make it more likely that those issues reach the policymaking agenda (Birkland, 1998); however, focusing events and the information signals they send also create opportunities for policy learning.</w:t>
      </w:r>
    </w:p>
    <w:p w14:paraId="3E2003D8"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In the context of the information processing and learning model, the Fukushima accident is a strong information signal about nuclear energy, likely to attract the attention of policy actors, including the public. Yet, the signal is filtered through their belief systems, and, as laid out in the model of learning through information processing, learning occurs when beliefs are updated in the direction of the information. As noted, policy actors are assumed to have a three-tiered belief system that includes deep core beliefs, policy core beliefs, and secondary beliefs. Within the belief hierarchy, beliefs move from </w:t>
      </w:r>
      <w:r w:rsidRPr="00555117">
        <w:rPr>
          <w:rFonts w:ascii="Times New Roman" w:hAnsi="Times New Roman" w:cs="Times New Roman"/>
        </w:rPr>
        <w:lastRenderedPageBreak/>
        <w:t>abstract foundational beliefs – deep core beliefs – to beliefs specific to a policy issue or subsystem – policy core beliefs – to secondary beliefs, which are about specific means to achieve policy goals. Deep core beliefs inform and constrain policy core beliefs, and both deep core and policy core shape secondary beliefs. The model of learning through information processing focuses on the updating of beliefs resulting from the processing of policy-relevant information. While learning as belief updating could occur for any type of belief, as beliefs become increasingly applicable to multiple policy issues, they become less likely to change. It is rare that deep core beliefs, such as political ideology or cultural worldviews, change, whereas narrowly focused secondary beliefs are the most likely to change. Policy core beliefs are more likely to change than deep core beliefs, but less likely than secondary aspects. One way for learning to occur regarding policy core beliefs is through a shift in the issue definition that undergirds policy core beliefs.</w:t>
      </w:r>
    </w:p>
    <w:p w14:paraId="3E2003D9" w14:textId="3C6616F6" w:rsidR="007E38AB" w:rsidRPr="00555117" w:rsidRDefault="00000000">
      <w:pPr>
        <w:rPr>
          <w:rFonts w:ascii="Times New Roman" w:hAnsi="Times New Roman" w:cs="Times New Roman"/>
        </w:rPr>
      </w:pPr>
      <w:r w:rsidRPr="00555117">
        <w:rPr>
          <w:rFonts w:ascii="Times New Roman" w:hAnsi="Times New Roman" w:cs="Times New Roman"/>
        </w:rPr>
        <w:t xml:space="preserve">At the heart of policy core beliefs is the issue definition, or the various dimensions of the issue weighted by their salience. As dimensions are added or the salience of the dimensions change, learning regarding policy core beliefs becomes more likely. Following changes to the issue definition, policy core beliefs are likely to be updated. With the model of policy learning through information processing, learning occurs when the information signal is strong relative to the prior beliefs. Strongly held prior beliefs would only change with an extremely strong and heavily weighted information signal. In the case of nuclear energy, the Fukushima accident was a strong signal about the risks of nuclear energy and likely made the dimensions of risks associated with nuclear energy more salient, thus altering the issue definition and thereby altering the policy core beliefs. As shown in </w:t>
      </w:r>
      <w:hyperlink w:anchor="fig-defs">
        <w:r w:rsidRPr="00555117">
          <w:rPr>
            <w:rFonts w:ascii="Times New Roman" w:hAnsi="Times New Roman" w:cs="Times New Roman"/>
          </w:rPr>
          <w:t>Figure 3.1</w:t>
        </w:r>
      </w:hyperlink>
      <w:r w:rsidRPr="00555117">
        <w:rPr>
          <w:rFonts w:ascii="Times New Roman" w:hAnsi="Times New Roman" w:cs="Times New Roman"/>
        </w:rPr>
        <w:t xml:space="preserve">, policy preferences may change following the updating of policy core beliefs, and </w:t>
      </w:r>
      <w:hyperlink w:anchor="fig-model">
        <w:r w:rsidRPr="00555117">
          <w:rPr>
            <w:rFonts w:ascii="Times New Roman" w:hAnsi="Times New Roman" w:cs="Times New Roman"/>
          </w:rPr>
          <w:t>Figure 4.1</w:t>
        </w:r>
      </w:hyperlink>
      <w:r w:rsidRPr="00555117">
        <w:rPr>
          <w:rFonts w:ascii="Times New Roman" w:hAnsi="Times New Roman" w:cs="Times New Roman"/>
        </w:rPr>
        <w:t xml:space="preserve"> illustrates the process for nuclear energy.</w:t>
      </w:r>
    </w:p>
    <w:tbl>
      <w:tblPr>
        <w:tblW w:w="5000" w:type="pct"/>
        <w:tblLayout w:type="fixed"/>
        <w:tblLook w:val="0000" w:firstRow="0" w:lastRow="0" w:firstColumn="0" w:lastColumn="0" w:noHBand="0" w:noVBand="0"/>
      </w:tblPr>
      <w:tblGrid>
        <w:gridCol w:w="9360"/>
      </w:tblGrid>
      <w:tr w:rsidR="007E38AB" w:rsidRPr="00555117" w14:paraId="3E2003DC" w14:textId="77777777">
        <w:tc>
          <w:tcPr>
            <w:tcW w:w="7920" w:type="dxa"/>
          </w:tcPr>
          <w:p w14:paraId="3E2003DA" w14:textId="77777777" w:rsidR="007E38AB" w:rsidRPr="00555117" w:rsidRDefault="00000000">
            <w:pPr>
              <w:spacing w:before="200"/>
              <w:rPr>
                <w:rFonts w:ascii="Times New Roman" w:hAnsi="Times New Roman" w:cs="Times New Roman"/>
              </w:rPr>
            </w:pPr>
            <w:bookmarkStart w:id="25" w:name="fig-model"/>
            <w:r w:rsidRPr="00555117">
              <w:rPr>
                <w:rFonts w:ascii="Times New Roman" w:hAnsi="Times New Roman" w:cs="Times New Roman"/>
              </w:rPr>
              <w:t>Figure 4.1: Ideology, Nuclear Energy Beliefs, and Preferences for More Nuclear Plants</w:t>
            </w:r>
          </w:p>
          <w:p w14:paraId="3E2003DB" w14:textId="77777777" w:rsidR="007E38AB" w:rsidRPr="00555117" w:rsidRDefault="00000000">
            <w:pPr>
              <w:jc w:val="center"/>
              <w:rPr>
                <w:rFonts w:ascii="Times New Roman" w:hAnsi="Times New Roman" w:cs="Times New Roman"/>
              </w:rPr>
            </w:pPr>
            <w:r w:rsidRPr="00555117">
              <w:rPr>
                <w:rFonts w:ascii="Times New Roman" w:hAnsi="Times New Roman" w:cs="Times New Roman"/>
                <w:noProof/>
              </w:rPr>
              <w:drawing>
                <wp:inline distT="0" distB="0" distL="0" distR="0" wp14:anchorId="3E2005EE" wp14:editId="3E2005EF">
                  <wp:extent cx="5486400" cy="18288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chap4_files/figure-docx/mermaid-figure-1.png"/>
                          <pic:cNvPicPr>
                            <a:picLocks noChangeAspect="1" noChangeArrowheads="1"/>
                          </pic:cNvPicPr>
                        </pic:nvPicPr>
                        <pic:blipFill>
                          <a:blip r:embed="rId8"/>
                          <a:stretch>
                            <a:fillRect/>
                          </a:stretch>
                        </pic:blipFill>
                        <pic:spPr bwMode="auto">
                          <a:xfrm>
                            <a:off x="0" y="0"/>
                            <a:ext cx="5486400" cy="1828800"/>
                          </a:xfrm>
                          <a:prstGeom prst="rect">
                            <a:avLst/>
                          </a:prstGeom>
                          <a:noFill/>
                          <a:ln w="9525">
                            <a:noFill/>
                            <a:headEnd/>
                            <a:tailEnd/>
                          </a:ln>
                        </pic:spPr>
                      </pic:pic>
                    </a:graphicData>
                  </a:graphic>
                </wp:inline>
              </w:drawing>
            </w:r>
          </w:p>
        </w:tc>
        <w:bookmarkEnd w:id="25"/>
      </w:tr>
    </w:tbl>
    <w:p w14:paraId="3E2003DD" w14:textId="0320010D" w:rsidR="007E38AB" w:rsidRPr="00555117" w:rsidRDefault="00000000">
      <w:pPr>
        <w:rPr>
          <w:rFonts w:ascii="Times New Roman" w:hAnsi="Times New Roman" w:cs="Times New Roman"/>
        </w:rPr>
      </w:pPr>
      <w:r w:rsidRPr="00555117">
        <w:rPr>
          <w:rFonts w:ascii="Times New Roman" w:hAnsi="Times New Roman" w:cs="Times New Roman"/>
        </w:rPr>
        <w:t xml:space="preserve">As shown in </w:t>
      </w:r>
      <w:hyperlink w:anchor="fig-model">
        <w:r w:rsidRPr="00555117">
          <w:rPr>
            <w:rFonts w:ascii="Times New Roman" w:hAnsi="Times New Roman" w:cs="Times New Roman"/>
          </w:rPr>
          <w:t>Figure 4.1</w:t>
        </w:r>
      </w:hyperlink>
      <w:r w:rsidRPr="00555117">
        <w:rPr>
          <w:rFonts w:ascii="Times New Roman" w:hAnsi="Times New Roman" w:cs="Times New Roman"/>
        </w:rPr>
        <w:t xml:space="preserve">, information is processed relative to deep core beliefs (i.e., political ideology), and as a result, the issue definition of nuclear energy (i.e., policy core beliefs) is potentially updated. Note that the issue definition of nuclear energy is constituted by dimensions associated with the benefits and risks of nuclear energy. The updating of policy preferences results from the same learning dynamic. Information processing occurs along the chain of deep core beliefs </w:t>
      </w:r>
      <m:oMath>
        <m:r>
          <m:rPr>
            <m:sty m:val="p"/>
          </m:rPr>
          <w:rPr>
            <w:rFonts w:ascii="Cambria Math" w:hAnsi="Cambria Math" w:cs="Times New Roman"/>
          </w:rPr>
          <m:t>→</m:t>
        </m:r>
      </m:oMath>
      <w:r w:rsidRPr="00555117">
        <w:rPr>
          <w:rFonts w:ascii="Times New Roman" w:hAnsi="Times New Roman" w:cs="Times New Roman"/>
        </w:rPr>
        <w:t xml:space="preserve"> policy core beliefs </w:t>
      </w:r>
      <m:oMath>
        <m:r>
          <m:rPr>
            <m:sty m:val="p"/>
          </m:rPr>
          <w:rPr>
            <w:rFonts w:ascii="Cambria Math" w:hAnsi="Cambria Math" w:cs="Times New Roman"/>
          </w:rPr>
          <m:t>→</m:t>
        </m:r>
      </m:oMath>
      <w:r w:rsidRPr="00555117">
        <w:rPr>
          <w:rFonts w:ascii="Times New Roman" w:hAnsi="Times New Roman" w:cs="Times New Roman"/>
        </w:rPr>
        <w:t xml:space="preserve"> policy preferences, and updating occurs when the information signal is sufficiently strong relative to the prior belief or preference. Learning happens when the beliefs or the certainty associated with the beliefs change significantly. To estimate the model shown in </w:t>
      </w:r>
      <w:hyperlink w:anchor="fig-model">
        <w:r w:rsidRPr="00555117">
          <w:rPr>
            <w:rFonts w:ascii="Times New Roman" w:hAnsi="Times New Roman" w:cs="Times New Roman"/>
          </w:rPr>
          <w:t>Figure 4.1</w:t>
        </w:r>
      </w:hyperlink>
      <w:r w:rsidRPr="00555117">
        <w:rPr>
          <w:rFonts w:ascii="Times New Roman" w:hAnsi="Times New Roman" w:cs="Times New Roman"/>
        </w:rPr>
        <w:t>, we use survey data of the US public collected over 17 years.</w:t>
      </w:r>
    </w:p>
    <w:p w14:paraId="3E2003DE" w14:textId="77777777" w:rsidR="007E38AB" w:rsidRPr="00555117" w:rsidRDefault="00000000">
      <w:pPr>
        <w:rPr>
          <w:rFonts w:ascii="Times New Roman" w:hAnsi="Times New Roman" w:cs="Times New Roman"/>
        </w:rPr>
      </w:pPr>
      <w:bookmarkStart w:id="26" w:name="data-and-measures"/>
      <w:bookmarkEnd w:id="24"/>
      <w:r w:rsidRPr="00555117">
        <w:rPr>
          <w:rFonts w:ascii="Times New Roman" w:hAnsi="Times New Roman" w:cs="Times New Roman"/>
        </w:rPr>
        <w:t>4.3 Data and Measures</w:t>
      </w:r>
    </w:p>
    <w:p w14:paraId="3E2003DF" w14:textId="77777777" w:rsidR="007E38AB" w:rsidRPr="00555117" w:rsidRDefault="00000000">
      <w:pPr>
        <w:rPr>
          <w:rFonts w:ascii="Times New Roman" w:hAnsi="Times New Roman" w:cs="Times New Roman"/>
        </w:rPr>
      </w:pPr>
      <w:r w:rsidRPr="00555117">
        <w:rPr>
          <w:rFonts w:ascii="Times New Roman" w:hAnsi="Times New Roman" w:cs="Times New Roman"/>
        </w:rPr>
        <w:lastRenderedPageBreak/>
        <w:t>To examine the impact of the Fukushima accident on beliefs about nuclear energy, we draw on data from 17 years, 2006-2023, of nationwide surveys of US residents.</w:t>
      </w:r>
      <w:r w:rsidRPr="00555117">
        <w:rPr>
          <w:rFonts w:ascii="Times New Roman" w:hAnsi="Times New Roman" w:cs="Times New Roman"/>
        </w:rPr>
        <w:footnoteReference w:id="2"/>
      </w:r>
      <w:r w:rsidRPr="00555117">
        <w:rPr>
          <w:rFonts w:ascii="Times New Roman" w:hAnsi="Times New Roman" w:cs="Times New Roman"/>
        </w:rPr>
        <w:t xml:space="preserve"> The Institute for Public Policy Research and Analysis at the University of Oklahoma developed and administered the surveys, which were fielded annually. The quota-based samples for each survey were recruited by firms such as Survey Sampling International and Qualtrics, and the quotas for gender, race, and age helped to ensure that the samples were as representative as possible of the US population.</w:t>
      </w:r>
      <w:r w:rsidRPr="00555117">
        <w:rPr>
          <w:rFonts w:ascii="Times New Roman" w:hAnsi="Times New Roman" w:cs="Times New Roman"/>
        </w:rPr>
        <w:footnoteReference w:id="3"/>
      </w:r>
      <w:r w:rsidRPr="00555117">
        <w:rPr>
          <w:rFonts w:ascii="Times New Roman" w:hAnsi="Times New Roman" w:cs="Times New Roman"/>
        </w:rPr>
        <w:t xml:space="preserve"> In each survey, respondents were asked about their views on energy and environmental issues, including nuclear energy. Additionally, the surveys gauged respondents’ deep core beliefs by including measures of political ideology. However, our interest is in policy learning among elite policy actors, not the general public. To best account for how policy elites might update beliefs and preferences, we use only the sample of survey respondents who have completed an advanced degree. Overall, the combined surveys include 5877 respondents with advanced degrees, which we use for the subsequent analysis. Next, we discuss the measures we used to examine beliefs and policy preferences regarding nuclear energy.</w:t>
      </w:r>
    </w:p>
    <w:p w14:paraId="3E2003E0" w14:textId="77777777" w:rsidR="007E38AB" w:rsidRPr="00555117" w:rsidRDefault="00000000">
      <w:pPr>
        <w:rPr>
          <w:rFonts w:ascii="Times New Roman" w:hAnsi="Times New Roman" w:cs="Times New Roman"/>
        </w:rPr>
      </w:pPr>
      <w:bookmarkStart w:id="27" w:name="deep-core-beliefs"/>
      <w:r w:rsidRPr="00555117">
        <w:rPr>
          <w:rFonts w:ascii="Times New Roman" w:hAnsi="Times New Roman" w:cs="Times New Roman"/>
        </w:rPr>
        <w:t>4.3.1 Deep Core Beliefs</w:t>
      </w:r>
    </w:p>
    <w:p w14:paraId="3E2003E1" w14:textId="77777777" w:rsidR="007E38AB" w:rsidRPr="00555117" w:rsidRDefault="00000000">
      <w:pPr>
        <w:rPr>
          <w:rFonts w:ascii="Times New Roman" w:hAnsi="Times New Roman" w:cs="Times New Roman"/>
        </w:rPr>
      </w:pPr>
      <w:r w:rsidRPr="00555117">
        <w:rPr>
          <w:rFonts w:ascii="Times New Roman" w:hAnsi="Times New Roman" w:cs="Times New Roman"/>
        </w:rPr>
        <w:t>For deep core beliefs, we use a measure of self-reported political ideology. Among the US public, support for nuclear energy is polarized along ideological lines, with conservatives, on average, more supportive of nuclear energy than liberals (Besley &amp; Oh, 2014; Hawes &amp; Nowlin, 2022; Kuklinski et al., 1982; McBeth et al., 2023). To measure political ideology, respondents were asked, “On a scale of political ideology, individuals can be arranged from strongly liberal to strongly conservative. Which of the following categories best describes your views?”, with 1 indicating strongly liberal, 4 = middle of the road, and 7 = strongly conservative. The mean on the political ideology scale is 3.89, which is about middle of the road.</w:t>
      </w:r>
    </w:p>
    <w:p w14:paraId="3E2003E2" w14:textId="77777777" w:rsidR="007E38AB" w:rsidRPr="00555117" w:rsidRDefault="00000000">
      <w:pPr>
        <w:rPr>
          <w:rFonts w:ascii="Times New Roman" w:hAnsi="Times New Roman" w:cs="Times New Roman"/>
        </w:rPr>
      </w:pPr>
      <w:bookmarkStart w:id="28" w:name="Xed79c1ae286254545e1140453bfce3fb58e31bb"/>
      <w:bookmarkEnd w:id="27"/>
      <w:r w:rsidRPr="00555117">
        <w:rPr>
          <w:rFonts w:ascii="Times New Roman" w:hAnsi="Times New Roman" w:cs="Times New Roman"/>
        </w:rPr>
        <w:t>4.3.2 Policy Core Beliefs: The Dimensions of Nuclear Energy</w:t>
      </w:r>
    </w:p>
    <w:p w14:paraId="3E2003E3" w14:textId="77777777" w:rsidR="007E38AB" w:rsidRPr="00555117" w:rsidRDefault="00000000">
      <w:pPr>
        <w:rPr>
          <w:rFonts w:ascii="Times New Roman" w:hAnsi="Times New Roman" w:cs="Times New Roman"/>
        </w:rPr>
      </w:pPr>
      <w:r w:rsidRPr="00555117">
        <w:rPr>
          <w:rFonts w:ascii="Times New Roman" w:hAnsi="Times New Roman" w:cs="Times New Roman"/>
        </w:rPr>
        <w:t>To explore the issue dimensions of nuclear energy, we rely on a set of questions about its risks and benefits. The assumption is that views about the risks and benefits are the key drivers of how the nuclear energy issue is defined, and that the weighting of those dimensions shapes the policy core beliefs about nuclear energy.</w:t>
      </w:r>
    </w:p>
    <w:p w14:paraId="3E2003E4" w14:textId="77777777" w:rsidR="007E38AB" w:rsidRPr="00555117" w:rsidRDefault="00000000">
      <w:pPr>
        <w:rPr>
          <w:rFonts w:ascii="Times New Roman" w:hAnsi="Times New Roman" w:cs="Times New Roman"/>
        </w:rPr>
      </w:pPr>
      <w:r w:rsidRPr="00555117">
        <w:rPr>
          <w:rFonts w:ascii="Times New Roman" w:hAnsi="Times New Roman" w:cs="Times New Roman"/>
        </w:rPr>
        <w:t>Respondents were asked to rate, on a zero to ten scale, their perceived risks of nuclear energy across four dimensions of risk, including an accident at a nuclear power plant, an accident during transportation or storage of nuclear materials, a terrorist attack on a nuclear plant, and diversion of fuel to make a nuclear weapon. The exact question wording was as follows:</w:t>
      </w:r>
    </w:p>
    <w:p w14:paraId="3E2003E5" w14:textId="77777777" w:rsidR="007E38AB" w:rsidRPr="00555117" w:rsidRDefault="00000000">
      <w:pPr>
        <w:rPr>
          <w:rFonts w:ascii="Times New Roman" w:hAnsi="Times New Roman" w:cs="Times New Roman"/>
        </w:rPr>
      </w:pPr>
      <w:r w:rsidRPr="00555117">
        <w:rPr>
          <w:rFonts w:ascii="Times New Roman" w:hAnsi="Times New Roman" w:cs="Times New Roman"/>
        </w:rPr>
        <w:t>First we want to know about your beliefs concerning some of the possible risks associated with nuclear energy use in the U.S. Please consider both the likelihood of a nuclear event occurring and its potential consequences when evaluating the risk posed by each of the following on a scale from zero to ten, where zero means no risk and ten means extreme risk. [</w:t>
      </w:r>
      <w:r w:rsidRPr="00555117">
        <w:rPr>
          <w:rFonts w:ascii="Times New Roman" w:hAnsi="Times New Roman" w:cs="Times New Roman"/>
          <w:i/>
          <w:iCs/>
        </w:rPr>
        <w:t>Statements were presented in random order</w:t>
      </w:r>
      <w:r w:rsidRPr="00555117">
        <w:rPr>
          <w:rFonts w:ascii="Times New Roman" w:hAnsi="Times New Roman" w:cs="Times New Roman"/>
        </w:rPr>
        <w:t>]</w:t>
      </w:r>
    </w:p>
    <w:p w14:paraId="3E2003E6" w14:textId="77777777" w:rsidR="007E38AB" w:rsidRPr="00555117" w:rsidRDefault="00000000">
      <w:pPr>
        <w:numPr>
          <w:ilvl w:val="0"/>
          <w:numId w:val="7"/>
        </w:numPr>
        <w:rPr>
          <w:rFonts w:ascii="Times New Roman" w:hAnsi="Times New Roman" w:cs="Times New Roman"/>
        </w:rPr>
      </w:pPr>
      <w:r w:rsidRPr="00555117">
        <w:rPr>
          <w:rFonts w:ascii="Times New Roman" w:hAnsi="Times New Roman" w:cs="Times New Roman"/>
          <w:b/>
          <w:bCs/>
        </w:rPr>
        <w:t>Plant Accident</w:t>
      </w:r>
      <w:r w:rsidRPr="00555117">
        <w:rPr>
          <w:rFonts w:ascii="Times New Roman" w:hAnsi="Times New Roman" w:cs="Times New Roman"/>
        </w:rPr>
        <w:t>: An event at a U.S. nuclear power plant within the next 20 years that results in the release of large amounts of radiation</w:t>
      </w:r>
    </w:p>
    <w:p w14:paraId="3E2003E7" w14:textId="77777777" w:rsidR="007E38AB" w:rsidRPr="00555117" w:rsidRDefault="00000000">
      <w:pPr>
        <w:numPr>
          <w:ilvl w:val="0"/>
          <w:numId w:val="7"/>
        </w:numPr>
        <w:rPr>
          <w:rFonts w:ascii="Times New Roman" w:hAnsi="Times New Roman" w:cs="Times New Roman"/>
        </w:rPr>
      </w:pPr>
      <w:r w:rsidRPr="00555117">
        <w:rPr>
          <w:rFonts w:ascii="Times New Roman" w:hAnsi="Times New Roman" w:cs="Times New Roman"/>
          <w:b/>
          <w:bCs/>
        </w:rPr>
        <w:lastRenderedPageBreak/>
        <w:t>Transportation Accident</w:t>
      </w:r>
      <w:r w:rsidRPr="00555117">
        <w:rPr>
          <w:rFonts w:ascii="Times New Roman" w:hAnsi="Times New Roman" w:cs="Times New Roman"/>
        </w:rPr>
        <w:t>: An event during the transportation and temporary storage of spent nuclear fuel from nuclear power plants in the U.S. within the next 20 years that results in the release of large amounts of radiation</w:t>
      </w:r>
    </w:p>
    <w:p w14:paraId="3E2003E8" w14:textId="77777777" w:rsidR="007E38AB" w:rsidRPr="00555117" w:rsidRDefault="00000000">
      <w:pPr>
        <w:numPr>
          <w:ilvl w:val="0"/>
          <w:numId w:val="7"/>
        </w:numPr>
        <w:rPr>
          <w:rFonts w:ascii="Times New Roman" w:hAnsi="Times New Roman" w:cs="Times New Roman"/>
        </w:rPr>
      </w:pPr>
      <w:r w:rsidRPr="00555117">
        <w:rPr>
          <w:rFonts w:ascii="Times New Roman" w:hAnsi="Times New Roman" w:cs="Times New Roman"/>
          <w:b/>
          <w:bCs/>
        </w:rPr>
        <w:t>Terrorist Attack</w:t>
      </w:r>
      <w:r w:rsidRPr="00555117">
        <w:rPr>
          <w:rFonts w:ascii="Times New Roman" w:hAnsi="Times New Roman" w:cs="Times New Roman"/>
        </w:rPr>
        <w:t>: A terrorist attack at a U.S. nuclear power plant within the next 20 years that results in the release of large amounts of radiation</w:t>
      </w:r>
    </w:p>
    <w:p w14:paraId="3E2003E9" w14:textId="77777777" w:rsidR="007E38AB" w:rsidRPr="00555117" w:rsidRDefault="00000000">
      <w:pPr>
        <w:numPr>
          <w:ilvl w:val="0"/>
          <w:numId w:val="7"/>
        </w:numPr>
        <w:rPr>
          <w:rFonts w:ascii="Times New Roman" w:hAnsi="Times New Roman" w:cs="Times New Roman"/>
        </w:rPr>
      </w:pPr>
      <w:r w:rsidRPr="00555117">
        <w:rPr>
          <w:rFonts w:ascii="Times New Roman" w:hAnsi="Times New Roman" w:cs="Times New Roman"/>
          <w:b/>
          <w:bCs/>
        </w:rPr>
        <w:t>Weapon</w:t>
      </w:r>
      <w:r w:rsidRPr="00555117">
        <w:rPr>
          <w:rFonts w:ascii="Times New Roman" w:hAnsi="Times New Roman" w:cs="Times New Roman"/>
        </w:rPr>
        <w:t>: The diversion of nuclear fuel from a nuclear power plant in the U.S. within the next 20 years for the purpose of building a nuclear weapon</w:t>
      </w:r>
    </w:p>
    <w:p w14:paraId="3E2003EA" w14:textId="77777777" w:rsidR="007E38AB" w:rsidRPr="00555117" w:rsidRDefault="00000000">
      <w:pPr>
        <w:rPr>
          <w:rFonts w:ascii="Times New Roman" w:hAnsi="Times New Roman" w:cs="Times New Roman"/>
        </w:rPr>
      </w:pPr>
      <w:r w:rsidRPr="00555117">
        <w:rPr>
          <w:rFonts w:ascii="Times New Roman" w:hAnsi="Times New Roman" w:cs="Times New Roman"/>
        </w:rPr>
        <w:t>Similarly, respondents were asked about the benefits of nuclear energy across four dimensions, including no greenhouse gas emissions, a reliable source of power, contributions to US energy independence, and reduced environmental damage compared to coal or oil and gas extraction.</w:t>
      </w:r>
    </w:p>
    <w:p w14:paraId="3E2003EB" w14:textId="77777777" w:rsidR="007E38AB" w:rsidRPr="00555117" w:rsidRDefault="00000000">
      <w:pPr>
        <w:rPr>
          <w:rFonts w:ascii="Times New Roman" w:hAnsi="Times New Roman" w:cs="Times New Roman"/>
        </w:rPr>
      </w:pPr>
      <w:r w:rsidRPr="00555117">
        <w:rPr>
          <w:rFonts w:ascii="Times New Roman" w:hAnsi="Times New Roman" w:cs="Times New Roman"/>
        </w:rPr>
        <w:t>Next we want to know about your beliefs concerning some of the possible benefits associated with nuclear energy use in the U.S. Please evaluate each of these possible benefits of nuclear energy use on a scale from zero to ten, where zero means not at all beneficial and ten means extremely beneficial. [</w:t>
      </w:r>
      <w:r w:rsidRPr="00555117">
        <w:rPr>
          <w:rFonts w:ascii="Times New Roman" w:hAnsi="Times New Roman" w:cs="Times New Roman"/>
          <w:i/>
          <w:iCs/>
        </w:rPr>
        <w:t>Statements were presented in random order</w:t>
      </w:r>
      <w:r w:rsidRPr="00555117">
        <w:rPr>
          <w:rFonts w:ascii="Times New Roman" w:hAnsi="Times New Roman" w:cs="Times New Roman"/>
        </w:rPr>
        <w:t>]</w:t>
      </w:r>
    </w:p>
    <w:p w14:paraId="3E2003EC" w14:textId="77777777" w:rsidR="007E38AB" w:rsidRPr="00555117" w:rsidRDefault="00000000">
      <w:pPr>
        <w:numPr>
          <w:ilvl w:val="0"/>
          <w:numId w:val="8"/>
        </w:numPr>
        <w:rPr>
          <w:rFonts w:ascii="Times New Roman" w:hAnsi="Times New Roman" w:cs="Times New Roman"/>
        </w:rPr>
      </w:pPr>
      <w:r w:rsidRPr="00555117">
        <w:rPr>
          <w:rFonts w:ascii="Times New Roman" w:hAnsi="Times New Roman" w:cs="Times New Roman"/>
          <w:b/>
          <w:bCs/>
        </w:rPr>
        <w:t>No GHG</w:t>
      </w:r>
      <w:r w:rsidRPr="00555117">
        <w:rPr>
          <w:rFonts w:ascii="Times New Roman" w:hAnsi="Times New Roman" w:cs="Times New Roman"/>
        </w:rPr>
        <w:t>: Reducing environmental threats because the generation of nuclear energy does not produce greenhouse gases that are believed to cause climate change</w:t>
      </w:r>
    </w:p>
    <w:p w14:paraId="3E2003ED" w14:textId="77777777" w:rsidR="007E38AB" w:rsidRPr="00555117" w:rsidRDefault="00000000">
      <w:pPr>
        <w:numPr>
          <w:ilvl w:val="0"/>
          <w:numId w:val="8"/>
        </w:numPr>
        <w:rPr>
          <w:rFonts w:ascii="Times New Roman" w:hAnsi="Times New Roman" w:cs="Times New Roman"/>
        </w:rPr>
      </w:pPr>
      <w:r w:rsidRPr="00555117">
        <w:rPr>
          <w:rFonts w:ascii="Times New Roman" w:hAnsi="Times New Roman" w:cs="Times New Roman"/>
          <w:b/>
          <w:bCs/>
        </w:rPr>
        <w:t>Reliable Power</w:t>
      </w:r>
      <w:r w:rsidRPr="00555117">
        <w:rPr>
          <w:rFonts w:ascii="Times New Roman" w:hAnsi="Times New Roman" w:cs="Times New Roman"/>
        </w:rPr>
        <w:t>: Reliable power because nuclear energy generates large amounts of electricity and is not affected by weather conditions, such as low rainfall or no wind</w:t>
      </w:r>
    </w:p>
    <w:p w14:paraId="3E2003EE" w14:textId="77777777" w:rsidR="007E38AB" w:rsidRPr="00555117" w:rsidRDefault="00000000">
      <w:pPr>
        <w:numPr>
          <w:ilvl w:val="0"/>
          <w:numId w:val="8"/>
        </w:numPr>
        <w:rPr>
          <w:rFonts w:ascii="Times New Roman" w:hAnsi="Times New Roman" w:cs="Times New Roman"/>
        </w:rPr>
      </w:pPr>
      <w:r w:rsidRPr="00555117">
        <w:rPr>
          <w:rFonts w:ascii="Times New Roman" w:hAnsi="Times New Roman" w:cs="Times New Roman"/>
          <w:b/>
          <w:bCs/>
        </w:rPr>
        <w:t>Energy Independence</w:t>
      </w:r>
      <w:r w:rsidRPr="00555117">
        <w:rPr>
          <w:rFonts w:ascii="Times New Roman" w:hAnsi="Times New Roman" w:cs="Times New Roman"/>
        </w:rPr>
        <w:t>: Greater U.S. energy independence because nuclear energy production does not require oil or gas from foreign sources</w:t>
      </w:r>
    </w:p>
    <w:p w14:paraId="3E2003EF" w14:textId="77777777" w:rsidR="007E38AB" w:rsidRPr="00555117" w:rsidRDefault="00000000">
      <w:pPr>
        <w:numPr>
          <w:ilvl w:val="0"/>
          <w:numId w:val="8"/>
        </w:numPr>
        <w:rPr>
          <w:rFonts w:ascii="Times New Roman" w:hAnsi="Times New Roman" w:cs="Times New Roman"/>
        </w:rPr>
      </w:pPr>
      <w:r w:rsidRPr="00555117">
        <w:rPr>
          <w:rFonts w:ascii="Times New Roman" w:hAnsi="Times New Roman" w:cs="Times New Roman"/>
          <w:b/>
          <w:bCs/>
        </w:rPr>
        <w:t>Reduced Environmental Damage</w:t>
      </w:r>
      <w:r w:rsidRPr="00555117">
        <w:rPr>
          <w:rFonts w:ascii="Times New Roman" w:hAnsi="Times New Roman" w:cs="Times New Roman"/>
        </w:rPr>
        <w:t>: Reduced environmental damage because of less need for mining coal or extracting oil and gas</w:t>
      </w:r>
    </w:p>
    <w:p w14:paraId="3E2003F0"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Additionally, we combined and averaged the risk and benefit items into two scales. The Cronbach’s </w:t>
      </w:r>
      <m:oMath>
        <m:r>
          <w:rPr>
            <w:rFonts w:ascii="Cambria Math" w:hAnsi="Cambria Math" w:cs="Times New Roman"/>
          </w:rPr>
          <m:t>α</m:t>
        </m:r>
      </m:oMath>
      <w:r w:rsidRPr="00555117">
        <w:rPr>
          <w:rFonts w:ascii="Times New Roman" w:hAnsi="Times New Roman" w:cs="Times New Roman"/>
        </w:rPr>
        <w:t xml:space="preserve"> for the risk items is 0.926, and the </w:t>
      </w:r>
      <m:oMath>
        <m:r>
          <w:rPr>
            <w:rFonts w:ascii="Cambria Math" w:hAnsi="Cambria Math" w:cs="Times New Roman"/>
          </w:rPr>
          <m:t>α</m:t>
        </m:r>
      </m:oMath>
      <w:r w:rsidRPr="00555117">
        <w:rPr>
          <w:rFonts w:ascii="Times New Roman" w:hAnsi="Times New Roman" w:cs="Times New Roman"/>
        </w:rPr>
        <w:t xml:space="preserve"> for the benefit items was 0.908.</w:t>
      </w:r>
    </w:p>
    <w:p w14:paraId="3E2003F1" w14:textId="77777777" w:rsidR="007E38AB" w:rsidRPr="00555117" w:rsidRDefault="00000000">
      <w:pPr>
        <w:rPr>
          <w:rFonts w:ascii="Times New Roman" w:hAnsi="Times New Roman" w:cs="Times New Roman"/>
        </w:rPr>
      </w:pPr>
      <w:bookmarkStart w:id="29" w:name="policy-preferences"/>
      <w:bookmarkEnd w:id="28"/>
      <w:r w:rsidRPr="00555117">
        <w:rPr>
          <w:rFonts w:ascii="Times New Roman" w:hAnsi="Times New Roman" w:cs="Times New Roman"/>
        </w:rPr>
        <w:t>4.3.3 Policy Preferences</w:t>
      </w:r>
    </w:p>
    <w:p w14:paraId="3E2003F2" w14:textId="77777777" w:rsidR="007E38AB" w:rsidRPr="00555117" w:rsidRDefault="00000000">
      <w:pPr>
        <w:rPr>
          <w:rFonts w:ascii="Times New Roman" w:hAnsi="Times New Roman" w:cs="Times New Roman"/>
        </w:rPr>
      </w:pPr>
      <w:r w:rsidRPr="00555117">
        <w:rPr>
          <w:rFonts w:ascii="Times New Roman" w:hAnsi="Times New Roman" w:cs="Times New Roman"/>
        </w:rPr>
        <w:t>To measure policy preferences, we examine support for building more nuclear power plants in the US. Specifically, we averaged responses to two questions: one on support for adding additional reactors at existing nuclear power plants and the other on support for adding new reactors at new locations in the US.</w:t>
      </w:r>
      <w:r w:rsidRPr="00555117">
        <w:rPr>
          <w:rFonts w:ascii="Times New Roman" w:hAnsi="Times New Roman" w:cs="Times New Roman"/>
        </w:rPr>
        <w:footnoteReference w:id="4"/>
      </w:r>
    </w:p>
    <w:p w14:paraId="3E2003F3"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Using a scale from one to seven, where one means </w:t>
      </w:r>
      <w:r w:rsidRPr="00555117">
        <w:rPr>
          <w:rFonts w:ascii="Times New Roman" w:hAnsi="Times New Roman" w:cs="Times New Roman"/>
          <w:i/>
          <w:iCs/>
        </w:rPr>
        <w:t>strongly oppose</w:t>
      </w:r>
      <w:r w:rsidRPr="00555117">
        <w:rPr>
          <w:rFonts w:ascii="Times New Roman" w:hAnsi="Times New Roman" w:cs="Times New Roman"/>
        </w:rPr>
        <w:t xml:space="preserve"> and seven means </w:t>
      </w:r>
      <w:r w:rsidRPr="00555117">
        <w:rPr>
          <w:rFonts w:ascii="Times New Roman" w:hAnsi="Times New Roman" w:cs="Times New Roman"/>
          <w:i/>
          <w:iCs/>
        </w:rPr>
        <w:t>strongly support</w:t>
      </w:r>
      <w:r w:rsidRPr="00555117">
        <w:rPr>
          <w:rFonts w:ascii="Times New Roman" w:hAnsi="Times New Roman" w:cs="Times New Roman"/>
        </w:rPr>
        <w:t>, how do you feel about constructing additional nuclear reactors at the sites of existing nuclear power plants in the U.S.?</w:t>
      </w:r>
    </w:p>
    <w:p w14:paraId="3E2003F4"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Using the same scale from one to seven, where one means </w:t>
      </w:r>
      <w:r w:rsidRPr="00555117">
        <w:rPr>
          <w:rFonts w:ascii="Times New Roman" w:hAnsi="Times New Roman" w:cs="Times New Roman"/>
          <w:i/>
          <w:iCs/>
        </w:rPr>
        <w:t>strongly oppose</w:t>
      </w:r>
      <w:r w:rsidRPr="00555117">
        <w:rPr>
          <w:rFonts w:ascii="Times New Roman" w:hAnsi="Times New Roman" w:cs="Times New Roman"/>
        </w:rPr>
        <w:t xml:space="preserve"> and seven means </w:t>
      </w:r>
      <w:r w:rsidRPr="00555117">
        <w:rPr>
          <w:rFonts w:ascii="Times New Roman" w:hAnsi="Times New Roman" w:cs="Times New Roman"/>
          <w:i/>
          <w:iCs/>
        </w:rPr>
        <w:t>strongly support</w:t>
      </w:r>
      <w:r w:rsidRPr="00555117">
        <w:rPr>
          <w:rFonts w:ascii="Times New Roman" w:hAnsi="Times New Roman" w:cs="Times New Roman"/>
        </w:rPr>
        <w:t>, how do you feel about constructing additional nuclear power plants at new locations in the U.S.?</w:t>
      </w:r>
    </w:p>
    <w:p w14:paraId="3E2003F5" w14:textId="77777777" w:rsidR="007E38AB" w:rsidRPr="00555117" w:rsidRDefault="00000000">
      <w:pPr>
        <w:rPr>
          <w:rFonts w:ascii="Times New Roman" w:hAnsi="Times New Roman" w:cs="Times New Roman"/>
        </w:rPr>
      </w:pPr>
      <w:r w:rsidRPr="00555117">
        <w:rPr>
          <w:rFonts w:ascii="Times New Roman" w:hAnsi="Times New Roman" w:cs="Times New Roman"/>
        </w:rPr>
        <w:lastRenderedPageBreak/>
        <w:t>For analysis, we combine and average the two scales into a single one to seven measure of support for more nuclear energy plants. The average support for more nuclear plants is 4.453, which is above the scale midpoint of 4.</w:t>
      </w:r>
    </w:p>
    <w:p w14:paraId="3E2003F6" w14:textId="77777777" w:rsidR="007E38AB" w:rsidRPr="00555117" w:rsidRDefault="00000000">
      <w:pPr>
        <w:rPr>
          <w:rFonts w:ascii="Times New Roman" w:hAnsi="Times New Roman" w:cs="Times New Roman"/>
        </w:rPr>
      </w:pPr>
      <w:bookmarkStart w:id="30" w:name="results"/>
      <w:bookmarkEnd w:id="26"/>
      <w:bookmarkEnd w:id="29"/>
      <w:r w:rsidRPr="00555117">
        <w:rPr>
          <w:rFonts w:ascii="Times New Roman" w:hAnsi="Times New Roman" w:cs="Times New Roman"/>
        </w:rPr>
        <w:t>4.4 Results</w:t>
      </w:r>
    </w:p>
    <w:tbl>
      <w:tblPr>
        <w:tblW w:w="5000" w:type="pct"/>
        <w:tblLayout w:type="fixed"/>
        <w:tblLook w:val="0000" w:firstRow="0" w:lastRow="0" w:firstColumn="0" w:lastColumn="0" w:noHBand="0" w:noVBand="0"/>
      </w:tblPr>
      <w:tblGrid>
        <w:gridCol w:w="9360"/>
      </w:tblGrid>
      <w:tr w:rsidR="007E38AB" w:rsidRPr="00555117" w14:paraId="3E2003F9" w14:textId="77777777">
        <w:tc>
          <w:tcPr>
            <w:tcW w:w="7920" w:type="dxa"/>
          </w:tcPr>
          <w:p w14:paraId="3E2003F7" w14:textId="77777777" w:rsidR="007E38AB" w:rsidRPr="00555117" w:rsidRDefault="00000000">
            <w:pPr>
              <w:spacing w:before="200"/>
              <w:rPr>
                <w:rFonts w:ascii="Times New Roman" w:hAnsi="Times New Roman" w:cs="Times New Roman"/>
              </w:rPr>
            </w:pPr>
            <w:bookmarkStart w:id="31" w:name="fig-rbGraph"/>
            <w:r w:rsidRPr="00555117">
              <w:rPr>
                <w:rFonts w:ascii="Times New Roman" w:hAnsi="Times New Roman" w:cs="Times New Roman"/>
              </w:rPr>
              <w:t>Figure 4.2: Aggregate Public Perceptions of the Risks and Benefits of Nuclear Energy, 2006-2023</w:t>
            </w:r>
          </w:p>
          <w:p w14:paraId="3E2003F8" w14:textId="77777777" w:rsidR="007E38AB" w:rsidRPr="00555117" w:rsidRDefault="00000000">
            <w:pPr>
              <w:jc w:val="center"/>
              <w:rPr>
                <w:rFonts w:ascii="Times New Roman" w:hAnsi="Times New Roman" w:cs="Times New Roman"/>
              </w:rPr>
            </w:pPr>
            <w:r w:rsidRPr="00555117">
              <w:rPr>
                <w:rFonts w:ascii="Times New Roman" w:hAnsi="Times New Roman" w:cs="Times New Roman"/>
                <w:noProof/>
              </w:rPr>
              <w:drawing>
                <wp:inline distT="0" distB="0" distL="0" distR="0" wp14:anchorId="3E2005F0" wp14:editId="3E2005F1">
                  <wp:extent cx="5943600" cy="371475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chap4_files/figure-docx/fig-rbGraph-1.png"/>
                          <pic:cNvPicPr>
                            <a:picLocks noChangeAspect="1" noChangeArrowheads="1"/>
                          </pic:cNvPicPr>
                        </pic:nvPicPr>
                        <pic:blipFill>
                          <a:blip r:embed="rId9"/>
                          <a:stretch>
                            <a:fillRect/>
                          </a:stretch>
                        </pic:blipFill>
                        <pic:spPr bwMode="auto">
                          <a:xfrm>
                            <a:off x="0" y="0"/>
                            <a:ext cx="5943600" cy="3714750"/>
                          </a:xfrm>
                          <a:prstGeom prst="rect">
                            <a:avLst/>
                          </a:prstGeom>
                          <a:noFill/>
                          <a:ln w="9525">
                            <a:noFill/>
                            <a:headEnd/>
                            <a:tailEnd/>
                          </a:ln>
                        </pic:spPr>
                      </pic:pic>
                    </a:graphicData>
                  </a:graphic>
                </wp:inline>
              </w:drawing>
            </w:r>
          </w:p>
        </w:tc>
        <w:bookmarkEnd w:id="31"/>
      </w:tr>
    </w:tbl>
    <w:p w14:paraId="3E2003FA" w14:textId="6D7BA922" w:rsidR="007E38AB" w:rsidRPr="00555117" w:rsidRDefault="00000000">
      <w:pPr>
        <w:rPr>
          <w:rFonts w:ascii="Times New Roman" w:hAnsi="Times New Roman" w:cs="Times New Roman"/>
        </w:rPr>
      </w:pPr>
      <w:r w:rsidRPr="00555117">
        <w:rPr>
          <w:rFonts w:ascii="Times New Roman" w:hAnsi="Times New Roman" w:cs="Times New Roman"/>
        </w:rPr>
        <w:t xml:space="preserve">We first plot the means of the combined risk and benefit scales for each year, as shown in </w:t>
      </w:r>
      <w:hyperlink w:anchor="fig-rbGraph">
        <w:r w:rsidRPr="00555117">
          <w:rPr>
            <w:rFonts w:ascii="Times New Roman" w:hAnsi="Times New Roman" w:cs="Times New Roman"/>
          </w:rPr>
          <w:t>Figure 4.2</w:t>
        </w:r>
      </w:hyperlink>
      <w:r w:rsidRPr="00555117">
        <w:rPr>
          <w:rFonts w:ascii="Times New Roman" w:hAnsi="Times New Roman" w:cs="Times New Roman"/>
        </w:rPr>
        <w:t>. As can be seen, the average perception of risks increased following the Fukushima accident, and continued to increase. However, on average, perceptions of benefits decreased sightly, but remained relatively consistent over time.</w:t>
      </w:r>
    </w:p>
    <w:p w14:paraId="3E2003FB" w14:textId="77EB104C" w:rsidR="007E38AB" w:rsidRPr="00555117" w:rsidRDefault="00000000">
      <w:pPr>
        <w:rPr>
          <w:rFonts w:ascii="Times New Roman" w:hAnsi="Times New Roman" w:cs="Times New Roman"/>
        </w:rPr>
      </w:pPr>
      <w:r w:rsidRPr="00555117">
        <w:rPr>
          <w:rFonts w:ascii="Times New Roman" w:hAnsi="Times New Roman" w:cs="Times New Roman"/>
        </w:rPr>
        <w:t xml:space="preserve">Next, we examine differences in means of the dimensions of nuclear energy – the measure of risks and benefits – pre- and post the Fukushima accident. The pre-Fukushima measures include pooled survey data from 2006 to 2011, and post-Fukushima is pooled survey data from 2012 to 2023. </w:t>
      </w:r>
      <w:hyperlink w:anchor="tbl-dims">
        <w:r w:rsidRPr="00555117">
          <w:rPr>
            <w:rFonts w:ascii="Times New Roman" w:hAnsi="Times New Roman" w:cs="Times New Roman"/>
          </w:rPr>
          <w:t>Table 4.1</w:t>
        </w:r>
      </w:hyperlink>
      <w:r w:rsidRPr="00555117">
        <w:rPr>
          <w:rFonts w:ascii="Times New Roman" w:hAnsi="Times New Roman" w:cs="Times New Roman"/>
        </w:rPr>
        <w:t xml:space="preserve"> shows the pre- and post-Fukushima means for each dimension and the averaged items.</w:t>
      </w:r>
    </w:p>
    <w:tbl>
      <w:tblPr>
        <w:tblW w:w="5000" w:type="pct"/>
        <w:tblLayout w:type="fixed"/>
        <w:tblLook w:val="0000" w:firstRow="0" w:lastRow="0" w:firstColumn="0" w:lastColumn="0" w:noHBand="0" w:noVBand="0"/>
      </w:tblPr>
      <w:tblGrid>
        <w:gridCol w:w="9360"/>
      </w:tblGrid>
      <w:tr w:rsidR="007E38AB" w:rsidRPr="00555117" w14:paraId="3E200440" w14:textId="77777777">
        <w:tc>
          <w:tcPr>
            <w:tcW w:w="7920" w:type="dxa"/>
          </w:tcPr>
          <w:p w14:paraId="3E2003FC" w14:textId="77777777" w:rsidR="007E38AB" w:rsidRPr="00555117" w:rsidRDefault="00000000">
            <w:pPr>
              <w:spacing w:before="200"/>
              <w:rPr>
                <w:rFonts w:ascii="Times New Roman" w:hAnsi="Times New Roman" w:cs="Times New Roman"/>
              </w:rPr>
            </w:pPr>
            <w:bookmarkStart w:id="32" w:name="tbl-dims"/>
            <w:r w:rsidRPr="00555117">
              <w:rPr>
                <w:rFonts w:ascii="Times New Roman" w:hAnsi="Times New Roman" w:cs="Times New Roman"/>
              </w:rPr>
              <w:t>Table 4.1: Comparison of Nuclear Energy Issue Dimensions Pre-and-Post-Fukushima</w:t>
            </w:r>
          </w:p>
          <w:tbl>
            <w:tblPr>
              <w:tblW w:w="5000" w:type="pct"/>
              <w:tblLayout w:type="fixed"/>
              <w:tblLook w:val="0020" w:firstRow="1" w:lastRow="0" w:firstColumn="0" w:lastColumn="0" w:noHBand="0" w:noVBand="0"/>
            </w:tblPr>
            <w:tblGrid>
              <w:gridCol w:w="2439"/>
              <w:gridCol w:w="2438"/>
              <w:gridCol w:w="1626"/>
              <w:gridCol w:w="1219"/>
              <w:gridCol w:w="1422"/>
            </w:tblGrid>
            <w:tr w:rsidR="007E38AB" w:rsidRPr="00555117" w14:paraId="3E200402" w14:textId="77777777">
              <w:trPr>
                <w:tblHeader/>
              </w:trPr>
              <w:tc>
                <w:tcPr>
                  <w:tcW w:w="2112" w:type="dxa"/>
                </w:tcPr>
                <w:p w14:paraId="3E2003FD" w14:textId="77777777" w:rsidR="007E38AB" w:rsidRPr="00555117" w:rsidRDefault="00000000">
                  <w:pPr>
                    <w:jc w:val="center"/>
                    <w:rPr>
                      <w:rFonts w:ascii="Times New Roman" w:hAnsi="Times New Roman" w:cs="Times New Roman"/>
                    </w:rPr>
                  </w:pPr>
                  <w:r w:rsidRPr="00555117">
                    <w:rPr>
                      <w:rFonts w:ascii="Times New Roman" w:hAnsi="Times New Roman" w:cs="Times New Roman"/>
                      <w:b/>
                      <w:bCs/>
                    </w:rPr>
                    <w:t xml:space="preserve">Scale </w:t>
                  </w:r>
                </w:p>
              </w:tc>
              <w:tc>
                <w:tcPr>
                  <w:tcW w:w="2112" w:type="dxa"/>
                </w:tcPr>
                <w:p w14:paraId="3E2003FE" w14:textId="77777777" w:rsidR="007E38AB" w:rsidRPr="00555117" w:rsidRDefault="00000000">
                  <w:pPr>
                    <w:jc w:val="center"/>
                    <w:rPr>
                      <w:rFonts w:ascii="Times New Roman" w:hAnsi="Times New Roman" w:cs="Times New Roman"/>
                    </w:rPr>
                  </w:pPr>
                  <w:r w:rsidRPr="00555117">
                    <w:rPr>
                      <w:rFonts w:ascii="Times New Roman" w:hAnsi="Times New Roman" w:cs="Times New Roman"/>
                      <w:b/>
                      <w:bCs/>
                    </w:rPr>
                    <w:t>Issue Dimensions</w:t>
                  </w:r>
                </w:p>
              </w:tc>
              <w:tc>
                <w:tcPr>
                  <w:tcW w:w="1408" w:type="dxa"/>
                </w:tcPr>
                <w:p w14:paraId="3E2003FF" w14:textId="77777777" w:rsidR="007E38AB" w:rsidRPr="00555117" w:rsidRDefault="00000000">
                  <w:pPr>
                    <w:jc w:val="center"/>
                    <w:rPr>
                      <w:rFonts w:ascii="Times New Roman" w:hAnsi="Times New Roman" w:cs="Times New Roman"/>
                    </w:rPr>
                  </w:pPr>
                  <w:r w:rsidRPr="00555117">
                    <w:rPr>
                      <w:rFonts w:ascii="Times New Roman" w:hAnsi="Times New Roman" w:cs="Times New Roman"/>
                      <w:b/>
                      <w:bCs/>
                    </w:rPr>
                    <w:t>Pre-Fukushima Mean</w:t>
                  </w:r>
                </w:p>
              </w:tc>
              <w:tc>
                <w:tcPr>
                  <w:tcW w:w="1056" w:type="dxa"/>
                </w:tcPr>
                <w:p w14:paraId="3E200400" w14:textId="77777777" w:rsidR="007E38AB" w:rsidRPr="00555117" w:rsidRDefault="00000000">
                  <w:pPr>
                    <w:jc w:val="center"/>
                    <w:rPr>
                      <w:rFonts w:ascii="Times New Roman" w:hAnsi="Times New Roman" w:cs="Times New Roman"/>
                    </w:rPr>
                  </w:pPr>
                  <w:r w:rsidRPr="00555117">
                    <w:rPr>
                      <w:rFonts w:ascii="Times New Roman" w:hAnsi="Times New Roman" w:cs="Times New Roman"/>
                      <w:b/>
                      <w:bCs/>
                    </w:rPr>
                    <w:t>Post-Fukushima Mean</w:t>
                  </w:r>
                </w:p>
              </w:tc>
              <w:tc>
                <w:tcPr>
                  <w:tcW w:w="1232" w:type="dxa"/>
                </w:tcPr>
                <w:p w14:paraId="3E200401" w14:textId="77777777" w:rsidR="007E38AB" w:rsidRPr="00555117" w:rsidRDefault="00000000">
                  <w:pPr>
                    <w:jc w:val="center"/>
                    <w:rPr>
                      <w:rFonts w:ascii="Times New Roman" w:hAnsi="Times New Roman" w:cs="Times New Roman"/>
                    </w:rPr>
                  </w:pPr>
                  <w:r w:rsidRPr="00555117">
                    <w:rPr>
                      <w:rFonts w:ascii="Times New Roman" w:hAnsi="Times New Roman" w:cs="Times New Roman"/>
                      <w:b/>
                      <w:bCs/>
                    </w:rPr>
                    <w:t>Difference</w:t>
                  </w:r>
                </w:p>
              </w:tc>
            </w:tr>
            <w:tr w:rsidR="007E38AB" w:rsidRPr="00555117" w14:paraId="3E200408" w14:textId="77777777">
              <w:tc>
                <w:tcPr>
                  <w:tcW w:w="2112" w:type="dxa"/>
                </w:tcPr>
                <w:p w14:paraId="3E200403" w14:textId="77777777" w:rsidR="007E38AB" w:rsidRPr="00555117" w:rsidRDefault="00000000" w:rsidP="007C72DF">
                  <w:pPr>
                    <w:rPr>
                      <w:rFonts w:ascii="Times New Roman" w:hAnsi="Times New Roman" w:cs="Times New Roman"/>
                    </w:rPr>
                  </w:pPr>
                  <w:r w:rsidRPr="00555117">
                    <w:rPr>
                      <w:rFonts w:ascii="Times New Roman" w:hAnsi="Times New Roman" w:cs="Times New Roman"/>
                      <w:b/>
                      <w:bCs/>
                    </w:rPr>
                    <w:t>Risks (0 to 10 scale)</w:t>
                  </w:r>
                </w:p>
              </w:tc>
              <w:tc>
                <w:tcPr>
                  <w:tcW w:w="2112" w:type="dxa"/>
                </w:tcPr>
                <w:p w14:paraId="3E200404"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Plant Accident</w:t>
                  </w:r>
                </w:p>
              </w:tc>
              <w:tc>
                <w:tcPr>
                  <w:tcW w:w="1408" w:type="dxa"/>
                </w:tcPr>
                <w:p w14:paraId="3E200405"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5.49</w:t>
                  </w:r>
                </w:p>
              </w:tc>
              <w:tc>
                <w:tcPr>
                  <w:tcW w:w="1056" w:type="dxa"/>
                </w:tcPr>
                <w:p w14:paraId="3E200406"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6.32</w:t>
                  </w:r>
                </w:p>
              </w:tc>
              <w:tc>
                <w:tcPr>
                  <w:tcW w:w="1232" w:type="dxa"/>
                </w:tcPr>
                <w:p w14:paraId="3E200407"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0.83***</w:t>
                  </w:r>
                </w:p>
              </w:tc>
            </w:tr>
            <w:tr w:rsidR="007E38AB" w:rsidRPr="00555117" w14:paraId="3E20040E" w14:textId="77777777">
              <w:tc>
                <w:tcPr>
                  <w:tcW w:w="2112" w:type="dxa"/>
                </w:tcPr>
                <w:p w14:paraId="3E200409" w14:textId="77777777" w:rsidR="007E38AB" w:rsidRPr="00555117" w:rsidRDefault="007E38AB" w:rsidP="007C72DF">
                  <w:pPr>
                    <w:rPr>
                      <w:rFonts w:ascii="Times New Roman" w:hAnsi="Times New Roman" w:cs="Times New Roman"/>
                    </w:rPr>
                  </w:pPr>
                </w:p>
              </w:tc>
              <w:tc>
                <w:tcPr>
                  <w:tcW w:w="2112" w:type="dxa"/>
                </w:tcPr>
                <w:p w14:paraId="3E20040A"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Transportation Accident</w:t>
                  </w:r>
                </w:p>
              </w:tc>
              <w:tc>
                <w:tcPr>
                  <w:tcW w:w="1408" w:type="dxa"/>
                </w:tcPr>
                <w:p w14:paraId="3E20040B"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5.55</w:t>
                  </w:r>
                </w:p>
              </w:tc>
              <w:tc>
                <w:tcPr>
                  <w:tcW w:w="1056" w:type="dxa"/>
                </w:tcPr>
                <w:p w14:paraId="3E20040C"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6.24</w:t>
                  </w:r>
                </w:p>
              </w:tc>
              <w:tc>
                <w:tcPr>
                  <w:tcW w:w="1232" w:type="dxa"/>
                </w:tcPr>
                <w:p w14:paraId="3E20040D"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0.69***</w:t>
                  </w:r>
                </w:p>
              </w:tc>
            </w:tr>
            <w:tr w:rsidR="007E38AB" w:rsidRPr="00555117" w14:paraId="3E200414" w14:textId="77777777">
              <w:tc>
                <w:tcPr>
                  <w:tcW w:w="2112" w:type="dxa"/>
                </w:tcPr>
                <w:p w14:paraId="3E20040F" w14:textId="77777777" w:rsidR="007E38AB" w:rsidRPr="00555117" w:rsidRDefault="007E38AB" w:rsidP="007C72DF">
                  <w:pPr>
                    <w:rPr>
                      <w:rFonts w:ascii="Times New Roman" w:hAnsi="Times New Roman" w:cs="Times New Roman"/>
                    </w:rPr>
                  </w:pPr>
                </w:p>
              </w:tc>
              <w:tc>
                <w:tcPr>
                  <w:tcW w:w="2112" w:type="dxa"/>
                </w:tcPr>
                <w:p w14:paraId="3E200410"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Terrorist Attack</w:t>
                  </w:r>
                </w:p>
              </w:tc>
              <w:tc>
                <w:tcPr>
                  <w:tcW w:w="1408" w:type="dxa"/>
                </w:tcPr>
                <w:p w14:paraId="3E200411"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6.02</w:t>
                  </w:r>
                </w:p>
              </w:tc>
              <w:tc>
                <w:tcPr>
                  <w:tcW w:w="1056" w:type="dxa"/>
                </w:tcPr>
                <w:p w14:paraId="3E200412"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6.53</w:t>
                  </w:r>
                </w:p>
              </w:tc>
              <w:tc>
                <w:tcPr>
                  <w:tcW w:w="1232" w:type="dxa"/>
                </w:tcPr>
                <w:p w14:paraId="3E200413"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0.51***</w:t>
                  </w:r>
                </w:p>
              </w:tc>
            </w:tr>
            <w:tr w:rsidR="007E38AB" w:rsidRPr="00555117" w14:paraId="3E20041A" w14:textId="77777777">
              <w:tc>
                <w:tcPr>
                  <w:tcW w:w="2112" w:type="dxa"/>
                </w:tcPr>
                <w:p w14:paraId="3E200415" w14:textId="77777777" w:rsidR="007E38AB" w:rsidRPr="00555117" w:rsidRDefault="007E38AB" w:rsidP="007C72DF">
                  <w:pPr>
                    <w:rPr>
                      <w:rFonts w:ascii="Times New Roman" w:hAnsi="Times New Roman" w:cs="Times New Roman"/>
                    </w:rPr>
                  </w:pPr>
                </w:p>
              </w:tc>
              <w:tc>
                <w:tcPr>
                  <w:tcW w:w="2112" w:type="dxa"/>
                </w:tcPr>
                <w:p w14:paraId="3E200416"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Weapon</w:t>
                  </w:r>
                </w:p>
              </w:tc>
              <w:tc>
                <w:tcPr>
                  <w:tcW w:w="1408" w:type="dxa"/>
                </w:tcPr>
                <w:p w14:paraId="3E200417"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4.96</w:t>
                  </w:r>
                </w:p>
              </w:tc>
              <w:tc>
                <w:tcPr>
                  <w:tcW w:w="1056" w:type="dxa"/>
                </w:tcPr>
                <w:p w14:paraId="3E200418"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5.7</w:t>
                  </w:r>
                </w:p>
              </w:tc>
              <w:tc>
                <w:tcPr>
                  <w:tcW w:w="1232" w:type="dxa"/>
                </w:tcPr>
                <w:p w14:paraId="3E200419"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0.74***</w:t>
                  </w:r>
                </w:p>
              </w:tc>
            </w:tr>
            <w:tr w:rsidR="007E38AB" w:rsidRPr="00555117" w14:paraId="3E200420" w14:textId="77777777">
              <w:tc>
                <w:tcPr>
                  <w:tcW w:w="2112" w:type="dxa"/>
                </w:tcPr>
                <w:p w14:paraId="3E20041B" w14:textId="77777777" w:rsidR="007E38AB" w:rsidRPr="00555117" w:rsidRDefault="007E38AB" w:rsidP="007C72DF">
                  <w:pPr>
                    <w:rPr>
                      <w:rFonts w:ascii="Times New Roman" w:hAnsi="Times New Roman" w:cs="Times New Roman"/>
                    </w:rPr>
                  </w:pPr>
                </w:p>
              </w:tc>
              <w:tc>
                <w:tcPr>
                  <w:tcW w:w="2112" w:type="dxa"/>
                </w:tcPr>
                <w:p w14:paraId="3E20041C" w14:textId="77777777" w:rsidR="007E38AB" w:rsidRPr="00555117" w:rsidRDefault="00000000" w:rsidP="007C72DF">
                  <w:pPr>
                    <w:rPr>
                      <w:rFonts w:ascii="Times New Roman" w:hAnsi="Times New Roman" w:cs="Times New Roman"/>
                    </w:rPr>
                  </w:pPr>
                  <w:r w:rsidRPr="00555117">
                    <w:rPr>
                      <w:rFonts w:ascii="Times New Roman" w:hAnsi="Times New Roman" w:cs="Times New Roman"/>
                      <w:b/>
                      <w:bCs/>
                    </w:rPr>
                    <w:t>All Items</w:t>
                  </w:r>
                </w:p>
              </w:tc>
              <w:tc>
                <w:tcPr>
                  <w:tcW w:w="1408" w:type="dxa"/>
                </w:tcPr>
                <w:p w14:paraId="3E20041D"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5.51</w:t>
                  </w:r>
                </w:p>
              </w:tc>
              <w:tc>
                <w:tcPr>
                  <w:tcW w:w="1056" w:type="dxa"/>
                </w:tcPr>
                <w:p w14:paraId="3E20041E"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6.22</w:t>
                  </w:r>
                </w:p>
              </w:tc>
              <w:tc>
                <w:tcPr>
                  <w:tcW w:w="1232" w:type="dxa"/>
                </w:tcPr>
                <w:p w14:paraId="3E20041F"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0.71***</w:t>
                  </w:r>
                </w:p>
              </w:tc>
            </w:tr>
            <w:tr w:rsidR="007E38AB" w:rsidRPr="00555117" w14:paraId="3E200426" w14:textId="77777777">
              <w:tc>
                <w:tcPr>
                  <w:tcW w:w="2112" w:type="dxa"/>
                </w:tcPr>
                <w:p w14:paraId="3E200421" w14:textId="77777777" w:rsidR="007E38AB" w:rsidRPr="00555117" w:rsidRDefault="00000000" w:rsidP="007C72DF">
                  <w:pPr>
                    <w:rPr>
                      <w:rFonts w:ascii="Times New Roman" w:hAnsi="Times New Roman" w:cs="Times New Roman"/>
                    </w:rPr>
                  </w:pPr>
                  <w:r w:rsidRPr="00555117">
                    <w:rPr>
                      <w:rFonts w:ascii="Times New Roman" w:hAnsi="Times New Roman" w:cs="Times New Roman"/>
                      <w:b/>
                      <w:bCs/>
                    </w:rPr>
                    <w:t>Benefits (0 to 10 scale)</w:t>
                  </w:r>
                </w:p>
              </w:tc>
              <w:tc>
                <w:tcPr>
                  <w:tcW w:w="2112" w:type="dxa"/>
                </w:tcPr>
                <w:p w14:paraId="3E200422"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No GHG</w:t>
                  </w:r>
                </w:p>
              </w:tc>
              <w:tc>
                <w:tcPr>
                  <w:tcW w:w="1408" w:type="dxa"/>
                </w:tcPr>
                <w:p w14:paraId="3E200423"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7.38</w:t>
                  </w:r>
                </w:p>
              </w:tc>
              <w:tc>
                <w:tcPr>
                  <w:tcW w:w="1056" w:type="dxa"/>
                </w:tcPr>
                <w:p w14:paraId="3E200424"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7.13</w:t>
                  </w:r>
                </w:p>
              </w:tc>
              <w:tc>
                <w:tcPr>
                  <w:tcW w:w="1232" w:type="dxa"/>
                </w:tcPr>
                <w:p w14:paraId="3E200425"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-0.25***</w:t>
                  </w:r>
                </w:p>
              </w:tc>
            </w:tr>
            <w:tr w:rsidR="007E38AB" w:rsidRPr="00555117" w14:paraId="3E20042C" w14:textId="77777777">
              <w:tc>
                <w:tcPr>
                  <w:tcW w:w="2112" w:type="dxa"/>
                </w:tcPr>
                <w:p w14:paraId="3E200427" w14:textId="77777777" w:rsidR="007E38AB" w:rsidRPr="00555117" w:rsidRDefault="007E38AB" w:rsidP="007C72DF">
                  <w:pPr>
                    <w:rPr>
                      <w:rFonts w:ascii="Times New Roman" w:hAnsi="Times New Roman" w:cs="Times New Roman"/>
                    </w:rPr>
                  </w:pPr>
                </w:p>
              </w:tc>
              <w:tc>
                <w:tcPr>
                  <w:tcW w:w="2112" w:type="dxa"/>
                </w:tcPr>
                <w:p w14:paraId="3E200428"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Reliable Power</w:t>
                  </w:r>
                </w:p>
              </w:tc>
              <w:tc>
                <w:tcPr>
                  <w:tcW w:w="1408" w:type="dxa"/>
                </w:tcPr>
                <w:p w14:paraId="3E200429"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7.43</w:t>
                  </w:r>
                </w:p>
              </w:tc>
              <w:tc>
                <w:tcPr>
                  <w:tcW w:w="1056" w:type="dxa"/>
                </w:tcPr>
                <w:p w14:paraId="3E20042A"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7.35</w:t>
                  </w:r>
                </w:p>
              </w:tc>
              <w:tc>
                <w:tcPr>
                  <w:tcW w:w="1232" w:type="dxa"/>
                </w:tcPr>
                <w:p w14:paraId="3E20042B"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-0.08</w:t>
                  </w:r>
                </w:p>
              </w:tc>
            </w:tr>
            <w:tr w:rsidR="007E38AB" w:rsidRPr="00555117" w14:paraId="3E200432" w14:textId="77777777">
              <w:tc>
                <w:tcPr>
                  <w:tcW w:w="2112" w:type="dxa"/>
                </w:tcPr>
                <w:p w14:paraId="3E20042D" w14:textId="77777777" w:rsidR="007E38AB" w:rsidRPr="00555117" w:rsidRDefault="007E38AB" w:rsidP="007C72DF">
                  <w:pPr>
                    <w:rPr>
                      <w:rFonts w:ascii="Times New Roman" w:hAnsi="Times New Roman" w:cs="Times New Roman"/>
                    </w:rPr>
                  </w:pPr>
                </w:p>
              </w:tc>
              <w:tc>
                <w:tcPr>
                  <w:tcW w:w="2112" w:type="dxa"/>
                </w:tcPr>
                <w:p w14:paraId="3E20042E"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Energy Independence</w:t>
                  </w:r>
                </w:p>
              </w:tc>
              <w:tc>
                <w:tcPr>
                  <w:tcW w:w="1408" w:type="dxa"/>
                </w:tcPr>
                <w:p w14:paraId="3E20042F"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7.55</w:t>
                  </w:r>
                </w:p>
              </w:tc>
              <w:tc>
                <w:tcPr>
                  <w:tcW w:w="1056" w:type="dxa"/>
                </w:tcPr>
                <w:p w14:paraId="3E200430"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7.36</w:t>
                  </w:r>
                </w:p>
              </w:tc>
              <w:tc>
                <w:tcPr>
                  <w:tcW w:w="1232" w:type="dxa"/>
                </w:tcPr>
                <w:p w14:paraId="3E200431"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-0.19**</w:t>
                  </w:r>
                </w:p>
              </w:tc>
            </w:tr>
            <w:tr w:rsidR="007E38AB" w:rsidRPr="00555117" w14:paraId="3E200438" w14:textId="77777777">
              <w:tc>
                <w:tcPr>
                  <w:tcW w:w="2112" w:type="dxa"/>
                </w:tcPr>
                <w:p w14:paraId="3E200433" w14:textId="77777777" w:rsidR="007E38AB" w:rsidRPr="00555117" w:rsidRDefault="007E38AB" w:rsidP="007C72DF">
                  <w:pPr>
                    <w:rPr>
                      <w:rFonts w:ascii="Times New Roman" w:hAnsi="Times New Roman" w:cs="Times New Roman"/>
                    </w:rPr>
                  </w:pPr>
                </w:p>
              </w:tc>
              <w:tc>
                <w:tcPr>
                  <w:tcW w:w="2112" w:type="dxa"/>
                </w:tcPr>
                <w:p w14:paraId="3E200434"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Reduced Environmental Damage</w:t>
                  </w:r>
                </w:p>
              </w:tc>
              <w:tc>
                <w:tcPr>
                  <w:tcW w:w="1408" w:type="dxa"/>
                </w:tcPr>
                <w:p w14:paraId="3E200435"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7.29</w:t>
                  </w:r>
                </w:p>
              </w:tc>
              <w:tc>
                <w:tcPr>
                  <w:tcW w:w="1056" w:type="dxa"/>
                </w:tcPr>
                <w:p w14:paraId="3E200436"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7.27</w:t>
                  </w:r>
                </w:p>
              </w:tc>
              <w:tc>
                <w:tcPr>
                  <w:tcW w:w="1232" w:type="dxa"/>
                </w:tcPr>
                <w:p w14:paraId="3E200437"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-0.02</w:t>
                  </w:r>
                </w:p>
              </w:tc>
            </w:tr>
            <w:tr w:rsidR="007E38AB" w:rsidRPr="00555117" w14:paraId="3E20043E" w14:textId="77777777">
              <w:tc>
                <w:tcPr>
                  <w:tcW w:w="2112" w:type="dxa"/>
                </w:tcPr>
                <w:p w14:paraId="3E200439" w14:textId="77777777" w:rsidR="007E38AB" w:rsidRPr="00555117" w:rsidRDefault="007E38AB" w:rsidP="007C72DF">
                  <w:pPr>
                    <w:rPr>
                      <w:rFonts w:ascii="Times New Roman" w:hAnsi="Times New Roman" w:cs="Times New Roman"/>
                    </w:rPr>
                  </w:pPr>
                </w:p>
              </w:tc>
              <w:tc>
                <w:tcPr>
                  <w:tcW w:w="2112" w:type="dxa"/>
                </w:tcPr>
                <w:p w14:paraId="3E20043A" w14:textId="77777777" w:rsidR="007E38AB" w:rsidRPr="00555117" w:rsidRDefault="00000000" w:rsidP="007C72DF">
                  <w:pPr>
                    <w:rPr>
                      <w:rFonts w:ascii="Times New Roman" w:hAnsi="Times New Roman" w:cs="Times New Roman"/>
                    </w:rPr>
                  </w:pPr>
                  <w:r w:rsidRPr="00555117">
                    <w:rPr>
                      <w:rFonts w:ascii="Times New Roman" w:hAnsi="Times New Roman" w:cs="Times New Roman"/>
                      <w:b/>
                      <w:bCs/>
                    </w:rPr>
                    <w:t>All Items</w:t>
                  </w:r>
                </w:p>
              </w:tc>
              <w:tc>
                <w:tcPr>
                  <w:tcW w:w="1408" w:type="dxa"/>
                </w:tcPr>
                <w:p w14:paraId="3E20043B"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7.42</w:t>
                  </w:r>
                </w:p>
              </w:tc>
              <w:tc>
                <w:tcPr>
                  <w:tcW w:w="1056" w:type="dxa"/>
                </w:tcPr>
                <w:p w14:paraId="3E20043C"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7.29</w:t>
                  </w:r>
                </w:p>
              </w:tc>
              <w:tc>
                <w:tcPr>
                  <w:tcW w:w="1232" w:type="dxa"/>
                </w:tcPr>
                <w:p w14:paraId="3E20043D"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-0.13*</w:t>
                  </w:r>
                </w:p>
              </w:tc>
            </w:tr>
            <w:bookmarkEnd w:id="32"/>
          </w:tbl>
          <w:p w14:paraId="3E20043F" w14:textId="77777777" w:rsidR="007E38AB" w:rsidRPr="00555117" w:rsidRDefault="007E38AB">
            <w:pPr>
              <w:rPr>
                <w:rFonts w:ascii="Times New Roman" w:hAnsi="Times New Roman" w:cs="Times New Roman"/>
              </w:rPr>
            </w:pPr>
          </w:p>
        </w:tc>
      </w:tr>
    </w:tbl>
    <w:p w14:paraId="3E200441" w14:textId="688916F0" w:rsidR="007E38AB" w:rsidRPr="00555117" w:rsidRDefault="00000000">
      <w:pPr>
        <w:rPr>
          <w:rFonts w:ascii="Times New Roman" w:hAnsi="Times New Roman" w:cs="Times New Roman"/>
        </w:rPr>
      </w:pPr>
      <w:r w:rsidRPr="00555117">
        <w:rPr>
          <w:rFonts w:ascii="Times New Roman" w:hAnsi="Times New Roman" w:cs="Times New Roman"/>
        </w:rPr>
        <w:lastRenderedPageBreak/>
        <w:t xml:space="preserve">As shown in </w:t>
      </w:r>
      <w:hyperlink w:anchor="tbl-dims">
        <w:r w:rsidRPr="00555117">
          <w:rPr>
            <w:rFonts w:ascii="Times New Roman" w:hAnsi="Times New Roman" w:cs="Times New Roman"/>
          </w:rPr>
          <w:t>Table 4.1</w:t>
        </w:r>
      </w:hyperlink>
      <w:r w:rsidRPr="00555117">
        <w:rPr>
          <w:rFonts w:ascii="Times New Roman" w:hAnsi="Times New Roman" w:cs="Times New Roman"/>
        </w:rPr>
        <w:t xml:space="preserve"> and consistent with </w:t>
      </w:r>
      <w:hyperlink w:anchor="fig-rbGraph">
        <w:r w:rsidRPr="00555117">
          <w:rPr>
            <w:rFonts w:ascii="Times New Roman" w:hAnsi="Times New Roman" w:cs="Times New Roman"/>
          </w:rPr>
          <w:t>Figure 4.2</w:t>
        </w:r>
      </w:hyperlink>
      <w:r w:rsidRPr="00555117">
        <w:rPr>
          <w:rFonts w:ascii="Times New Roman" w:hAnsi="Times New Roman" w:cs="Times New Roman"/>
        </w:rPr>
        <w:t xml:space="preserve">, the mean of each risk measure increased significantly following Fukushima. Additionally, the mean of the scale combining the risk measures increased. For the benefit measures, </w:t>
      </w:r>
      <w:r w:rsidRPr="00555117">
        <w:rPr>
          <w:rFonts w:ascii="Times New Roman" w:hAnsi="Times New Roman" w:cs="Times New Roman"/>
          <w:i/>
          <w:iCs/>
        </w:rPr>
        <w:t>no greenhouse gases</w:t>
      </w:r>
      <w:r w:rsidRPr="00555117">
        <w:rPr>
          <w:rFonts w:ascii="Times New Roman" w:hAnsi="Times New Roman" w:cs="Times New Roman"/>
        </w:rPr>
        <w:t xml:space="preserve"> and </w:t>
      </w:r>
      <w:r w:rsidRPr="00555117">
        <w:rPr>
          <w:rFonts w:ascii="Times New Roman" w:hAnsi="Times New Roman" w:cs="Times New Roman"/>
          <w:i/>
          <w:iCs/>
        </w:rPr>
        <w:t>energy independence</w:t>
      </w:r>
      <w:r w:rsidRPr="00555117">
        <w:rPr>
          <w:rFonts w:ascii="Times New Roman" w:hAnsi="Times New Roman" w:cs="Times New Roman"/>
        </w:rPr>
        <w:t xml:space="preserve"> were significantly lower on average after Fukushima; however, there were no significant differences in the </w:t>
      </w:r>
      <w:r w:rsidRPr="00555117">
        <w:rPr>
          <w:rFonts w:ascii="Times New Roman" w:hAnsi="Times New Roman" w:cs="Times New Roman"/>
          <w:i/>
          <w:iCs/>
        </w:rPr>
        <w:t>reliable power</w:t>
      </w:r>
      <w:r w:rsidRPr="00555117">
        <w:rPr>
          <w:rFonts w:ascii="Times New Roman" w:hAnsi="Times New Roman" w:cs="Times New Roman"/>
        </w:rPr>
        <w:t xml:space="preserve"> and </w:t>
      </w:r>
      <w:r w:rsidRPr="00555117">
        <w:rPr>
          <w:rFonts w:ascii="Times New Roman" w:hAnsi="Times New Roman" w:cs="Times New Roman"/>
          <w:i/>
          <w:iCs/>
        </w:rPr>
        <w:t>reduced environmental damage</w:t>
      </w:r>
      <w:r w:rsidRPr="00555117">
        <w:rPr>
          <w:rFonts w:ascii="Times New Roman" w:hAnsi="Times New Roman" w:cs="Times New Roman"/>
        </w:rPr>
        <w:t xml:space="preserve"> measures. Finally, the difference between the pre- and post-Fukushima combined benefits scale was significant, with the benefits of nuclear energy rated lower following Fukushima.</w:t>
      </w:r>
    </w:p>
    <w:p w14:paraId="3E200442" w14:textId="77777777" w:rsidR="007E38AB" w:rsidRPr="00555117" w:rsidRDefault="00000000">
      <w:pPr>
        <w:rPr>
          <w:rFonts w:ascii="Times New Roman" w:hAnsi="Times New Roman" w:cs="Times New Roman"/>
        </w:rPr>
      </w:pPr>
      <w:r w:rsidRPr="00555117">
        <w:rPr>
          <w:rFonts w:ascii="Times New Roman" w:hAnsi="Times New Roman" w:cs="Times New Roman"/>
        </w:rPr>
        <w:t>Also of note is that the average of the benefit measures had a significantly higher mean than the average of the risk measures both pre- and post-Fukushima. Pre-Fukushima, the average of the risk measures was 5.507, and the average of the benefit measures was 7.419, and the difference was statistically significant [</w:t>
      </w:r>
      <w:r w:rsidRPr="00555117">
        <w:rPr>
          <w:rFonts w:ascii="Times New Roman" w:hAnsi="Times New Roman" w:cs="Times New Roman"/>
          <w:i/>
          <w:iCs/>
        </w:rPr>
        <w:t>t</w:t>
      </w:r>
      <w:r w:rsidRPr="00555117">
        <w:rPr>
          <w:rFonts w:ascii="Times New Roman" w:hAnsi="Times New Roman" w:cs="Times New Roman"/>
        </w:rPr>
        <w:t xml:space="preserve"> = -24.17, </w:t>
      </w:r>
      <w:r w:rsidRPr="00555117">
        <w:rPr>
          <w:rFonts w:ascii="Times New Roman" w:hAnsi="Times New Roman" w:cs="Times New Roman"/>
          <w:i/>
          <w:iCs/>
        </w:rPr>
        <w:t>p</w:t>
      </w:r>
      <w:r w:rsidRPr="00555117">
        <w:rPr>
          <w:rFonts w:ascii="Times New Roman" w:hAnsi="Times New Roman" w:cs="Times New Roman"/>
        </w:rPr>
        <w:t>&lt;0.001]. Following Fukushima, the mean of the risk measures was 6.215, the mean of the benefit measures was 7.291, and the difference was significant [</w:t>
      </w:r>
      <w:r w:rsidRPr="00555117">
        <w:rPr>
          <w:rFonts w:ascii="Times New Roman" w:hAnsi="Times New Roman" w:cs="Times New Roman"/>
          <w:i/>
          <w:iCs/>
        </w:rPr>
        <w:t>t</w:t>
      </w:r>
      <w:r w:rsidRPr="00555117">
        <w:rPr>
          <w:rFonts w:ascii="Times New Roman" w:hAnsi="Times New Roman" w:cs="Times New Roman"/>
        </w:rPr>
        <w:t xml:space="preserve"> = -18.99, </w:t>
      </w:r>
      <w:r w:rsidRPr="00555117">
        <w:rPr>
          <w:rFonts w:ascii="Times New Roman" w:hAnsi="Times New Roman" w:cs="Times New Roman"/>
          <w:i/>
          <w:iCs/>
        </w:rPr>
        <w:t>p</w:t>
      </w:r>
      <w:r w:rsidRPr="00555117">
        <w:rPr>
          <w:rFonts w:ascii="Times New Roman" w:hAnsi="Times New Roman" w:cs="Times New Roman"/>
        </w:rPr>
        <w:t>&lt;0.001].</w:t>
      </w:r>
    </w:p>
    <w:p w14:paraId="3E200443" w14:textId="6FD7F862" w:rsidR="007E38AB" w:rsidRPr="00555117" w:rsidRDefault="00000000">
      <w:pPr>
        <w:rPr>
          <w:rFonts w:ascii="Times New Roman" w:hAnsi="Times New Roman" w:cs="Times New Roman"/>
        </w:rPr>
      </w:pPr>
      <w:r w:rsidRPr="00555117">
        <w:rPr>
          <w:rFonts w:ascii="Times New Roman" w:hAnsi="Times New Roman" w:cs="Times New Roman"/>
        </w:rPr>
        <w:t xml:space="preserve">Next, we conduct an OLS regression analysis to examine the influence of political ideology and the Fukushima accident on the issue definition of nuclear energy, specifically the perceived risks and benefits. Then, we explore the impacts of ideology, Fukushima, and the risks and benefits of nuclear energy on support for more nuclear power plants. Note that we also control for demographics, including age, gender (male=1), and race (white=1). The results are shown in </w:t>
      </w:r>
      <w:hyperlink w:anchor="tbl-results">
        <w:r w:rsidRPr="00555117">
          <w:rPr>
            <w:rFonts w:ascii="Times New Roman" w:hAnsi="Times New Roman" w:cs="Times New Roman"/>
          </w:rPr>
          <w:t>Table 4.2</w:t>
        </w:r>
      </w:hyperlink>
      <w:r w:rsidRPr="00555117">
        <w:rPr>
          <w:rFonts w:ascii="Times New Roman" w:hAnsi="Times New Roman" w:cs="Times New Roman"/>
        </w:rPr>
        <w:t>.</w:t>
      </w:r>
    </w:p>
    <w:tbl>
      <w:tblPr>
        <w:tblW w:w="5000" w:type="pct"/>
        <w:tblLayout w:type="fixed"/>
        <w:tblLook w:val="0000" w:firstRow="0" w:lastRow="0" w:firstColumn="0" w:lastColumn="0" w:noHBand="0" w:noVBand="0"/>
      </w:tblPr>
      <w:tblGrid>
        <w:gridCol w:w="9360"/>
      </w:tblGrid>
      <w:tr w:rsidR="007E38AB" w:rsidRPr="00555117" w14:paraId="3E20049D" w14:textId="77777777">
        <w:tc>
          <w:tcPr>
            <w:tcW w:w="7920" w:type="dxa"/>
          </w:tcPr>
          <w:p w14:paraId="3E200444" w14:textId="77777777" w:rsidR="007E38AB" w:rsidRPr="00555117" w:rsidRDefault="00000000">
            <w:pPr>
              <w:spacing w:before="200"/>
              <w:rPr>
                <w:rFonts w:ascii="Times New Roman" w:hAnsi="Times New Roman" w:cs="Times New Roman"/>
              </w:rPr>
            </w:pPr>
            <w:bookmarkStart w:id="33" w:name="tbl-results"/>
            <w:r w:rsidRPr="00555117">
              <w:rPr>
                <w:rFonts w:ascii="Times New Roman" w:hAnsi="Times New Roman" w:cs="Times New Roman"/>
              </w:rPr>
              <w:t>Table 4.2: OLS Analysis of Political Ideology, Fukushima, Nuclear Energy Risks and Benefits, and Support for More Plants</w:t>
            </w:r>
          </w:p>
          <w:tbl>
            <w:tblPr>
              <w:tblW w:w="4722" w:type="pct"/>
              <w:tblLayout w:type="fixed"/>
              <w:tblLook w:val="0060" w:firstRow="1" w:lastRow="1" w:firstColumn="0" w:lastColumn="0" w:noHBand="0" w:noVBand="0"/>
            </w:tblPr>
            <w:tblGrid>
              <w:gridCol w:w="3937"/>
              <w:gridCol w:w="1524"/>
              <w:gridCol w:w="1397"/>
              <w:gridCol w:w="1778"/>
            </w:tblGrid>
            <w:tr w:rsidR="007E38AB" w:rsidRPr="00555117" w14:paraId="3E200449" w14:textId="77777777">
              <w:trPr>
                <w:tblHeader/>
              </w:trPr>
              <w:tc>
                <w:tcPr>
                  <w:tcW w:w="3410" w:type="dxa"/>
                </w:tcPr>
                <w:p w14:paraId="3E200445" w14:textId="77777777" w:rsidR="007E38AB" w:rsidRPr="00555117" w:rsidRDefault="007E38AB">
                  <w:pPr>
                    <w:rPr>
                      <w:rFonts w:ascii="Times New Roman" w:hAnsi="Times New Roman" w:cs="Times New Roman"/>
                    </w:rPr>
                  </w:pPr>
                </w:p>
              </w:tc>
              <w:tc>
                <w:tcPr>
                  <w:tcW w:w="1320" w:type="dxa"/>
                </w:tcPr>
                <w:p w14:paraId="3E200446"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Risks</w:t>
                  </w:r>
                </w:p>
              </w:tc>
              <w:tc>
                <w:tcPr>
                  <w:tcW w:w="1210" w:type="dxa"/>
                </w:tcPr>
                <w:p w14:paraId="3E200447"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Benefits</w:t>
                  </w:r>
                </w:p>
              </w:tc>
              <w:tc>
                <w:tcPr>
                  <w:tcW w:w="1540" w:type="dxa"/>
                </w:tcPr>
                <w:p w14:paraId="3E200448"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More Plants</w:t>
                  </w:r>
                </w:p>
              </w:tc>
            </w:tr>
            <w:tr w:rsidR="007E38AB" w:rsidRPr="00555117" w14:paraId="3E20044E" w14:textId="77777777">
              <w:tc>
                <w:tcPr>
                  <w:tcW w:w="3410" w:type="dxa"/>
                </w:tcPr>
                <w:p w14:paraId="3E20044A"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Ideology (more conservative)</w:t>
                  </w:r>
                </w:p>
              </w:tc>
              <w:tc>
                <w:tcPr>
                  <w:tcW w:w="1320" w:type="dxa"/>
                </w:tcPr>
                <w:p w14:paraId="3E20044B"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-0.160***</w:t>
                  </w:r>
                </w:p>
              </w:tc>
              <w:tc>
                <w:tcPr>
                  <w:tcW w:w="1210" w:type="dxa"/>
                </w:tcPr>
                <w:p w14:paraId="3E20044C"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0.084***</w:t>
                  </w:r>
                </w:p>
              </w:tc>
              <w:tc>
                <w:tcPr>
                  <w:tcW w:w="1540" w:type="dxa"/>
                </w:tcPr>
                <w:p w14:paraId="3E20044D"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0.127***</w:t>
                  </w:r>
                </w:p>
              </w:tc>
            </w:tr>
            <w:tr w:rsidR="007E38AB" w:rsidRPr="00555117" w14:paraId="3E200453" w14:textId="77777777">
              <w:tc>
                <w:tcPr>
                  <w:tcW w:w="3410" w:type="dxa"/>
                </w:tcPr>
                <w:p w14:paraId="3E20044F" w14:textId="77777777" w:rsidR="007E38AB" w:rsidRPr="00555117" w:rsidRDefault="007E38AB" w:rsidP="007C72DF">
                  <w:pPr>
                    <w:rPr>
                      <w:rFonts w:ascii="Times New Roman" w:hAnsi="Times New Roman" w:cs="Times New Roman"/>
                    </w:rPr>
                  </w:pPr>
                </w:p>
              </w:tc>
              <w:tc>
                <w:tcPr>
                  <w:tcW w:w="1320" w:type="dxa"/>
                </w:tcPr>
                <w:p w14:paraId="3E200450"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(0.020)</w:t>
                  </w:r>
                </w:p>
              </w:tc>
              <w:tc>
                <w:tcPr>
                  <w:tcW w:w="1210" w:type="dxa"/>
                </w:tcPr>
                <w:p w14:paraId="3E200451"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(0.016)</w:t>
                  </w:r>
                </w:p>
              </w:tc>
              <w:tc>
                <w:tcPr>
                  <w:tcW w:w="1540" w:type="dxa"/>
                </w:tcPr>
                <w:p w14:paraId="3E200452"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(0.011)</w:t>
                  </w:r>
                </w:p>
              </w:tc>
            </w:tr>
            <w:tr w:rsidR="007E38AB" w:rsidRPr="00555117" w14:paraId="3E200458" w14:textId="77777777">
              <w:tc>
                <w:tcPr>
                  <w:tcW w:w="3410" w:type="dxa"/>
                </w:tcPr>
                <w:p w14:paraId="3E200454"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Fukushima</w:t>
                  </w:r>
                </w:p>
              </w:tc>
              <w:tc>
                <w:tcPr>
                  <w:tcW w:w="1320" w:type="dxa"/>
                </w:tcPr>
                <w:p w14:paraId="3E200455"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0.709***</w:t>
                  </w:r>
                </w:p>
              </w:tc>
              <w:tc>
                <w:tcPr>
                  <w:tcW w:w="1210" w:type="dxa"/>
                </w:tcPr>
                <w:p w14:paraId="3E200456"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-0.137*</w:t>
                  </w:r>
                </w:p>
              </w:tc>
              <w:tc>
                <w:tcPr>
                  <w:tcW w:w="1540" w:type="dxa"/>
                </w:tcPr>
                <w:p w14:paraId="3E200457"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-0.113**</w:t>
                  </w:r>
                </w:p>
              </w:tc>
            </w:tr>
            <w:tr w:rsidR="007E38AB" w:rsidRPr="00555117" w14:paraId="3E20045D" w14:textId="77777777">
              <w:tc>
                <w:tcPr>
                  <w:tcW w:w="3410" w:type="dxa"/>
                </w:tcPr>
                <w:p w14:paraId="3E200459" w14:textId="77777777" w:rsidR="007E38AB" w:rsidRPr="00555117" w:rsidRDefault="007E38AB">
                  <w:pPr>
                    <w:rPr>
                      <w:rFonts w:ascii="Times New Roman" w:hAnsi="Times New Roman" w:cs="Times New Roman"/>
                    </w:rPr>
                  </w:pPr>
                </w:p>
              </w:tc>
              <w:tc>
                <w:tcPr>
                  <w:tcW w:w="1320" w:type="dxa"/>
                </w:tcPr>
                <w:p w14:paraId="3E20045A"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(0.075)</w:t>
                  </w:r>
                </w:p>
              </w:tc>
              <w:tc>
                <w:tcPr>
                  <w:tcW w:w="1210" w:type="dxa"/>
                </w:tcPr>
                <w:p w14:paraId="3E20045B"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(0.062)</w:t>
                  </w:r>
                </w:p>
              </w:tc>
              <w:tc>
                <w:tcPr>
                  <w:tcW w:w="1540" w:type="dxa"/>
                </w:tcPr>
                <w:p w14:paraId="3E20045C"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(0.040)</w:t>
                  </w:r>
                </w:p>
              </w:tc>
            </w:tr>
            <w:tr w:rsidR="007E38AB" w:rsidRPr="00555117" w14:paraId="3E200462" w14:textId="77777777">
              <w:tc>
                <w:tcPr>
                  <w:tcW w:w="3410" w:type="dxa"/>
                </w:tcPr>
                <w:p w14:paraId="3E20045E"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Benefits</w:t>
                  </w:r>
                </w:p>
              </w:tc>
              <w:tc>
                <w:tcPr>
                  <w:tcW w:w="1320" w:type="dxa"/>
                </w:tcPr>
                <w:p w14:paraId="3E20045F"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0.028+</w:t>
                  </w:r>
                </w:p>
              </w:tc>
              <w:tc>
                <w:tcPr>
                  <w:tcW w:w="1210" w:type="dxa"/>
                </w:tcPr>
                <w:p w14:paraId="3E200460" w14:textId="77777777" w:rsidR="007E38AB" w:rsidRPr="00555117" w:rsidRDefault="007E38AB">
                  <w:pPr>
                    <w:rPr>
                      <w:rFonts w:ascii="Times New Roman" w:hAnsi="Times New Roman" w:cs="Times New Roman"/>
                    </w:rPr>
                  </w:pPr>
                </w:p>
              </w:tc>
              <w:tc>
                <w:tcPr>
                  <w:tcW w:w="1540" w:type="dxa"/>
                </w:tcPr>
                <w:p w14:paraId="3E200461"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0.379***</w:t>
                  </w:r>
                </w:p>
              </w:tc>
            </w:tr>
            <w:tr w:rsidR="007E38AB" w:rsidRPr="00555117" w14:paraId="3E200467" w14:textId="77777777">
              <w:tc>
                <w:tcPr>
                  <w:tcW w:w="3410" w:type="dxa"/>
                </w:tcPr>
                <w:p w14:paraId="3E200463" w14:textId="77777777" w:rsidR="007E38AB" w:rsidRPr="00555117" w:rsidRDefault="007E38AB" w:rsidP="007C72DF">
                  <w:pPr>
                    <w:rPr>
                      <w:rFonts w:ascii="Times New Roman" w:hAnsi="Times New Roman" w:cs="Times New Roman"/>
                    </w:rPr>
                  </w:pPr>
                </w:p>
              </w:tc>
              <w:tc>
                <w:tcPr>
                  <w:tcW w:w="1320" w:type="dxa"/>
                </w:tcPr>
                <w:p w14:paraId="3E200464"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(0.017)</w:t>
                  </w:r>
                </w:p>
              </w:tc>
              <w:tc>
                <w:tcPr>
                  <w:tcW w:w="1210" w:type="dxa"/>
                </w:tcPr>
                <w:p w14:paraId="3E200465" w14:textId="77777777" w:rsidR="007E38AB" w:rsidRPr="00555117" w:rsidRDefault="007E38AB">
                  <w:pPr>
                    <w:rPr>
                      <w:rFonts w:ascii="Times New Roman" w:hAnsi="Times New Roman" w:cs="Times New Roman"/>
                    </w:rPr>
                  </w:pPr>
                </w:p>
              </w:tc>
              <w:tc>
                <w:tcPr>
                  <w:tcW w:w="1540" w:type="dxa"/>
                </w:tcPr>
                <w:p w14:paraId="3E200466"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(0.009)</w:t>
                  </w:r>
                </w:p>
              </w:tc>
            </w:tr>
            <w:tr w:rsidR="007E38AB" w:rsidRPr="00555117" w14:paraId="3E20046C" w14:textId="77777777">
              <w:tc>
                <w:tcPr>
                  <w:tcW w:w="3410" w:type="dxa"/>
                </w:tcPr>
                <w:p w14:paraId="3E200468"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Risks</w:t>
                  </w:r>
                </w:p>
              </w:tc>
              <w:tc>
                <w:tcPr>
                  <w:tcW w:w="1320" w:type="dxa"/>
                </w:tcPr>
                <w:p w14:paraId="3E200469" w14:textId="77777777" w:rsidR="007E38AB" w:rsidRPr="00555117" w:rsidRDefault="007E38AB">
                  <w:pPr>
                    <w:rPr>
                      <w:rFonts w:ascii="Times New Roman" w:hAnsi="Times New Roman" w:cs="Times New Roman"/>
                    </w:rPr>
                  </w:pPr>
                </w:p>
              </w:tc>
              <w:tc>
                <w:tcPr>
                  <w:tcW w:w="1210" w:type="dxa"/>
                </w:tcPr>
                <w:p w14:paraId="3E20046A"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0.019+</w:t>
                  </w:r>
                </w:p>
              </w:tc>
              <w:tc>
                <w:tcPr>
                  <w:tcW w:w="1540" w:type="dxa"/>
                </w:tcPr>
                <w:p w14:paraId="3E20046B"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-0.186***</w:t>
                  </w:r>
                </w:p>
              </w:tc>
            </w:tr>
            <w:tr w:rsidR="007E38AB" w:rsidRPr="00555117" w14:paraId="3E200471" w14:textId="77777777">
              <w:tc>
                <w:tcPr>
                  <w:tcW w:w="3410" w:type="dxa"/>
                </w:tcPr>
                <w:p w14:paraId="3E20046D" w14:textId="77777777" w:rsidR="007E38AB" w:rsidRPr="00555117" w:rsidRDefault="007E38AB" w:rsidP="007C72DF">
                  <w:pPr>
                    <w:rPr>
                      <w:rFonts w:ascii="Times New Roman" w:hAnsi="Times New Roman" w:cs="Times New Roman"/>
                    </w:rPr>
                  </w:pPr>
                </w:p>
              </w:tc>
              <w:tc>
                <w:tcPr>
                  <w:tcW w:w="1320" w:type="dxa"/>
                </w:tcPr>
                <w:p w14:paraId="3E20046E" w14:textId="77777777" w:rsidR="007E38AB" w:rsidRPr="00555117" w:rsidRDefault="007E38AB">
                  <w:pPr>
                    <w:rPr>
                      <w:rFonts w:ascii="Times New Roman" w:hAnsi="Times New Roman" w:cs="Times New Roman"/>
                    </w:rPr>
                  </w:pPr>
                </w:p>
              </w:tc>
              <w:tc>
                <w:tcPr>
                  <w:tcW w:w="1210" w:type="dxa"/>
                </w:tcPr>
                <w:p w14:paraId="3E20046F"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(0.011)</w:t>
                  </w:r>
                </w:p>
              </w:tc>
              <w:tc>
                <w:tcPr>
                  <w:tcW w:w="1540" w:type="dxa"/>
                </w:tcPr>
                <w:p w14:paraId="3E200470"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(0.007)</w:t>
                  </w:r>
                </w:p>
              </w:tc>
            </w:tr>
            <w:tr w:rsidR="007E38AB" w:rsidRPr="00555117" w14:paraId="3E200476" w14:textId="77777777">
              <w:tc>
                <w:tcPr>
                  <w:tcW w:w="3410" w:type="dxa"/>
                </w:tcPr>
                <w:p w14:paraId="3E200472"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Age</w:t>
                  </w:r>
                </w:p>
              </w:tc>
              <w:tc>
                <w:tcPr>
                  <w:tcW w:w="1320" w:type="dxa"/>
                </w:tcPr>
                <w:p w14:paraId="3E200473"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-0.036***</w:t>
                  </w:r>
                </w:p>
              </w:tc>
              <w:tc>
                <w:tcPr>
                  <w:tcW w:w="1210" w:type="dxa"/>
                </w:tcPr>
                <w:p w14:paraId="3E200474"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-0.004*</w:t>
                  </w:r>
                </w:p>
              </w:tc>
              <w:tc>
                <w:tcPr>
                  <w:tcW w:w="1540" w:type="dxa"/>
                </w:tcPr>
                <w:p w14:paraId="3E200475"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-0.009***</w:t>
                  </w:r>
                </w:p>
              </w:tc>
            </w:tr>
            <w:tr w:rsidR="007E38AB" w:rsidRPr="00555117" w14:paraId="3E20047B" w14:textId="77777777">
              <w:tc>
                <w:tcPr>
                  <w:tcW w:w="3410" w:type="dxa"/>
                </w:tcPr>
                <w:p w14:paraId="3E200477" w14:textId="77777777" w:rsidR="007E38AB" w:rsidRPr="00555117" w:rsidRDefault="007E38AB" w:rsidP="007C72DF">
                  <w:pPr>
                    <w:rPr>
                      <w:rFonts w:ascii="Times New Roman" w:hAnsi="Times New Roman" w:cs="Times New Roman"/>
                    </w:rPr>
                  </w:pPr>
                </w:p>
              </w:tc>
              <w:tc>
                <w:tcPr>
                  <w:tcW w:w="1320" w:type="dxa"/>
                </w:tcPr>
                <w:p w14:paraId="3E200478"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(0.002)</w:t>
                  </w:r>
                </w:p>
              </w:tc>
              <w:tc>
                <w:tcPr>
                  <w:tcW w:w="1210" w:type="dxa"/>
                </w:tcPr>
                <w:p w14:paraId="3E200479"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(0.002)</w:t>
                  </w:r>
                </w:p>
              </w:tc>
              <w:tc>
                <w:tcPr>
                  <w:tcW w:w="1540" w:type="dxa"/>
                </w:tcPr>
                <w:p w14:paraId="3E20047A"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(0.001)</w:t>
                  </w:r>
                </w:p>
              </w:tc>
            </w:tr>
            <w:tr w:rsidR="007E38AB" w:rsidRPr="00555117" w14:paraId="3E200480" w14:textId="77777777">
              <w:tc>
                <w:tcPr>
                  <w:tcW w:w="3410" w:type="dxa"/>
                </w:tcPr>
                <w:p w14:paraId="3E20047C"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Gender (male=1)</w:t>
                  </w:r>
                </w:p>
              </w:tc>
              <w:tc>
                <w:tcPr>
                  <w:tcW w:w="1320" w:type="dxa"/>
                </w:tcPr>
                <w:p w14:paraId="3E20047D"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-0.829***</w:t>
                  </w:r>
                </w:p>
              </w:tc>
              <w:tc>
                <w:tcPr>
                  <w:tcW w:w="1210" w:type="dxa"/>
                </w:tcPr>
                <w:p w14:paraId="3E20047E"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0.493***</w:t>
                  </w:r>
                </w:p>
              </w:tc>
              <w:tc>
                <w:tcPr>
                  <w:tcW w:w="1540" w:type="dxa"/>
                </w:tcPr>
                <w:p w14:paraId="3E20047F"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0.693***</w:t>
                  </w:r>
                </w:p>
              </w:tc>
            </w:tr>
            <w:tr w:rsidR="007E38AB" w:rsidRPr="00555117" w14:paraId="3E200485" w14:textId="77777777">
              <w:tc>
                <w:tcPr>
                  <w:tcW w:w="3410" w:type="dxa"/>
                </w:tcPr>
                <w:p w14:paraId="3E200481" w14:textId="77777777" w:rsidR="007E38AB" w:rsidRPr="00555117" w:rsidRDefault="007E38AB" w:rsidP="007C72DF">
                  <w:pPr>
                    <w:rPr>
                      <w:rFonts w:ascii="Times New Roman" w:hAnsi="Times New Roman" w:cs="Times New Roman"/>
                    </w:rPr>
                  </w:pPr>
                </w:p>
              </w:tc>
              <w:tc>
                <w:tcPr>
                  <w:tcW w:w="1320" w:type="dxa"/>
                </w:tcPr>
                <w:p w14:paraId="3E200482"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(0.072)</w:t>
                  </w:r>
                </w:p>
              </w:tc>
              <w:tc>
                <w:tcPr>
                  <w:tcW w:w="1210" w:type="dxa"/>
                </w:tcPr>
                <w:p w14:paraId="3E200483"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(0.060)</w:t>
                  </w:r>
                </w:p>
              </w:tc>
              <w:tc>
                <w:tcPr>
                  <w:tcW w:w="1540" w:type="dxa"/>
                </w:tcPr>
                <w:p w14:paraId="3E200484"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(0.039)</w:t>
                  </w:r>
                </w:p>
              </w:tc>
            </w:tr>
            <w:tr w:rsidR="007E38AB" w:rsidRPr="00555117" w14:paraId="3E20048A" w14:textId="77777777">
              <w:tc>
                <w:tcPr>
                  <w:tcW w:w="3410" w:type="dxa"/>
                </w:tcPr>
                <w:p w14:paraId="3E200486"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Race (white=1)</w:t>
                  </w:r>
                </w:p>
              </w:tc>
              <w:tc>
                <w:tcPr>
                  <w:tcW w:w="1320" w:type="dxa"/>
                </w:tcPr>
                <w:p w14:paraId="3E200487"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-0.341***</w:t>
                  </w:r>
                </w:p>
              </w:tc>
              <w:tc>
                <w:tcPr>
                  <w:tcW w:w="1210" w:type="dxa"/>
                </w:tcPr>
                <w:p w14:paraId="3E200488"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0.291***</w:t>
                  </w:r>
                </w:p>
              </w:tc>
              <w:tc>
                <w:tcPr>
                  <w:tcW w:w="1540" w:type="dxa"/>
                </w:tcPr>
                <w:p w14:paraId="3E200489"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0.224***</w:t>
                  </w:r>
                </w:p>
              </w:tc>
            </w:tr>
            <w:tr w:rsidR="007E38AB" w:rsidRPr="00555117" w14:paraId="3E20048F" w14:textId="77777777">
              <w:tc>
                <w:tcPr>
                  <w:tcW w:w="3410" w:type="dxa"/>
                </w:tcPr>
                <w:p w14:paraId="3E20048B" w14:textId="77777777" w:rsidR="007E38AB" w:rsidRPr="00555117" w:rsidRDefault="007E38AB" w:rsidP="007C72DF">
                  <w:pPr>
                    <w:rPr>
                      <w:rFonts w:ascii="Times New Roman" w:hAnsi="Times New Roman" w:cs="Times New Roman"/>
                    </w:rPr>
                  </w:pPr>
                </w:p>
              </w:tc>
              <w:tc>
                <w:tcPr>
                  <w:tcW w:w="1320" w:type="dxa"/>
                </w:tcPr>
                <w:p w14:paraId="3E20048C"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(0.090)</w:t>
                  </w:r>
                </w:p>
              </w:tc>
              <w:tc>
                <w:tcPr>
                  <w:tcW w:w="1210" w:type="dxa"/>
                </w:tcPr>
                <w:p w14:paraId="3E20048D"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(0.074)</w:t>
                  </w:r>
                </w:p>
              </w:tc>
              <w:tc>
                <w:tcPr>
                  <w:tcW w:w="1540" w:type="dxa"/>
                </w:tcPr>
                <w:p w14:paraId="0EE251ED" w14:textId="77777777" w:rsidR="007E38AB" w:rsidRDefault="00000000">
                  <w:pPr>
                    <w:jc w:val="center"/>
                    <w:rPr>
                      <w:rFonts w:ascii="Times New Roman" w:hAnsi="Times New Roman" w:cs="Times New Roman"/>
                    </w:rPr>
                  </w:pPr>
                  <w:r w:rsidRPr="00555117">
                    <w:rPr>
                      <w:rFonts w:ascii="Times New Roman" w:hAnsi="Times New Roman" w:cs="Times New Roman"/>
                    </w:rPr>
                    <w:t>(0.049)</w:t>
                  </w:r>
                </w:p>
                <w:p w14:paraId="3E20048E" w14:textId="77777777" w:rsidR="007C72DF" w:rsidRPr="00555117" w:rsidRDefault="007C72DF">
                  <w:pPr>
                    <w:jc w:val="center"/>
                    <w:rPr>
                      <w:rFonts w:ascii="Times New Roman" w:hAnsi="Times New Roman" w:cs="Times New Roman"/>
                    </w:rPr>
                  </w:pPr>
                </w:p>
              </w:tc>
            </w:tr>
            <w:tr w:rsidR="007E38AB" w:rsidRPr="00555117" w14:paraId="3E200494" w14:textId="77777777">
              <w:tc>
                <w:tcPr>
                  <w:tcW w:w="3410" w:type="dxa"/>
                </w:tcPr>
                <w:p w14:paraId="3E200490"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N</w:t>
                  </w:r>
                </w:p>
              </w:tc>
              <w:tc>
                <w:tcPr>
                  <w:tcW w:w="1320" w:type="dxa"/>
                </w:tcPr>
                <w:p w14:paraId="3E200491"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5391</w:t>
                  </w:r>
                </w:p>
              </w:tc>
              <w:tc>
                <w:tcPr>
                  <w:tcW w:w="1210" w:type="dxa"/>
                </w:tcPr>
                <w:p w14:paraId="3E200492"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5391</w:t>
                  </w:r>
                </w:p>
              </w:tc>
              <w:tc>
                <w:tcPr>
                  <w:tcW w:w="1540" w:type="dxa"/>
                </w:tcPr>
                <w:p w14:paraId="3E200493"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5156</w:t>
                  </w:r>
                </w:p>
              </w:tc>
            </w:tr>
            <w:tr w:rsidR="007E38AB" w:rsidRPr="00555117" w14:paraId="3E200499" w14:textId="77777777">
              <w:tc>
                <w:tcPr>
                  <w:tcW w:w="3410" w:type="dxa"/>
                </w:tcPr>
                <w:p w14:paraId="3E200495"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R</w:t>
                  </w:r>
                  <w:r w:rsidRPr="007C72DF">
                    <w:rPr>
                      <w:rFonts w:ascii="Times New Roman" w:hAnsi="Times New Roman" w:cs="Times New Roman"/>
                      <w:vertAlign w:val="superscript"/>
                    </w:rPr>
                    <w:t>2</w:t>
                  </w:r>
                </w:p>
              </w:tc>
              <w:tc>
                <w:tcPr>
                  <w:tcW w:w="1320" w:type="dxa"/>
                </w:tcPr>
                <w:p w14:paraId="3E200496"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0.12</w:t>
                  </w:r>
                </w:p>
              </w:tc>
              <w:tc>
                <w:tcPr>
                  <w:tcW w:w="1210" w:type="dxa"/>
                </w:tcPr>
                <w:p w14:paraId="3E200497"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0.02</w:t>
                  </w:r>
                </w:p>
              </w:tc>
              <w:tc>
                <w:tcPr>
                  <w:tcW w:w="1540" w:type="dxa"/>
                </w:tcPr>
                <w:p w14:paraId="3E200498"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0.42</w:t>
                  </w:r>
                </w:p>
              </w:tc>
            </w:tr>
            <w:tr w:rsidR="007E38AB" w:rsidRPr="00555117" w14:paraId="3E20049B" w14:textId="77777777">
              <w:tc>
                <w:tcPr>
                  <w:tcW w:w="7480" w:type="dxa"/>
                  <w:gridSpan w:val="4"/>
                </w:tcPr>
                <w:p w14:paraId="3E20049A" w14:textId="57B540F8" w:rsidR="007E38AB" w:rsidRPr="00555117" w:rsidRDefault="007C72DF" w:rsidP="007C72DF">
                  <w:pPr>
                    <w:ind w:left="720"/>
                    <w:rPr>
                      <w:rFonts w:ascii="Times New Roman" w:hAnsi="Times New Roman" w:cs="Times New Roman"/>
                    </w:rPr>
                  </w:pPr>
                  <w:r>
                    <w:rPr>
                      <w:rFonts w:ascii="Times New Roman" w:hAnsi="Times New Roman" w:cs="Times New Roman"/>
                    </w:rPr>
                    <w:t xml:space="preserve">                                                              + </w:t>
                  </w:r>
                  <w:r w:rsidR="00000000" w:rsidRPr="00555117">
                    <w:rPr>
                      <w:rFonts w:ascii="Times New Roman" w:hAnsi="Times New Roman" w:cs="Times New Roman"/>
                    </w:rPr>
                    <w:t>p &lt; 0.1, * p &lt; 0.05, ** p &lt; 0.01, *** p &lt; 0.001</w:t>
                  </w:r>
                </w:p>
              </w:tc>
            </w:tr>
            <w:tr w:rsidR="007C72DF" w:rsidRPr="00555117" w14:paraId="47781F7D" w14:textId="77777777">
              <w:tc>
                <w:tcPr>
                  <w:tcW w:w="7480" w:type="dxa"/>
                  <w:gridSpan w:val="4"/>
                </w:tcPr>
                <w:p w14:paraId="4171D7FF" w14:textId="77777777" w:rsidR="007C72DF" w:rsidRDefault="007C72DF" w:rsidP="007C72DF">
                  <w:pPr>
                    <w:rPr>
                      <w:rFonts w:ascii="Times New Roman" w:hAnsi="Times New Roman" w:cs="Times New Roman"/>
                    </w:rPr>
                  </w:pPr>
                </w:p>
              </w:tc>
            </w:tr>
            <w:bookmarkEnd w:id="33"/>
          </w:tbl>
          <w:p w14:paraId="3E20049C" w14:textId="77777777" w:rsidR="007E38AB" w:rsidRPr="00555117" w:rsidRDefault="007E38AB">
            <w:pPr>
              <w:rPr>
                <w:rFonts w:ascii="Times New Roman" w:hAnsi="Times New Roman" w:cs="Times New Roman"/>
              </w:rPr>
            </w:pPr>
          </w:p>
        </w:tc>
      </w:tr>
    </w:tbl>
    <w:p w14:paraId="3E20049E" w14:textId="5734E5BE" w:rsidR="007E38AB" w:rsidRPr="00555117" w:rsidRDefault="00000000">
      <w:pPr>
        <w:rPr>
          <w:rFonts w:ascii="Times New Roman" w:hAnsi="Times New Roman" w:cs="Times New Roman"/>
        </w:rPr>
      </w:pPr>
      <w:r w:rsidRPr="00555117">
        <w:rPr>
          <w:rFonts w:ascii="Times New Roman" w:hAnsi="Times New Roman" w:cs="Times New Roman"/>
        </w:rPr>
        <w:lastRenderedPageBreak/>
        <w:t xml:space="preserve">As shown in </w:t>
      </w:r>
      <w:hyperlink w:anchor="tbl-results">
        <w:r w:rsidRPr="00555117">
          <w:rPr>
            <w:rFonts w:ascii="Times New Roman" w:hAnsi="Times New Roman" w:cs="Times New Roman"/>
          </w:rPr>
          <w:t>Table 4.2</w:t>
        </w:r>
      </w:hyperlink>
      <w:r w:rsidRPr="00555117">
        <w:rPr>
          <w:rFonts w:ascii="Times New Roman" w:hAnsi="Times New Roman" w:cs="Times New Roman"/>
        </w:rPr>
        <w:t xml:space="preserve">, increasing conservatism is associated with lower risk perceptions, higher perceptions of benefits, and greater support for more nuclear plants. In addition, perceptions of risks increased and perceptions of benefits, and support for more plants both decreased following the Fukushima accident, on average. Interestingly, the benefits and risks of nuclear energy are positively associated at </w:t>
      </w:r>
      <w:r w:rsidRPr="00555117">
        <w:rPr>
          <w:rFonts w:ascii="Times New Roman" w:hAnsi="Times New Roman" w:cs="Times New Roman"/>
          <w:i/>
          <w:iCs/>
        </w:rPr>
        <w:t>p</w:t>
      </w:r>
      <w:r w:rsidRPr="00555117">
        <w:rPr>
          <w:rFonts w:ascii="Times New Roman" w:hAnsi="Times New Roman" w:cs="Times New Roman"/>
        </w:rPr>
        <w:t>&lt;0.10. But, as expected, an increase in the perceived risks is negatively associated with support for more plants, whereas an increase in perceived benefits is positively associated. For the demographic variables, age is negatively associated with perceived risks, perceived benefits, and support for more plants. Finally, both males and whites perceive less risk, greater benefits, and higher levels of support for more nuclear power plants than non-males and non-whites.</w:t>
      </w:r>
    </w:p>
    <w:p w14:paraId="3E20049F" w14:textId="7D0C5A69" w:rsidR="007E38AB" w:rsidRPr="00555117" w:rsidRDefault="00000000">
      <w:pPr>
        <w:rPr>
          <w:rFonts w:ascii="Times New Roman" w:hAnsi="Times New Roman" w:cs="Times New Roman"/>
        </w:rPr>
      </w:pPr>
      <w:r w:rsidRPr="00555117">
        <w:rPr>
          <w:rFonts w:ascii="Times New Roman" w:hAnsi="Times New Roman" w:cs="Times New Roman"/>
        </w:rPr>
        <w:t>Our final analysis is a path analysis to show the influence of political ideology, Fukushima, and beliefs about the risks and benefits of nuclear energy on preferences for more nuclear power plants.</w:t>
      </w:r>
      <w:r w:rsidRPr="00555117">
        <w:rPr>
          <w:rFonts w:ascii="Times New Roman" w:hAnsi="Times New Roman" w:cs="Times New Roman"/>
        </w:rPr>
        <w:footnoteReference w:id="5"/>
      </w:r>
      <w:r w:rsidRPr="00555117">
        <w:rPr>
          <w:rFonts w:ascii="Times New Roman" w:hAnsi="Times New Roman" w:cs="Times New Roman"/>
        </w:rPr>
        <w:t xml:space="preserve"> Path analysis includes standardized coefficients, which allow us to compare the impact of the various independent variables on the dependent variable. In addition, path analysis accounts for the various effects of political ideology and Fukushima on preferences for more nuclear power plants. </w:t>
      </w:r>
      <w:hyperlink w:anchor="fig-results">
        <w:r w:rsidRPr="00555117">
          <w:rPr>
            <w:rFonts w:ascii="Times New Roman" w:hAnsi="Times New Roman" w:cs="Times New Roman"/>
          </w:rPr>
          <w:t>Figure 4.3</w:t>
        </w:r>
      </w:hyperlink>
      <w:r w:rsidRPr="00555117">
        <w:rPr>
          <w:rFonts w:ascii="Times New Roman" w:hAnsi="Times New Roman" w:cs="Times New Roman"/>
        </w:rPr>
        <w:t xml:space="preserve"> shows the results of the path analysis, including the standardized betas.</w:t>
      </w:r>
    </w:p>
    <w:tbl>
      <w:tblPr>
        <w:tblW w:w="5000" w:type="pct"/>
        <w:tblLayout w:type="fixed"/>
        <w:tblLook w:val="0000" w:firstRow="0" w:lastRow="0" w:firstColumn="0" w:lastColumn="0" w:noHBand="0" w:noVBand="0"/>
      </w:tblPr>
      <w:tblGrid>
        <w:gridCol w:w="9360"/>
      </w:tblGrid>
      <w:tr w:rsidR="007E38AB" w:rsidRPr="00555117" w14:paraId="3E2004A2" w14:textId="77777777">
        <w:tc>
          <w:tcPr>
            <w:tcW w:w="7920" w:type="dxa"/>
          </w:tcPr>
          <w:p w14:paraId="3E2004A0" w14:textId="77777777" w:rsidR="007E38AB" w:rsidRPr="00555117" w:rsidRDefault="00000000">
            <w:pPr>
              <w:spacing w:before="200"/>
              <w:rPr>
                <w:rFonts w:ascii="Times New Roman" w:hAnsi="Times New Roman" w:cs="Times New Roman"/>
              </w:rPr>
            </w:pPr>
            <w:bookmarkStart w:id="34" w:name="fig-results"/>
            <w:r w:rsidRPr="00555117">
              <w:rPr>
                <w:rFonts w:ascii="Times New Roman" w:hAnsi="Times New Roman" w:cs="Times New Roman"/>
              </w:rPr>
              <w:t>Figure 4.3: Path Analysis of Ideology, Fukushima, Nuclear Energy Beliefs, and Preferences for More Nuclear Plants</w:t>
            </w:r>
          </w:p>
          <w:p w14:paraId="3E2004A1" w14:textId="77777777" w:rsidR="007E38AB" w:rsidRPr="00555117" w:rsidRDefault="00000000">
            <w:pPr>
              <w:jc w:val="center"/>
              <w:rPr>
                <w:rFonts w:ascii="Times New Roman" w:hAnsi="Times New Roman" w:cs="Times New Roman"/>
              </w:rPr>
            </w:pPr>
            <w:r w:rsidRPr="00555117">
              <w:rPr>
                <w:rFonts w:ascii="Times New Roman" w:hAnsi="Times New Roman" w:cs="Times New Roman"/>
                <w:noProof/>
              </w:rPr>
              <w:lastRenderedPageBreak/>
              <w:drawing>
                <wp:inline distT="0" distB="0" distL="0" distR="0" wp14:anchorId="3E2005F2" wp14:editId="3E2005F3">
                  <wp:extent cx="5486400" cy="18288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chap4_files/figure-docx/mermaid-figure-2.png"/>
                          <pic:cNvPicPr>
                            <a:picLocks noChangeAspect="1" noChangeArrowheads="1"/>
                          </pic:cNvPicPr>
                        </pic:nvPicPr>
                        <pic:blipFill>
                          <a:blip r:embed="rId10"/>
                          <a:stretch>
                            <a:fillRect/>
                          </a:stretch>
                        </pic:blipFill>
                        <pic:spPr bwMode="auto">
                          <a:xfrm>
                            <a:off x="0" y="0"/>
                            <a:ext cx="5486400" cy="1828800"/>
                          </a:xfrm>
                          <a:prstGeom prst="rect">
                            <a:avLst/>
                          </a:prstGeom>
                          <a:noFill/>
                          <a:ln w="9525">
                            <a:noFill/>
                            <a:headEnd/>
                            <a:tailEnd/>
                          </a:ln>
                        </pic:spPr>
                      </pic:pic>
                    </a:graphicData>
                  </a:graphic>
                </wp:inline>
              </w:drawing>
            </w:r>
          </w:p>
        </w:tc>
        <w:bookmarkEnd w:id="34"/>
      </w:tr>
    </w:tbl>
    <w:p w14:paraId="3E2004A3" w14:textId="291BDA96" w:rsidR="007E38AB" w:rsidRPr="00555117" w:rsidRDefault="00000000">
      <w:pPr>
        <w:rPr>
          <w:rFonts w:ascii="Times New Roman" w:hAnsi="Times New Roman" w:cs="Times New Roman"/>
        </w:rPr>
      </w:pPr>
      <w:r w:rsidRPr="00555117">
        <w:rPr>
          <w:rFonts w:ascii="Times New Roman" w:hAnsi="Times New Roman" w:cs="Times New Roman"/>
        </w:rPr>
        <w:lastRenderedPageBreak/>
        <w:t xml:space="preserve">As shown in </w:t>
      </w:r>
      <w:hyperlink w:anchor="fig-results">
        <w:r w:rsidRPr="00555117">
          <w:rPr>
            <w:rFonts w:ascii="Times New Roman" w:hAnsi="Times New Roman" w:cs="Times New Roman"/>
          </w:rPr>
          <w:t>Figure 4.3</w:t>
        </w:r>
      </w:hyperlink>
      <w:r w:rsidRPr="00555117">
        <w:rPr>
          <w:rFonts w:ascii="Times New Roman" w:hAnsi="Times New Roman" w:cs="Times New Roman"/>
        </w:rPr>
        <w:t>, increasing conservatism is associated with an increase in the perceived benefits of nuclear energy, a decrease in the perceived risks associated with nuclear energy, and an increase in the support for more nuclear power plants. Additionally, the Fukushima accident is associated with a decrease in perceived benefits, an increase in perceived risks, and a decrease in support for more nuclear plants. However, comparing the standardized coefficients, we see that ideology had a larger influence on each outcome measure than Fukushima, with the perceived benefits coefficient for ideology at 0.071 and the coefficient for Fukushima is -0.03. Similarly, the perceived risk estimates are -0.106 for ideology and 0.121 for Fukushima.</w:t>
      </w:r>
    </w:p>
    <w:p w14:paraId="3E2004A4" w14:textId="77777777" w:rsidR="007E38AB" w:rsidRPr="00555117" w:rsidRDefault="00000000">
      <w:pPr>
        <w:rPr>
          <w:rFonts w:ascii="Times New Roman" w:hAnsi="Times New Roman" w:cs="Times New Roman"/>
        </w:rPr>
      </w:pPr>
      <w:r w:rsidRPr="00555117">
        <w:rPr>
          <w:rFonts w:ascii="Times New Roman" w:hAnsi="Times New Roman" w:cs="Times New Roman"/>
        </w:rPr>
        <w:t>Looking at the measure of support for more nuclear plants, the policy core beliefs regarding the perceived risks and benefits have the most influence, with the perceived benefits having a greater impact than perceived risks at 0.455 for benefits versus -0.288 for risks. Finally, the coefficients for ideology and Fukushima were 0.131 and -0.03, respectively, indicating that ideology had a stronger effect on supporting more nuclear power plants than the Fukushima accident.</w:t>
      </w:r>
    </w:p>
    <w:p w14:paraId="3E2004A5" w14:textId="77777777" w:rsidR="007E38AB" w:rsidRPr="00555117" w:rsidRDefault="00000000">
      <w:pPr>
        <w:rPr>
          <w:rFonts w:ascii="Times New Roman" w:hAnsi="Times New Roman" w:cs="Times New Roman"/>
        </w:rPr>
      </w:pPr>
      <w:r w:rsidRPr="00555117">
        <w:rPr>
          <w:rFonts w:ascii="Times New Roman" w:hAnsi="Times New Roman" w:cs="Times New Roman"/>
        </w:rPr>
        <w:t>Path analysis also allows us to examine the effect of political ideology on support for more nuclear plants (</w:t>
      </w:r>
      <w:r w:rsidRPr="00555117">
        <w:rPr>
          <w:rFonts w:ascii="Times New Roman" w:hAnsi="Times New Roman" w:cs="Times New Roman"/>
          <w:i/>
          <w:iCs/>
        </w:rPr>
        <w:t>direct effects</w:t>
      </w:r>
      <w:r w:rsidRPr="00555117">
        <w:rPr>
          <w:rFonts w:ascii="Times New Roman" w:hAnsi="Times New Roman" w:cs="Times New Roman"/>
        </w:rPr>
        <w:t>), the mediation effect of political ideology operating through the issue definition (</w:t>
      </w:r>
      <w:r w:rsidRPr="00555117">
        <w:rPr>
          <w:rFonts w:ascii="Times New Roman" w:hAnsi="Times New Roman" w:cs="Times New Roman"/>
          <w:i/>
          <w:iCs/>
        </w:rPr>
        <w:t>indirect effects</w:t>
      </w:r>
      <w:r w:rsidRPr="00555117">
        <w:rPr>
          <w:rFonts w:ascii="Times New Roman" w:hAnsi="Times New Roman" w:cs="Times New Roman"/>
        </w:rPr>
        <w:t>), and the combined effects of political ideology and the issue definition of nuclear energy on support for more nuclear plants (</w:t>
      </w:r>
      <w:r w:rsidRPr="00555117">
        <w:rPr>
          <w:rFonts w:ascii="Times New Roman" w:hAnsi="Times New Roman" w:cs="Times New Roman"/>
          <w:i/>
          <w:iCs/>
        </w:rPr>
        <w:t>total effects</w:t>
      </w:r>
      <w:r w:rsidRPr="00555117">
        <w:rPr>
          <w:rFonts w:ascii="Times New Roman" w:hAnsi="Times New Roman" w:cs="Times New Roman"/>
        </w:rPr>
        <w:t>). The indirect effect is calculated by multiplying the path (a) from political ideology to the issue definition and the path (b) from the issue definition to support for more plants. Below, we illustrate this process for the effects of ideology and risk perceptions on support for more nuclear power plants.</w:t>
      </w:r>
    </w:p>
    <w:p w14:paraId="3E2004A6" w14:textId="77777777" w:rsidR="007E38AB" w:rsidRPr="00555117" w:rsidRDefault="00000000">
      <w:pPr>
        <w:numPr>
          <w:ilvl w:val="0"/>
          <w:numId w:val="10"/>
        </w:numPr>
        <w:rPr>
          <w:rFonts w:ascii="Times New Roman" w:hAnsi="Times New Roman" w:cs="Times New Roman"/>
        </w:rPr>
      </w:pPr>
      <w:r w:rsidRPr="00555117">
        <w:rPr>
          <w:rFonts w:ascii="Times New Roman" w:hAnsi="Times New Roman" w:cs="Times New Roman"/>
        </w:rPr>
        <w:t xml:space="preserve">The first, simplified, model shows ideology and more plants: </w:t>
      </w:r>
      <m:oMath>
        <m:r>
          <m:rPr>
            <m:nor/>
          </m:rPr>
          <w:rPr>
            <w:rFonts w:ascii="Times New Roman" w:hAnsi="Times New Roman" w:cs="Times New Roman"/>
          </w:rPr>
          <m:t>more plants</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d>
          <m:dPr>
            <m:ctrlPr>
              <w:rPr>
                <w:rFonts w:ascii="Cambria Math" w:hAnsi="Cambria Math" w:cs="Times New Roman"/>
              </w:rPr>
            </m:ctrlPr>
          </m:dPr>
          <m:e>
            <m:r>
              <m:rPr>
                <m:nor/>
              </m:rPr>
              <w:rPr>
                <w:rFonts w:ascii="Times New Roman" w:hAnsi="Times New Roman" w:cs="Times New Roman"/>
              </w:rPr>
              <m:t>ideology</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m:t>
            </m:r>
          </m:sub>
        </m:sSub>
      </m:oMath>
    </w:p>
    <w:p w14:paraId="3E2004A7" w14:textId="77777777" w:rsidR="007E38AB" w:rsidRPr="00555117" w:rsidRDefault="00000000">
      <w:pPr>
        <w:numPr>
          <w:ilvl w:val="0"/>
          <w:numId w:val="10"/>
        </w:numPr>
        <w:rPr>
          <w:rFonts w:ascii="Times New Roman" w:hAnsi="Times New Roman" w:cs="Times New Roman"/>
        </w:rPr>
      </w:pPr>
      <w:r w:rsidRPr="00555117">
        <w:rPr>
          <w:rFonts w:ascii="Times New Roman" w:hAnsi="Times New Roman" w:cs="Times New Roman"/>
        </w:rPr>
        <w:t xml:space="preserve">Then, ideology and risk: </w:t>
      </w:r>
      <m:oMath>
        <m:r>
          <m:rPr>
            <m:nor/>
          </m:rPr>
          <w:rPr>
            <w:rFonts w:ascii="Times New Roman" w:hAnsi="Times New Roman" w:cs="Times New Roman"/>
          </w:rPr>
          <m:t>risk</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d>
          <m:dPr>
            <m:ctrlPr>
              <w:rPr>
                <w:rFonts w:ascii="Cambria Math" w:hAnsi="Cambria Math" w:cs="Times New Roman"/>
              </w:rPr>
            </m:ctrlPr>
          </m:dPr>
          <m:e>
            <m:r>
              <m:rPr>
                <m:nor/>
              </m:rPr>
              <w:rPr>
                <w:rFonts w:ascii="Times New Roman" w:hAnsi="Times New Roman" w:cs="Times New Roman"/>
              </w:rPr>
              <m:t>ideology</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m:t>
            </m:r>
          </m:sub>
        </m:sSub>
      </m:oMath>
    </w:p>
    <w:p w14:paraId="3E2004A8" w14:textId="77777777" w:rsidR="007E38AB" w:rsidRPr="00555117" w:rsidRDefault="00000000">
      <w:pPr>
        <w:numPr>
          <w:ilvl w:val="0"/>
          <w:numId w:val="10"/>
        </w:numPr>
        <w:rPr>
          <w:rFonts w:ascii="Times New Roman" w:hAnsi="Times New Roman" w:cs="Times New Roman"/>
        </w:rPr>
      </w:pPr>
      <w:r w:rsidRPr="00555117">
        <w:rPr>
          <w:rFonts w:ascii="Times New Roman" w:hAnsi="Times New Roman" w:cs="Times New Roman"/>
        </w:rPr>
        <w:t xml:space="preserve">Finally, ideology, risk, and more plants: </w:t>
      </w:r>
      <m:oMath>
        <m:r>
          <m:rPr>
            <m:nor/>
          </m:rPr>
          <w:rPr>
            <w:rFonts w:ascii="Times New Roman" w:hAnsi="Times New Roman" w:cs="Times New Roman"/>
          </w:rPr>
          <m:t>more plants</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d>
          <m:dPr>
            <m:ctrlPr>
              <w:rPr>
                <w:rFonts w:ascii="Cambria Math" w:hAnsi="Cambria Math" w:cs="Times New Roman"/>
              </w:rPr>
            </m:ctrlPr>
          </m:dPr>
          <m:e>
            <m:r>
              <m:rPr>
                <m:nor/>
              </m:rPr>
              <w:rPr>
                <w:rFonts w:ascii="Times New Roman" w:hAnsi="Times New Roman" w:cs="Times New Roman"/>
              </w:rPr>
              <m:t>ideology</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m:t>
            </m:r>
          </m:sub>
        </m:sSub>
        <m:d>
          <m:dPr>
            <m:ctrlPr>
              <w:rPr>
                <w:rFonts w:ascii="Cambria Math" w:hAnsi="Cambria Math" w:cs="Times New Roman"/>
              </w:rPr>
            </m:ctrlPr>
          </m:dPr>
          <m:e>
            <m:r>
              <m:rPr>
                <m:nor/>
              </m:rPr>
              <w:rPr>
                <w:rFonts w:ascii="Times New Roman" w:hAnsi="Times New Roman" w:cs="Times New Roman"/>
              </w:rPr>
              <m:t>risk</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i</m:t>
            </m:r>
          </m:sub>
        </m:sSub>
      </m:oMath>
    </w:p>
    <w:p w14:paraId="3E2004A9" w14:textId="2FD2B714" w:rsidR="007E38AB" w:rsidRPr="00555117" w:rsidRDefault="00000000">
      <w:pPr>
        <w:rPr>
          <w:rFonts w:ascii="Times New Roman" w:hAnsi="Times New Roman" w:cs="Times New Roman"/>
        </w:rPr>
      </w:pPr>
      <w:r w:rsidRPr="00555117">
        <w:rPr>
          <w:rFonts w:ascii="Times New Roman" w:hAnsi="Times New Roman" w:cs="Times New Roman"/>
        </w:rPr>
        <w:t xml:space="preserve">Using the standardized coefficients shown in </w:t>
      </w:r>
      <w:hyperlink w:anchor="fig-results">
        <w:r w:rsidRPr="00555117">
          <w:rPr>
            <w:rFonts w:ascii="Times New Roman" w:hAnsi="Times New Roman" w:cs="Times New Roman"/>
          </w:rPr>
          <w:t>Figure 4.3</w:t>
        </w:r>
      </w:hyperlink>
      <w:r w:rsidRPr="00555117">
        <w:rPr>
          <w:rFonts w:ascii="Times New Roman" w:hAnsi="Times New Roman" w:cs="Times New Roman"/>
        </w:rPr>
        <w:t xml:space="preserve">, we can calculate the indirect, direct, and total effects. The direct effect,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oMath>
      <w:r w:rsidRPr="00555117">
        <w:rPr>
          <w:rFonts w:ascii="Times New Roman" w:hAnsi="Times New Roman" w:cs="Times New Roman"/>
        </w:rPr>
        <w:t xml:space="preserve">, is 0.131. The indirect effect is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m:t>
            </m:r>
          </m:sub>
        </m:sSub>
      </m:oMath>
      <w:r w:rsidRPr="00555117">
        <w:rPr>
          <w:rFonts w:ascii="Times New Roman" w:hAnsi="Times New Roman" w:cs="Times New Roman"/>
        </w:rPr>
        <w:t xml:space="preserve">, 0.031. Finally, the total effect,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oMath>
      <w:r w:rsidRPr="00555117">
        <w:rPr>
          <w:rFonts w:ascii="Times New Roman" w:hAnsi="Times New Roman" w:cs="Times New Roman"/>
        </w:rPr>
        <w:t xml:space="preserve"> is 0.162. We use the same process to calculate the effects of ideology and benefits, as well as Fukushima and perceived risks and benefits on support for more nuclear power plants. The effects are shown in </w:t>
      </w:r>
      <w:hyperlink w:anchor="tbl-med">
        <w:r w:rsidRPr="00555117">
          <w:rPr>
            <w:rFonts w:ascii="Times New Roman" w:hAnsi="Times New Roman" w:cs="Times New Roman"/>
          </w:rPr>
          <w:t>Table 4.3</w:t>
        </w:r>
      </w:hyperlink>
      <w:r w:rsidRPr="00555117">
        <w:rPr>
          <w:rFonts w:ascii="Times New Roman" w:hAnsi="Times New Roman" w:cs="Times New Roman"/>
        </w:rPr>
        <w:t>.</w:t>
      </w:r>
    </w:p>
    <w:tbl>
      <w:tblPr>
        <w:tblW w:w="5000" w:type="pct"/>
        <w:tblLayout w:type="fixed"/>
        <w:tblLook w:val="0000" w:firstRow="0" w:lastRow="0" w:firstColumn="0" w:lastColumn="0" w:noHBand="0" w:noVBand="0"/>
      </w:tblPr>
      <w:tblGrid>
        <w:gridCol w:w="9360"/>
      </w:tblGrid>
      <w:tr w:rsidR="007E38AB" w:rsidRPr="00555117" w14:paraId="3E2004C5" w14:textId="77777777">
        <w:tc>
          <w:tcPr>
            <w:tcW w:w="7920" w:type="dxa"/>
          </w:tcPr>
          <w:p w14:paraId="3E2004AA" w14:textId="77777777" w:rsidR="007E38AB" w:rsidRPr="00555117" w:rsidRDefault="00000000">
            <w:pPr>
              <w:spacing w:before="200"/>
              <w:rPr>
                <w:rFonts w:ascii="Times New Roman" w:hAnsi="Times New Roman" w:cs="Times New Roman"/>
              </w:rPr>
            </w:pPr>
            <w:bookmarkStart w:id="35" w:name="tbl-med"/>
            <w:r w:rsidRPr="00555117">
              <w:rPr>
                <w:rFonts w:ascii="Times New Roman" w:hAnsi="Times New Roman" w:cs="Times New Roman"/>
              </w:rPr>
              <w:lastRenderedPageBreak/>
              <w:t>Table 4.3: The Effects of Political Ideology, Fukushima, and the Risks and Benefits of Nuclear Energy on Support for More Nuclear Plants</w:t>
            </w:r>
          </w:p>
          <w:tbl>
            <w:tblPr>
              <w:tblW w:w="5000" w:type="pct"/>
              <w:tblLayout w:type="fixed"/>
              <w:tblLook w:val="0020" w:firstRow="1" w:lastRow="0" w:firstColumn="0" w:lastColumn="0" w:noHBand="0" w:noVBand="0"/>
            </w:tblPr>
            <w:tblGrid>
              <w:gridCol w:w="3921"/>
              <w:gridCol w:w="1741"/>
              <w:gridCol w:w="1741"/>
              <w:gridCol w:w="1741"/>
            </w:tblGrid>
            <w:tr w:rsidR="007E38AB" w:rsidRPr="00555117" w14:paraId="3E2004AF" w14:textId="77777777">
              <w:trPr>
                <w:tblHeader/>
              </w:trPr>
              <w:tc>
                <w:tcPr>
                  <w:tcW w:w="3394" w:type="dxa"/>
                </w:tcPr>
                <w:p w14:paraId="3E2004AB" w14:textId="77777777" w:rsidR="007E38AB" w:rsidRPr="00555117" w:rsidRDefault="007E38AB">
                  <w:pPr>
                    <w:rPr>
                      <w:rFonts w:ascii="Times New Roman" w:hAnsi="Times New Roman" w:cs="Times New Roman"/>
                    </w:rPr>
                  </w:pPr>
                </w:p>
              </w:tc>
              <w:tc>
                <w:tcPr>
                  <w:tcW w:w="1508" w:type="dxa"/>
                </w:tcPr>
                <w:p w14:paraId="3E2004AC"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Indirect Effect</w:t>
                  </w:r>
                </w:p>
              </w:tc>
              <w:tc>
                <w:tcPr>
                  <w:tcW w:w="1508" w:type="dxa"/>
                </w:tcPr>
                <w:p w14:paraId="3E2004AD"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Direct Effect</w:t>
                  </w:r>
                </w:p>
              </w:tc>
              <w:tc>
                <w:tcPr>
                  <w:tcW w:w="1508" w:type="dxa"/>
                </w:tcPr>
                <w:p w14:paraId="3E2004AE"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Total Effect</w:t>
                  </w:r>
                </w:p>
              </w:tc>
            </w:tr>
            <w:tr w:rsidR="007E38AB" w:rsidRPr="00555117" w14:paraId="3E2004B4" w14:textId="77777777">
              <w:tc>
                <w:tcPr>
                  <w:tcW w:w="3394" w:type="dxa"/>
                </w:tcPr>
                <w:p w14:paraId="3E2004B0"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Increasing Conservatism and Nuclear Risks</w:t>
                  </w:r>
                </w:p>
              </w:tc>
              <w:tc>
                <w:tcPr>
                  <w:tcW w:w="1508" w:type="dxa"/>
                </w:tcPr>
                <w:p w14:paraId="3E2004B1"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0.031</w:t>
                  </w:r>
                </w:p>
              </w:tc>
              <w:tc>
                <w:tcPr>
                  <w:tcW w:w="1508" w:type="dxa"/>
                </w:tcPr>
                <w:p w14:paraId="3E2004B2"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0.131</w:t>
                  </w:r>
                </w:p>
              </w:tc>
              <w:tc>
                <w:tcPr>
                  <w:tcW w:w="1508" w:type="dxa"/>
                </w:tcPr>
                <w:p w14:paraId="3E2004B3"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0.162</w:t>
                  </w:r>
                </w:p>
              </w:tc>
            </w:tr>
            <w:tr w:rsidR="007E38AB" w:rsidRPr="00555117" w14:paraId="3E2004B9" w14:textId="77777777">
              <w:tc>
                <w:tcPr>
                  <w:tcW w:w="3394" w:type="dxa"/>
                </w:tcPr>
                <w:p w14:paraId="3E2004B5"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Increasing Conservatism and Nuclear Benefits</w:t>
                  </w:r>
                </w:p>
              </w:tc>
              <w:tc>
                <w:tcPr>
                  <w:tcW w:w="1508" w:type="dxa"/>
                </w:tcPr>
                <w:p w14:paraId="3E2004B6"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0.032</w:t>
                  </w:r>
                </w:p>
              </w:tc>
              <w:tc>
                <w:tcPr>
                  <w:tcW w:w="1508" w:type="dxa"/>
                </w:tcPr>
                <w:p w14:paraId="3E2004B7"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0.131</w:t>
                  </w:r>
                </w:p>
              </w:tc>
              <w:tc>
                <w:tcPr>
                  <w:tcW w:w="1508" w:type="dxa"/>
                </w:tcPr>
                <w:p w14:paraId="3E2004B8"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0.11</w:t>
                  </w:r>
                </w:p>
              </w:tc>
            </w:tr>
            <w:tr w:rsidR="007E38AB" w:rsidRPr="00555117" w14:paraId="3E2004BE" w14:textId="77777777">
              <w:tc>
                <w:tcPr>
                  <w:tcW w:w="3394" w:type="dxa"/>
                </w:tcPr>
                <w:p w14:paraId="3E2004BA"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Fukushima and Nuclear Risks</w:t>
                  </w:r>
                </w:p>
              </w:tc>
              <w:tc>
                <w:tcPr>
                  <w:tcW w:w="1508" w:type="dxa"/>
                </w:tcPr>
                <w:p w14:paraId="3E2004BB"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-0.035</w:t>
                  </w:r>
                </w:p>
              </w:tc>
              <w:tc>
                <w:tcPr>
                  <w:tcW w:w="1508" w:type="dxa"/>
                </w:tcPr>
                <w:p w14:paraId="3E2004BC"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-0.03</w:t>
                  </w:r>
                </w:p>
              </w:tc>
              <w:tc>
                <w:tcPr>
                  <w:tcW w:w="1508" w:type="dxa"/>
                </w:tcPr>
                <w:p w14:paraId="3E2004BD"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-0.065</w:t>
                  </w:r>
                </w:p>
              </w:tc>
            </w:tr>
            <w:tr w:rsidR="007E38AB" w:rsidRPr="00555117" w14:paraId="3E2004C3" w14:textId="77777777">
              <w:tc>
                <w:tcPr>
                  <w:tcW w:w="3394" w:type="dxa"/>
                </w:tcPr>
                <w:p w14:paraId="3E2004BF" w14:textId="77777777" w:rsidR="007E38AB" w:rsidRPr="00555117" w:rsidRDefault="00000000" w:rsidP="007C72DF">
                  <w:pPr>
                    <w:rPr>
                      <w:rFonts w:ascii="Times New Roman" w:hAnsi="Times New Roman" w:cs="Times New Roman"/>
                    </w:rPr>
                  </w:pPr>
                  <w:r w:rsidRPr="00555117">
                    <w:rPr>
                      <w:rFonts w:ascii="Times New Roman" w:hAnsi="Times New Roman" w:cs="Times New Roman"/>
                    </w:rPr>
                    <w:t>Fukushima and Nuclear Benefits</w:t>
                  </w:r>
                </w:p>
              </w:tc>
              <w:tc>
                <w:tcPr>
                  <w:tcW w:w="1508" w:type="dxa"/>
                </w:tcPr>
                <w:p w14:paraId="3E2004C0"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-0.014</w:t>
                  </w:r>
                </w:p>
              </w:tc>
              <w:tc>
                <w:tcPr>
                  <w:tcW w:w="1508" w:type="dxa"/>
                </w:tcPr>
                <w:p w14:paraId="3E2004C1"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-0.03</w:t>
                  </w:r>
                </w:p>
              </w:tc>
              <w:tc>
                <w:tcPr>
                  <w:tcW w:w="1508" w:type="dxa"/>
                </w:tcPr>
                <w:p w14:paraId="3E2004C2"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-0.044</w:t>
                  </w:r>
                </w:p>
              </w:tc>
            </w:tr>
            <w:bookmarkEnd w:id="35"/>
          </w:tbl>
          <w:p w14:paraId="3E2004C4" w14:textId="77777777" w:rsidR="007E38AB" w:rsidRPr="00555117" w:rsidRDefault="007E38AB">
            <w:pPr>
              <w:rPr>
                <w:rFonts w:ascii="Times New Roman" w:hAnsi="Times New Roman" w:cs="Times New Roman"/>
              </w:rPr>
            </w:pPr>
          </w:p>
        </w:tc>
      </w:tr>
    </w:tbl>
    <w:p w14:paraId="3E2004C6" w14:textId="6D1769B3" w:rsidR="007E38AB" w:rsidRPr="00555117" w:rsidRDefault="00000000">
      <w:pPr>
        <w:rPr>
          <w:rFonts w:ascii="Times New Roman" w:hAnsi="Times New Roman" w:cs="Times New Roman"/>
        </w:rPr>
      </w:pPr>
      <w:r w:rsidRPr="00555117">
        <w:rPr>
          <w:rFonts w:ascii="Times New Roman" w:hAnsi="Times New Roman" w:cs="Times New Roman"/>
        </w:rPr>
        <w:t xml:space="preserve">As shown in </w:t>
      </w:r>
      <w:hyperlink w:anchor="tbl-med">
        <w:r w:rsidRPr="00555117">
          <w:rPr>
            <w:rFonts w:ascii="Times New Roman" w:hAnsi="Times New Roman" w:cs="Times New Roman"/>
          </w:rPr>
          <w:t>Table 4.3</w:t>
        </w:r>
      </w:hyperlink>
      <w:r w:rsidRPr="00555117">
        <w:rPr>
          <w:rFonts w:ascii="Times New Roman" w:hAnsi="Times New Roman" w:cs="Times New Roman"/>
        </w:rPr>
        <w:t>, deep core beliefs had larger total effects on support for more nuclear power plants than the Fukushima accident. These results illustrate the influence of deep core beliefs on policy preferences, even when learning occurs regarding policy core beliefs.</w:t>
      </w:r>
    </w:p>
    <w:p w14:paraId="3E2004C7" w14:textId="77777777" w:rsidR="007E38AB" w:rsidRPr="00555117" w:rsidRDefault="00000000">
      <w:pPr>
        <w:rPr>
          <w:rFonts w:ascii="Times New Roman" w:hAnsi="Times New Roman" w:cs="Times New Roman"/>
        </w:rPr>
      </w:pPr>
      <w:bookmarkStart w:id="36" w:name="conclusion-2"/>
      <w:bookmarkEnd w:id="30"/>
      <w:r w:rsidRPr="00555117">
        <w:rPr>
          <w:rFonts w:ascii="Times New Roman" w:hAnsi="Times New Roman" w:cs="Times New Roman"/>
        </w:rPr>
        <w:t>4.5 Conclusion</w:t>
      </w:r>
    </w:p>
    <w:p w14:paraId="3E2004C8" w14:textId="77777777" w:rsidR="007E38AB" w:rsidRPr="00555117" w:rsidRDefault="00000000">
      <w:pPr>
        <w:rPr>
          <w:rFonts w:ascii="Times New Roman" w:hAnsi="Times New Roman" w:cs="Times New Roman"/>
        </w:rPr>
      </w:pPr>
      <w:r w:rsidRPr="00555117">
        <w:rPr>
          <w:rFonts w:ascii="Times New Roman" w:hAnsi="Times New Roman" w:cs="Times New Roman"/>
        </w:rPr>
        <w:t>In this chapter, we use public opinion data about nuclear energy taken across nearly two decades to examine the policy learning through information processing model. While scholars of policy learning are generally concerned with learning among elite policy actors, public opinion can be a useful test bed for understanding the mechanics of our learning model, namely, beliefs and belief change. Previous research has found that the public and elites have similar belief system structures, and by using that portion of the sample that has an advanced degree, we rely on the elite sub-sample of the public opinion data.</w:t>
      </w:r>
    </w:p>
    <w:p w14:paraId="3E2004C9" w14:textId="77777777" w:rsidR="007E38AB" w:rsidRPr="00555117" w:rsidRDefault="00000000">
      <w:pPr>
        <w:rPr>
          <w:rFonts w:ascii="Times New Roman" w:hAnsi="Times New Roman" w:cs="Times New Roman"/>
        </w:rPr>
      </w:pPr>
      <w:r w:rsidRPr="00555117">
        <w:rPr>
          <w:rFonts w:ascii="Times New Roman" w:hAnsi="Times New Roman" w:cs="Times New Roman"/>
        </w:rPr>
        <w:t>The model posits that learning as belief updating is a function of the strength of the information signal relative to the strength of the prior belief, and only when the information signal is sufficiently strong does belief shift. In addition, drawing from the ACF, belief systems are hierarchical and three-tired, with deep core beliefs shaping policy core beliefs and both deep core and policy core beliefs shaping secondary beliefs. While any type of belief can change, secondary beliefs are most likely to change, followed by policy core beliefs, with deep core beliefs least likely to change.</w:t>
      </w:r>
    </w:p>
    <w:p w14:paraId="3E2004CA" w14:textId="254D8912" w:rsidR="007E38AB" w:rsidRPr="00555117" w:rsidRDefault="00000000">
      <w:pPr>
        <w:rPr>
          <w:rFonts w:ascii="Times New Roman" w:hAnsi="Times New Roman" w:cs="Times New Roman"/>
        </w:rPr>
      </w:pPr>
      <w:r w:rsidRPr="00555117">
        <w:rPr>
          <w:rFonts w:ascii="Times New Roman" w:hAnsi="Times New Roman" w:cs="Times New Roman"/>
        </w:rPr>
        <w:t xml:space="preserve">Our findings support the model, as beliefs about nuclear energy changed significantly in response to the Fukushima accident. The Fukushima accident acted as a strong information signal about the risks of nuclear energy. Learning seemed to occur as the policy core beliefs associated with nuclear energy (e.g., the risks and benefits of nuclear energy) changed significantly following Fukushima. Consistent with Fukushima being a signal of risk, risk perceptions increased significantly, while perceptions of the benefits of nuclear energy shifted by a smaller margin. Additionally, support for building more nuclear power plants dropped significantly following Fukushima, as perceptions of risk and benefits shifted. Finally, deep core beliefs acted as filters for information processing, as increasing conservatism was associated with decreasing perceptions of risk, increasing perceptions of benefits, and increased support for building more nuclear power facilities, even while controlling for the impacts of Fukushima. Indeed, </w:t>
      </w:r>
      <w:hyperlink w:anchor="tbl-med">
        <w:r w:rsidRPr="00555117">
          <w:rPr>
            <w:rFonts w:ascii="Times New Roman" w:hAnsi="Times New Roman" w:cs="Times New Roman"/>
          </w:rPr>
          <w:t>Table 4.3</w:t>
        </w:r>
      </w:hyperlink>
      <w:r w:rsidRPr="00555117">
        <w:rPr>
          <w:rFonts w:ascii="Times New Roman" w:hAnsi="Times New Roman" w:cs="Times New Roman"/>
        </w:rPr>
        <w:t xml:space="preserve"> illustrates that the deep core belief of ideology had a larger overall effect on nuclear energy beliefs than the Fukushima accident. Thus, even as learning occurred regarding policy core and secondary beliefs, that learning was shaped and muted by deep core beliefs.</w:t>
      </w:r>
    </w:p>
    <w:p w14:paraId="3E2004CB"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The model of learning through information processing discussed thus far focuses on beliefs and information processing among policy actors; however, for belief change to lead to policy change, it must </w:t>
      </w:r>
      <w:r w:rsidRPr="00555117">
        <w:rPr>
          <w:rFonts w:ascii="Times New Roman" w:hAnsi="Times New Roman" w:cs="Times New Roman"/>
        </w:rPr>
        <w:lastRenderedPageBreak/>
        <w:t>be understood within the broader context of policymaking. In the next chapter, we examine how the model fits into the broader policymaking system and how learning can lead to policy change.</w:t>
      </w:r>
    </w:p>
    <w:p w14:paraId="51F3E8DD" w14:textId="77777777" w:rsidR="007F59ED" w:rsidRDefault="007F59ED">
      <w:pPr>
        <w:rPr>
          <w:rFonts w:ascii="Times New Roman" w:eastAsiaTheme="majorEastAsia" w:hAnsi="Times New Roman" w:cs="Times New Roman"/>
          <w:color w:val="2F5496" w:themeColor="accent1" w:themeShade="BF"/>
          <w:kern w:val="0"/>
          <w:sz w:val="32"/>
          <w:szCs w:val="32"/>
          <w:lang w:val="en-US"/>
          <w14:ligatures w14:val="none"/>
        </w:rPr>
      </w:pPr>
      <w:bookmarkStart w:id="37" w:name="X9d489ca61f118e5ad058e5f729a06a7b0563eec"/>
      <w:bookmarkStart w:id="38" w:name="_Toc223685854"/>
      <w:bookmarkEnd w:id="21"/>
      <w:bookmarkEnd w:id="36"/>
      <w:r>
        <w:rPr>
          <w:rFonts w:ascii="Times New Roman" w:hAnsi="Times New Roman" w:cs="Times New Roman"/>
        </w:rPr>
        <w:br w:type="page"/>
      </w:r>
    </w:p>
    <w:p w14:paraId="3E2004CC" w14:textId="18781615" w:rsidR="007E38AB" w:rsidRPr="00555117" w:rsidRDefault="00000000">
      <w:pPr>
        <w:pStyle w:val="Heading1"/>
        <w:rPr>
          <w:rFonts w:ascii="Times New Roman" w:hAnsi="Times New Roman" w:cs="Times New Roman"/>
        </w:rPr>
      </w:pPr>
      <w:r w:rsidRPr="00555117">
        <w:rPr>
          <w:rFonts w:ascii="Times New Roman" w:hAnsi="Times New Roman" w:cs="Times New Roman"/>
        </w:rPr>
        <w:lastRenderedPageBreak/>
        <w:t>5. Information Processing, Learning, and Policy Change</w:t>
      </w:r>
      <w:bookmarkEnd w:id="38"/>
    </w:p>
    <w:p w14:paraId="3E2004CD" w14:textId="77777777" w:rsidR="007E38AB" w:rsidRPr="00555117" w:rsidRDefault="00000000">
      <w:pPr>
        <w:rPr>
          <w:rFonts w:ascii="Times New Roman" w:hAnsi="Times New Roman" w:cs="Times New Roman"/>
        </w:rPr>
      </w:pPr>
      <w:bookmarkStart w:id="39" w:name="introduction-4"/>
      <w:r w:rsidRPr="00555117">
        <w:rPr>
          <w:rFonts w:ascii="Times New Roman" w:hAnsi="Times New Roman" w:cs="Times New Roman"/>
        </w:rPr>
        <w:t>5.1 Introduction</w:t>
      </w:r>
    </w:p>
    <w:p w14:paraId="3E2004CE" w14:textId="77777777" w:rsidR="007E38AB" w:rsidRPr="00555117" w:rsidRDefault="00000000">
      <w:pPr>
        <w:rPr>
          <w:rFonts w:ascii="Times New Roman" w:hAnsi="Times New Roman" w:cs="Times New Roman"/>
        </w:rPr>
      </w:pPr>
      <w:r w:rsidRPr="00555117">
        <w:rPr>
          <w:rFonts w:ascii="Times New Roman" w:hAnsi="Times New Roman" w:cs="Times New Roman"/>
        </w:rPr>
        <w:t>Chapters 3 and 4, illustrated that the learning through information processing model accounts for beliefs and their distributions, information processing as the weighing of information signals, and the subsequent changes (or stability) in beliefs and their distributions as a result of information and information processing. In this chapter, we connect the model to systemic policymaking structures that shape information processing and learning, and, further, we discuss how learning connects to behavior and policy change.</w:t>
      </w:r>
    </w:p>
    <w:p w14:paraId="3E2004CF" w14:textId="77777777" w:rsidR="007E38AB" w:rsidRPr="00555117" w:rsidRDefault="00000000">
      <w:pPr>
        <w:rPr>
          <w:rFonts w:ascii="Times New Roman" w:hAnsi="Times New Roman" w:cs="Times New Roman"/>
        </w:rPr>
      </w:pPr>
      <w:r w:rsidRPr="00555117">
        <w:rPr>
          <w:rFonts w:ascii="Times New Roman" w:hAnsi="Times New Roman" w:cs="Times New Roman"/>
        </w:rPr>
        <w:t>At the most fundamental level, information constitutes the fuel of individual and collective behavior related to policymaking. Hence, recent policy process scholarship has sought to combine policy-oriented learning from the Advocacy Coalition Framework (ACF) with the information processing perspective of Punctuated Equilibrium Theory (PET) (Nowlin, 2021, 2024). However, the broader policy learning literature has had an inherent and essential focus on information that helped advance it to the ranks of policy process ontologies, enabling the learning lens to generate meaningful insights into policymaking processes by deciphering why, when, and how policy actors engage with information to learn about policy problems (Kamkhaji, 2022; Zaki et al., 2022; Zaki, 2024b). So, how do information and knowledge primarily feature in policy learning research?</w:t>
      </w:r>
    </w:p>
    <w:p w14:paraId="3E2004D0" w14:textId="77777777" w:rsidR="007E38AB" w:rsidRPr="00555117" w:rsidRDefault="00000000">
      <w:pPr>
        <w:rPr>
          <w:rFonts w:ascii="Times New Roman" w:hAnsi="Times New Roman" w:cs="Times New Roman"/>
        </w:rPr>
      </w:pPr>
      <w:r w:rsidRPr="00555117">
        <w:rPr>
          <w:rFonts w:ascii="Times New Roman" w:hAnsi="Times New Roman" w:cs="Times New Roman"/>
        </w:rPr>
        <w:t>Broadly speaking, the policy learning literature engages with the role of information and knowledge in learning; however, this is predominantly done at the meso- and macro-levels. For example, at the meso-level, there is a longstanding literature exploring the role of information and knowledge in public organizations’ learning processes (Arnold, 2014; Jenkins-Smith, 1988; S. Lee et al., 2020), advisory groups and different sub-organizational units (Candel et al., 2023; Mavrot et al., 2024; Nair &amp; Garg, 2024; Zaki &amp; Wayenberg, 2021), and within and across coalitions operating in policy subsystems (Jenkins-Smith &amp; Sabatier, 1993; Nohrstedt et al., 2023; Sabatier &amp; Jenkins-Smith, 1993). Similarly, there is substantive research on the role of information and knowledge at the macro and systemic levels, which involves looking at governance systems and societal paradigmatic transformation induced by the introduction of new information and knowledge, whether through instrumental, reflexive, or social learning (Challies et al., 2017; Hall, 1993; Heclo, 1974; B. Zaki et al., 2024). These contributions have helped develop nuanced theoretical understandings of the role of information and knowledge in policy learning and policy change. However, on the micro-foundational level, research remains somewhat limited overall. Here, we find remarkable yet sparse contributions, mainly focusing on exploring the influence of reasoning paradigms and heuristics on learning (Beach et al., 2021; Malkamäki et al., 2021; Wagner &amp; Ylä-Anttila, 2020). Hence, a granular microfoundational understanding of how information is processed during the learning process, leading to cognitive and behavioral outcomes, remains scarcely theorized. This limits our ability to coherently analyze how learning occurs at the individual level and aggregates to the collective level, and then trace how this learning ties into and drives varieties of change.</w:t>
      </w:r>
    </w:p>
    <w:p w14:paraId="3E2004D1" w14:textId="77777777" w:rsidR="007E38AB" w:rsidRPr="00555117" w:rsidRDefault="00000000">
      <w:pPr>
        <w:rPr>
          <w:rFonts w:ascii="Times New Roman" w:hAnsi="Times New Roman" w:cs="Times New Roman"/>
        </w:rPr>
      </w:pPr>
      <w:r w:rsidRPr="00555117">
        <w:rPr>
          <w:rFonts w:ascii="Times New Roman" w:hAnsi="Times New Roman" w:cs="Times New Roman"/>
        </w:rPr>
        <w:t>Thus far in this element, we have developed a model of how policy actors can learn through information processing and applied the model to the case of nuclear energy beliefs. The model is based in a micro-foundational understanding of learning as a result of information and information processing, and as a result can fill in the research gap regarding learning at the individual level. Yet, the model needs to be integrated into the broader policymaking system so that the process of learning to policy change can be effectively traced.</w:t>
      </w:r>
    </w:p>
    <w:p w14:paraId="3E2004D2"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In this chapter, we bring together the work on information and information processing in the policy process from PET and recent work on policy-embedded learning that sought to provide a generalized </w:t>
      </w:r>
      <w:r w:rsidRPr="00555117">
        <w:rPr>
          <w:rFonts w:ascii="Times New Roman" w:hAnsi="Times New Roman" w:cs="Times New Roman"/>
        </w:rPr>
        <w:lastRenderedPageBreak/>
        <w:t>framework for policy learning by synthesizing various approaches (Zaki et al., 2022). This allows us to develop a systematic and theoretically coherent approach to understanding the role of information and information processing in policy learning that builds on the micro-level model and takes a systemic approach to learning and policy change. In the next section, we establish a conceptual backdrop for an information-processing approach to learning. Then, we discuss information and information processing.</w:t>
      </w:r>
    </w:p>
    <w:p w14:paraId="3E2004D3" w14:textId="77777777" w:rsidR="007E38AB" w:rsidRPr="00555117" w:rsidRDefault="00000000">
      <w:pPr>
        <w:rPr>
          <w:rFonts w:ascii="Times New Roman" w:hAnsi="Times New Roman" w:cs="Times New Roman"/>
        </w:rPr>
      </w:pPr>
      <w:bookmarkStart w:id="40" w:name="X57c0d048299ba0bede1e4d05020e39ae7a3e80e"/>
      <w:bookmarkEnd w:id="39"/>
      <w:r w:rsidRPr="00555117">
        <w:rPr>
          <w:rFonts w:ascii="Times New Roman" w:hAnsi="Times New Roman" w:cs="Times New Roman"/>
        </w:rPr>
        <w:t>5.2 Policy-Embedded Learning: A Conceptual Backdrop for an Information-Processing Approach</w:t>
      </w:r>
    </w:p>
    <w:p w14:paraId="3E2004D4" w14:textId="77777777" w:rsidR="007E38AB" w:rsidRPr="00555117" w:rsidRDefault="00000000">
      <w:pPr>
        <w:rPr>
          <w:rFonts w:ascii="Times New Roman" w:hAnsi="Times New Roman" w:cs="Times New Roman"/>
        </w:rPr>
      </w:pPr>
      <w:r w:rsidRPr="00555117">
        <w:rPr>
          <w:rFonts w:ascii="Times New Roman" w:hAnsi="Times New Roman" w:cs="Times New Roman"/>
        </w:rPr>
        <w:t>Policy learning has often been considered a puzzling and analytically elusive phenomenon. Hence, as noted in Chapter 2, different conceptual approaches to viewing or unpacking learning have been developed. While these approaches successfully capture a wide range of perspectives on learning, in many cases they do not offer the precise conceptual dimensions that enable robust, systematic analyses. Along with the fundamentally elusive nature of learning and its normative appeal as a concept, this led to learning research being labelled as a conceptual minefield, an overly crowded landscape with a dizzying array of definitions, or even as a metaphor rather than a coherent analytical lens (see Borrás, 2011; Goyal &amp; Howlett, 2019; Levy, 1994).</w:t>
      </w:r>
    </w:p>
    <w:p w14:paraId="3E2004D5"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The first step to building a coherent theoretical or analytically viable approach to analyzing learning is to start from a clear conceptual foundation, with coherent ontological-epistemological assumptions that drive our analytical approach (Zaki &amp; Radaelli, 2024). With a focus on the information processing perspective on learning, we draw on the conceptualization of </w:t>
      </w:r>
      <w:r w:rsidRPr="00555117">
        <w:rPr>
          <w:rFonts w:ascii="Times New Roman" w:hAnsi="Times New Roman" w:cs="Times New Roman"/>
          <w:i/>
          <w:iCs/>
        </w:rPr>
        <w:t>policy-embedded learning</w:t>
      </w:r>
      <w:r w:rsidRPr="00555117">
        <w:rPr>
          <w:rFonts w:ascii="Times New Roman" w:hAnsi="Times New Roman" w:cs="Times New Roman"/>
        </w:rPr>
        <w:t>, where learning is central to policymaking and is embedded within the broader policymaking context. Information is key in this approach, and learning can be understood as “The circulation and consumption of policy issue-related information and knowledge among policy actors embedded within a policy system within multilevel structures in a certain policymaking context” (Zaki et al., 2022, p. 22).</w:t>
      </w:r>
    </w:p>
    <w:p w14:paraId="3E2004D6" w14:textId="78DA5E18" w:rsidR="007E38AB" w:rsidRPr="00555117" w:rsidRDefault="00000000">
      <w:pPr>
        <w:rPr>
          <w:rFonts w:ascii="Times New Roman" w:hAnsi="Times New Roman" w:cs="Times New Roman"/>
        </w:rPr>
      </w:pPr>
      <w:r w:rsidRPr="00555117">
        <w:rPr>
          <w:rFonts w:ascii="Times New Roman" w:hAnsi="Times New Roman" w:cs="Times New Roman"/>
        </w:rPr>
        <w:t xml:space="preserve">Any systemic approach that centers learning as a driver of policy processes must account for several key elements of policymaking, including actors making choices and interacting in many venues; institutions; networks or subsystems; ideas or beliefs; policy contexts; and events (Cairney &amp; Heikkila, 2023, pp. 293–294). </w:t>
      </w:r>
      <w:hyperlink w:anchor="fig-pel">
        <w:r w:rsidRPr="00555117">
          <w:rPr>
            <w:rFonts w:ascii="Times New Roman" w:hAnsi="Times New Roman" w:cs="Times New Roman"/>
          </w:rPr>
          <w:t>Figure 5.1</w:t>
        </w:r>
      </w:hyperlink>
      <w:r w:rsidRPr="00555117">
        <w:rPr>
          <w:rFonts w:ascii="Times New Roman" w:hAnsi="Times New Roman" w:cs="Times New Roman"/>
        </w:rPr>
        <w:t xml:space="preserve"> illustrates the policy-embedded learning framework and the various policymaking elements it features. Of note, the learning through information processing model is actor-centered, yet policy actors engage within and across various governance systems and networks, within and across various information environments, and all within a policy context. Below, we expand on the framework.</w:t>
      </w:r>
    </w:p>
    <w:tbl>
      <w:tblPr>
        <w:tblW w:w="5000" w:type="pct"/>
        <w:tblLayout w:type="fixed"/>
        <w:tblLook w:val="0000" w:firstRow="0" w:lastRow="0" w:firstColumn="0" w:lastColumn="0" w:noHBand="0" w:noVBand="0"/>
      </w:tblPr>
      <w:tblGrid>
        <w:gridCol w:w="9360"/>
      </w:tblGrid>
      <w:tr w:rsidR="007E38AB" w:rsidRPr="00555117" w14:paraId="3E2004D9" w14:textId="77777777">
        <w:tc>
          <w:tcPr>
            <w:tcW w:w="7920" w:type="dxa"/>
          </w:tcPr>
          <w:p w14:paraId="4F6C6829" w14:textId="77777777" w:rsidR="007F59ED" w:rsidRDefault="007F59ED">
            <w:pPr>
              <w:spacing w:before="200"/>
              <w:rPr>
                <w:rFonts w:ascii="Times New Roman" w:hAnsi="Times New Roman" w:cs="Times New Roman"/>
              </w:rPr>
            </w:pPr>
            <w:bookmarkStart w:id="41" w:name="fig-pel"/>
          </w:p>
          <w:p w14:paraId="3FBA2B31" w14:textId="77777777" w:rsidR="007F59ED" w:rsidRDefault="007F59ED">
            <w:pPr>
              <w:spacing w:before="200"/>
              <w:rPr>
                <w:rFonts w:ascii="Times New Roman" w:hAnsi="Times New Roman" w:cs="Times New Roman"/>
              </w:rPr>
            </w:pPr>
          </w:p>
          <w:p w14:paraId="02A5DE7E" w14:textId="77777777" w:rsidR="007F59ED" w:rsidRDefault="007F59ED">
            <w:pPr>
              <w:spacing w:before="200"/>
              <w:rPr>
                <w:rFonts w:ascii="Times New Roman" w:hAnsi="Times New Roman" w:cs="Times New Roman"/>
              </w:rPr>
            </w:pPr>
          </w:p>
          <w:p w14:paraId="5147927E" w14:textId="77777777" w:rsidR="007F59ED" w:rsidRDefault="007F59ED">
            <w:pPr>
              <w:spacing w:before="200"/>
              <w:rPr>
                <w:rFonts w:ascii="Times New Roman" w:hAnsi="Times New Roman" w:cs="Times New Roman"/>
              </w:rPr>
            </w:pPr>
          </w:p>
          <w:p w14:paraId="41D904AA" w14:textId="77777777" w:rsidR="007F59ED" w:rsidRDefault="007F59ED">
            <w:pPr>
              <w:spacing w:before="200"/>
              <w:rPr>
                <w:rFonts w:ascii="Times New Roman" w:hAnsi="Times New Roman" w:cs="Times New Roman"/>
              </w:rPr>
            </w:pPr>
          </w:p>
          <w:p w14:paraId="0E91F794" w14:textId="77777777" w:rsidR="007F59ED" w:rsidRDefault="007F59ED">
            <w:pPr>
              <w:spacing w:before="200"/>
              <w:rPr>
                <w:rFonts w:ascii="Times New Roman" w:hAnsi="Times New Roman" w:cs="Times New Roman"/>
              </w:rPr>
            </w:pPr>
          </w:p>
          <w:p w14:paraId="216B64B5" w14:textId="77777777" w:rsidR="007F59ED" w:rsidRDefault="007F59ED">
            <w:pPr>
              <w:spacing w:before="200"/>
              <w:rPr>
                <w:rFonts w:ascii="Times New Roman" w:hAnsi="Times New Roman" w:cs="Times New Roman"/>
              </w:rPr>
            </w:pPr>
          </w:p>
          <w:p w14:paraId="04862E4A" w14:textId="77777777" w:rsidR="007F59ED" w:rsidRDefault="007F59ED">
            <w:pPr>
              <w:spacing w:before="200"/>
              <w:rPr>
                <w:rFonts w:ascii="Times New Roman" w:hAnsi="Times New Roman" w:cs="Times New Roman"/>
              </w:rPr>
            </w:pPr>
          </w:p>
          <w:p w14:paraId="3E2004D7" w14:textId="30032A9A" w:rsidR="007E38AB" w:rsidRPr="00555117" w:rsidRDefault="00000000">
            <w:pPr>
              <w:spacing w:before="200"/>
              <w:rPr>
                <w:rFonts w:ascii="Times New Roman" w:hAnsi="Times New Roman" w:cs="Times New Roman"/>
              </w:rPr>
            </w:pPr>
            <w:r w:rsidRPr="00555117">
              <w:rPr>
                <w:rFonts w:ascii="Times New Roman" w:hAnsi="Times New Roman" w:cs="Times New Roman"/>
              </w:rPr>
              <w:lastRenderedPageBreak/>
              <w:t>Figure 5.1: Policy-Embedded Learning</w:t>
            </w:r>
          </w:p>
          <w:p w14:paraId="3E2004D8" w14:textId="77777777" w:rsidR="007E38AB" w:rsidRPr="00555117" w:rsidRDefault="00000000">
            <w:pPr>
              <w:jc w:val="center"/>
              <w:rPr>
                <w:rFonts w:ascii="Times New Roman" w:hAnsi="Times New Roman" w:cs="Times New Roman"/>
              </w:rPr>
            </w:pPr>
            <w:r w:rsidRPr="00555117">
              <w:rPr>
                <w:rFonts w:ascii="Times New Roman" w:hAnsi="Times New Roman" w:cs="Times New Roman"/>
                <w:noProof/>
              </w:rPr>
              <w:drawing>
                <wp:inline distT="0" distB="0" distL="0" distR="0" wp14:anchorId="3E2005F4" wp14:editId="3E2005F5">
                  <wp:extent cx="4340352" cy="3096768"/>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pel.png"/>
                          <pic:cNvPicPr>
                            <a:picLocks noChangeAspect="1" noChangeArrowheads="1"/>
                          </pic:cNvPicPr>
                        </pic:nvPicPr>
                        <pic:blipFill>
                          <a:blip r:embed="rId11"/>
                          <a:stretch>
                            <a:fillRect/>
                          </a:stretch>
                        </pic:blipFill>
                        <pic:spPr bwMode="auto">
                          <a:xfrm>
                            <a:off x="0" y="0"/>
                            <a:ext cx="4340352" cy="3096768"/>
                          </a:xfrm>
                          <a:prstGeom prst="rect">
                            <a:avLst/>
                          </a:prstGeom>
                          <a:noFill/>
                          <a:ln w="9525">
                            <a:noFill/>
                            <a:headEnd/>
                            <a:tailEnd/>
                          </a:ln>
                        </pic:spPr>
                      </pic:pic>
                    </a:graphicData>
                  </a:graphic>
                </wp:inline>
              </w:drawing>
            </w:r>
          </w:p>
        </w:tc>
        <w:bookmarkEnd w:id="41"/>
      </w:tr>
    </w:tbl>
    <w:p w14:paraId="3E2004DA" w14:textId="239E558A" w:rsidR="007E38AB" w:rsidRPr="00555117" w:rsidRDefault="00000000">
      <w:pPr>
        <w:rPr>
          <w:rFonts w:ascii="Times New Roman" w:hAnsi="Times New Roman" w:cs="Times New Roman"/>
        </w:rPr>
      </w:pPr>
      <w:r w:rsidRPr="00555117">
        <w:rPr>
          <w:rFonts w:ascii="Times New Roman" w:hAnsi="Times New Roman" w:cs="Times New Roman"/>
        </w:rPr>
        <w:lastRenderedPageBreak/>
        <w:t xml:space="preserve">The policy-embedded framework to learning was developed to address some of the field’s key conceptual and analytical challenges by providing a background conceptualization of the policy learning process that comports with (and supplements) existing approaches. This is done by serving three key purposes. First, identifying key fundamental and omnipresent analytical dimensions valid across different conceptual and field-specific approaches to learning, including policy actors, information and knowledge, systemic and cognitive structures, and policymaking contexts. With these dimensions in place, policy-embedded learning can also provide microfoundational understandings compatible with the conceptual approaches to learning discussed in </w:t>
      </w:r>
      <w:hyperlink w:anchor="tbl-learn-concept">
        <w:r w:rsidRPr="00555117">
          <w:rPr>
            <w:rFonts w:ascii="Times New Roman" w:hAnsi="Times New Roman" w:cs="Times New Roman"/>
          </w:rPr>
          <w:t>Table 2.1</w:t>
        </w:r>
      </w:hyperlink>
      <w:r w:rsidRPr="00555117">
        <w:rPr>
          <w:rFonts w:ascii="Times New Roman" w:hAnsi="Times New Roman" w:cs="Times New Roman"/>
        </w:rPr>
        <w:t>. For example, this approach works well with paradigmatic learning, which involves policy actors learning to improve policy approaches and outcomes. Additionally, the policy-embedded learning framework can also account for outcome-oriented perspectives, as the interaction of policy actors can lead to multiple learning outcomes. Finally, taking an ideational approach, policy-embedded learning matches well with the mobility of ideas and information signals across jurisdictions and their interaction within the various systems and structures where policymaking occurs.</w:t>
      </w:r>
    </w:p>
    <w:p w14:paraId="3E2004DB" w14:textId="324BE5E1" w:rsidR="007E38AB" w:rsidRPr="00555117" w:rsidRDefault="00000000">
      <w:pPr>
        <w:rPr>
          <w:rFonts w:ascii="Times New Roman" w:hAnsi="Times New Roman" w:cs="Times New Roman"/>
        </w:rPr>
      </w:pPr>
      <w:r w:rsidRPr="00555117">
        <w:rPr>
          <w:rFonts w:ascii="Times New Roman" w:hAnsi="Times New Roman" w:cs="Times New Roman"/>
        </w:rPr>
        <w:t xml:space="preserve">Second, these fundamental dimensions also apply to different analytical levels – micro, meso, and macro – depicted in </w:t>
      </w:r>
      <w:hyperlink w:anchor="tbl-learn-levels">
        <w:r w:rsidRPr="00555117">
          <w:rPr>
            <w:rFonts w:ascii="Times New Roman" w:hAnsi="Times New Roman" w:cs="Times New Roman"/>
          </w:rPr>
          <w:t>Table 2.2</w:t>
        </w:r>
      </w:hyperlink>
      <w:r w:rsidRPr="00555117">
        <w:rPr>
          <w:rFonts w:ascii="Times New Roman" w:hAnsi="Times New Roman" w:cs="Times New Roman"/>
        </w:rPr>
        <w:t>. Micro-level learning occurs at the level of individual policy actors, meso-level learning occurs within and across collectives, while macro-level learning takes place across an entire system. Thus, by tracing the role of information and knowledge therein, policy-embedded learning helps trace learning across multiple levels, leading to particular outcomes, especially through drawing on existing scholarship that outlines the mechanisms of learning aggregation within and across levels (see Dunlop &amp; Radaelli, 2017; Heikkila &amp; Gerlak, 2013).</w:t>
      </w:r>
    </w:p>
    <w:p w14:paraId="3E2004DC"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Third, and relatedly, it provides the ability to address the key limitation of several existing approaches to learning in the public policy literature, which has been largely borrowed from cognitive functional psychology, where learning is understood in terms of the impact of experience on behavior or as materializing as enduring changes in the mechanisms of behavior (Lachman, 1997; Ormrod, 2019). The cognitive approach, while having its benefits, endures fundamental issues in providing the ability to analytically separate the learning process from its outcomes, mainly due to the inherently obscured causal </w:t>
      </w:r>
      <w:r w:rsidRPr="00555117">
        <w:rPr>
          <w:rFonts w:ascii="Times New Roman" w:hAnsi="Times New Roman" w:cs="Times New Roman"/>
        </w:rPr>
        <w:lastRenderedPageBreak/>
        <w:t>pathways between experience, behavioral change, and learning on the one hand, and the latencies between cues and perceived outcomes on the other (De Houwer, 2011; De Houwer et al., 2013). These issues are exacerbated when the same approach is ported to a messy, politicized context such as policymaking (Zaki et al., 2022).</w:t>
      </w:r>
    </w:p>
    <w:p w14:paraId="3E2004DD" w14:textId="77777777" w:rsidR="007E38AB" w:rsidRPr="00555117" w:rsidRDefault="00000000">
      <w:pPr>
        <w:rPr>
          <w:rFonts w:ascii="Times New Roman" w:hAnsi="Times New Roman" w:cs="Times New Roman"/>
        </w:rPr>
      </w:pPr>
      <w:r w:rsidRPr="00555117">
        <w:rPr>
          <w:rFonts w:ascii="Times New Roman" w:hAnsi="Times New Roman" w:cs="Times New Roman"/>
        </w:rPr>
        <w:t>With the three elements discussed above in place, the policy-embedded learning framework places a premium on the role of information processing in shaping learning processes and outcomes while accounting for the interplay between policymaking contexts, as well as different levels of structures surrounding the learning process, including micro-foundational such as prior beliefs, biases, heuristics and sense-making frames, as well as more systemic structures such as institutional setups, rules, and governance structures. The emphasis on information and knowledge in this approach, as well as in the broader policy learning literature, can be attributed to its core role in shaping policy actors’ understanding of policy problems and, thus, their patterns of cognitive update and changes in policy behavior. For example, literature shows that various features of the information fed into the learning process (e.g., its disciplinary nature, complexity, accessibility, robustness, and credibility) and the cognitive frameworks through which it is processed or filtered (e.g., biases, heuristics, prior beliefs, and policy preferences) significantly influence learning outcomes (Malkamäki et al., 2021; Moyson, 2017, 2018; Nowlin, 2021, 2024; Wagner &amp; Ylä-Anttila, 2020; Zaki et al., 2022).</w:t>
      </w:r>
    </w:p>
    <w:p w14:paraId="3E2004DE" w14:textId="77777777" w:rsidR="007E38AB" w:rsidRPr="00555117" w:rsidRDefault="00000000">
      <w:pPr>
        <w:rPr>
          <w:rFonts w:ascii="Times New Roman" w:hAnsi="Times New Roman" w:cs="Times New Roman"/>
        </w:rPr>
      </w:pPr>
      <w:r w:rsidRPr="00555117">
        <w:rPr>
          <w:rFonts w:ascii="Times New Roman" w:hAnsi="Times New Roman" w:cs="Times New Roman"/>
        </w:rPr>
        <w:t>Having established a conceptual approach to information-processing-based policy learning and emphasizing the centrality of information and information processing therein, we next focus on the role of information and information processing in learning, including its availability and how it is processed in a collective context.</w:t>
      </w:r>
    </w:p>
    <w:p w14:paraId="3E2004DF" w14:textId="77777777" w:rsidR="007E38AB" w:rsidRPr="00555117" w:rsidRDefault="00000000">
      <w:pPr>
        <w:rPr>
          <w:rFonts w:ascii="Times New Roman" w:hAnsi="Times New Roman" w:cs="Times New Roman"/>
        </w:rPr>
      </w:pPr>
      <w:bookmarkStart w:id="42" w:name="information-processing"/>
      <w:bookmarkEnd w:id="40"/>
      <w:r w:rsidRPr="00555117">
        <w:rPr>
          <w:rFonts w:ascii="Times New Roman" w:hAnsi="Times New Roman" w:cs="Times New Roman"/>
        </w:rPr>
        <w:t>5.3 Information Processing</w:t>
      </w:r>
    </w:p>
    <w:p w14:paraId="3E2004E0" w14:textId="77777777" w:rsidR="007E38AB" w:rsidRPr="00555117" w:rsidRDefault="00000000">
      <w:pPr>
        <w:rPr>
          <w:rFonts w:ascii="Times New Roman" w:hAnsi="Times New Roman" w:cs="Times New Roman"/>
        </w:rPr>
      </w:pPr>
      <w:r w:rsidRPr="00555117">
        <w:rPr>
          <w:rFonts w:ascii="Times New Roman" w:hAnsi="Times New Roman" w:cs="Times New Roman"/>
        </w:rPr>
        <w:t>As earlier noted, the work on information processing in policy process research has been developed by scholars using the Punctuated Equilibrium Theory (PET) of the policy process (Baumgartner et al., 2023; Baumgartner &amp; Jones, 1993, 2015; B. D. Jones &amp; Baumgartner, 2005b, 2012). PET explains policy processes that involve periods of stability and incremental change coupled with periods of significant, rapid, and punctuated change. In brief, PET posits that stability and incremental change result from issues being contained within a subsystem, and punctuations occur as issues move between a subsystem and the macro-institutions of policymaking through positive feedback, changing policy images, shifting policy venues, and/or new policy actors becoming engaged. As such, this has helped PET expand into a theory of information processing and attention in political systems.</w:t>
      </w:r>
    </w:p>
    <w:p w14:paraId="3E2004E1" w14:textId="77777777" w:rsidR="007E38AB" w:rsidRPr="00555117" w:rsidRDefault="00000000">
      <w:pPr>
        <w:rPr>
          <w:rFonts w:ascii="Times New Roman" w:hAnsi="Times New Roman" w:cs="Times New Roman"/>
        </w:rPr>
      </w:pPr>
      <w:r w:rsidRPr="00555117">
        <w:rPr>
          <w:rFonts w:ascii="Times New Roman" w:hAnsi="Times New Roman" w:cs="Times New Roman"/>
        </w:rPr>
        <w:t>Information and information processing for policymaking involve a sender and a receiver. In general, information for policymaking is imperfect, costly, and asymmetric (Baumgartner &amp; Jones, 2015). The imperfection of information stems from the knowledge and cognitive limitations of humans; individuals can’t acquire all the information required to fully understand all the relevant dimensions and possible outcomes associated with a decision. As a result, individuals “satisfice,” or acquire information until they are satisfied that they have enough knowledge to make a decision (Simon, 1955, 1997). Additionally, information is costly for both the sender and the receiver. For the sender, the costs of information involve its acquisition, and for the receiver, the costs are associated with processing. Often, the sender has developed, at great cost, some expertise about the policy issue that other policy actors do not have. As a result, information for policymaking is typically asymmetric since equal knowledge about an issue is not shared among all policy actors (Krehbiel, 1991).</w:t>
      </w:r>
    </w:p>
    <w:p w14:paraId="3E2004E2"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Another important component of information for policymaking is its supply. Information may be private or public and keeping or sharing information is a strategic decision for policy actors. For example, a </w:t>
      </w:r>
      <w:r w:rsidRPr="00555117">
        <w:rPr>
          <w:rFonts w:ascii="Times New Roman" w:hAnsi="Times New Roman" w:cs="Times New Roman"/>
        </w:rPr>
        <w:lastRenderedPageBreak/>
        <w:t>policy actor with expertise about a policy issue may keep some information private so that they can influence policy decisions towards their preferences (e.g., Niskanen, 1971). However, if a policy actor is not providing information other actors will likely rush to fill in the gap. Therefore, information in policymaking tends to have an abundant supply because policy actors find it in their interest to be public about their knowledge in an effort to shape how policy issues are defined (Baumgartner &amp; Jones, 2015; Workman et al., 2009). An additional factor shaping the abundant supply of information are the various government agencies that have been created to collect a vast array of information about societal issues (Workman, 2015).</w:t>
      </w:r>
    </w:p>
    <w:p w14:paraId="3E2004E3" w14:textId="77777777" w:rsidR="007E38AB" w:rsidRPr="00555117" w:rsidRDefault="00000000">
      <w:pPr>
        <w:rPr>
          <w:rFonts w:ascii="Times New Roman" w:hAnsi="Times New Roman" w:cs="Times New Roman"/>
        </w:rPr>
      </w:pPr>
      <w:r w:rsidRPr="00555117">
        <w:rPr>
          <w:rFonts w:ascii="Times New Roman" w:hAnsi="Times New Roman" w:cs="Times New Roman"/>
        </w:rPr>
        <w:t>Given the incentives for policy actors to share information, information is not a scarce resource for policymaking. Indeed, policy actors and policymaking institutions are bombarded with information from various sources. As a result, information and the prioritization and processing of information are key to the policy process (Workman et al., 2009). In the information processing approach, information is understood as “signals of change” that emanate from the broader societal environment, and information processing is the “collecting, assembling, interpreting, and prioritizing” of those signals (B. D. Jones &amp; Baumgartner, 2005b, p. 7). Information signals that flow into the policymaking system vary but can be categorized as belonging to one of the streams identified by the Multiple Streams Framework (Herweg et al., 2023; Kingdon, 1984), including information about the problem, possible policy approaches or solutions, and the politics surrounding the issue (Nowlin, 2019). Information processing involves processing these signals; however, given that the supply of information possibly relevant for policymaking is large, neither individuals nor institutions can adequately process the vast number of information signals they receive.</w:t>
      </w:r>
    </w:p>
    <w:p w14:paraId="3E2004E4" w14:textId="77777777" w:rsidR="007E38AB" w:rsidRPr="00555117" w:rsidRDefault="00000000">
      <w:pPr>
        <w:rPr>
          <w:rFonts w:ascii="Times New Roman" w:hAnsi="Times New Roman" w:cs="Times New Roman"/>
        </w:rPr>
      </w:pPr>
      <w:r w:rsidRPr="00555117">
        <w:rPr>
          <w:rFonts w:ascii="Times New Roman" w:hAnsi="Times New Roman" w:cs="Times New Roman"/>
        </w:rPr>
        <w:t>Attention to only some information signals, because of the inability of actors or institutions to attend to all information, becomes a key limiting factor for how information is translated into policy learning and, ultimately, to policy change or stability. Individuals and institutions have limited capacity to process all relevant and available information. In addition, policymaking institutions impose costs that add friction to the process of translating information into policy action (B. D. Jones &amp; Baumgartner, 2005b). These dynamics lead to disproportionate information processing, where some signals are overemphasized while others are ignored or de-emphasized (B. D. Jones &amp; Baumgartner, 2005b; B. D. Jones &amp; Thomas, 2012; Walgrave &amp; Dejaeghere, 2016). Disproportionate information processing limits the policy learning that could occur from potentially relevant information.</w:t>
      </w:r>
    </w:p>
    <w:p w14:paraId="3E2004E5" w14:textId="77777777" w:rsidR="007E38AB" w:rsidRPr="00555117" w:rsidRDefault="00000000">
      <w:pPr>
        <w:rPr>
          <w:rFonts w:ascii="Times New Roman" w:hAnsi="Times New Roman" w:cs="Times New Roman"/>
        </w:rPr>
      </w:pPr>
      <w:r w:rsidRPr="00555117">
        <w:rPr>
          <w:rFonts w:ascii="Times New Roman" w:hAnsi="Times New Roman" w:cs="Times New Roman"/>
        </w:rPr>
        <w:t>Several factors limit the ability of individuals to process all relevant information, with the most notable being the bounded-rationality of individuals (B. D. Jones, 2002). In addition, attention to some information signals rather than others is driven by policy actors’ beliefs, biases, and motivations. Actors motivated by accuracy would likely process information differently than those motivated to reach or maintain a specific conclusion or predetermined policy choices (Druckman &amp; McGrath, 2019; Kunda, 1990; Zaki &amp; Wayenberg, 2021). Along similar lines, prior beliefs can shape how policy actors process information, as they likely weight information based on its accordance with policy beliefs, as shown in Chapter 4.</w:t>
      </w:r>
    </w:p>
    <w:p w14:paraId="3E2004E6"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The nature of political institutions – the rules that govern collective action and shape collective outcomes – also constrain information processing by imposing costs on collective choices, including decision costs and transaction costs (B. D. Jones &amp; Baumgartner, 2005b). Decision costs are the costs associated with decision-making, or coming to an agreement. These costs involve the bargaining and persuasion needed to reach a decision. However, most notable are the decision costs imposed by the structure of policymaking institutions and the level of agreement that is necessary to decide. Systems and structures that have separation of powers, shared authority spread across multiple institutions, and several veto </w:t>
      </w:r>
      <w:r w:rsidRPr="00555117">
        <w:rPr>
          <w:rFonts w:ascii="Times New Roman" w:hAnsi="Times New Roman" w:cs="Times New Roman"/>
        </w:rPr>
        <w:lastRenderedPageBreak/>
        <w:t>points impose high decision costs (Tsebelis, 2002). Decision costs also include the transaction costs associated with policy legitimation (e.g., voting on a bill, or promulgating a rule) that are incurred once a decision is made (B. D. Jones &amp; Baumgartner, 2005b).</w:t>
      </w:r>
    </w:p>
    <w:p w14:paraId="3E2004E7" w14:textId="77777777" w:rsidR="007E38AB" w:rsidRPr="00555117" w:rsidRDefault="00000000">
      <w:pPr>
        <w:rPr>
          <w:rFonts w:ascii="Times New Roman" w:hAnsi="Times New Roman" w:cs="Times New Roman"/>
        </w:rPr>
      </w:pPr>
      <w:r w:rsidRPr="00555117">
        <w:rPr>
          <w:rFonts w:ascii="Times New Roman" w:hAnsi="Times New Roman" w:cs="Times New Roman"/>
        </w:rPr>
        <w:t>Two other types of costs are also present: information costs and cognitive costs. Information costs involve costs associated with the search for relevant information for decision-making, and cognitive costs are related to the inability of actors and institutions to process all of the relevant information (B. D. Jones &amp; Baumgartner, 2005b). These costs are incurred once it becomes apparent that a decision, or a policy change needs to be made. As noted, actors and institutions have more information about problems, policies, and politics than they are able to process, yet as attention to a problem arises policy actors search for information about the problem. For example, the fact that the concentration of greenhouse gases is rising in the atmosphere due to human activity is an information signal within the “problem” information stream (Herweg et al., 2023; Kingdon, 1984; Nowlin, 2019). Yet, that information is largely unnoticed until the issue of climate change starts to receive attention from a broad array of policy actors and institutions and becomes salient (i.e., placed on the policymaking agenda) (B. D. Jones &amp; Baumgartner, 2005a, 2005b; see Kingdon, 1984). Search and cognitive costs limit which additional information signals are processed prior to a decision or policy change.</w:t>
      </w:r>
    </w:p>
    <w:p w14:paraId="3E2004E8" w14:textId="77777777" w:rsidR="007E38AB" w:rsidRPr="00555117" w:rsidRDefault="00000000">
      <w:pPr>
        <w:rPr>
          <w:rFonts w:ascii="Times New Roman" w:hAnsi="Times New Roman" w:cs="Times New Roman"/>
        </w:rPr>
      </w:pPr>
      <w:r w:rsidRPr="00555117">
        <w:rPr>
          <w:rFonts w:ascii="Times New Roman" w:hAnsi="Times New Roman" w:cs="Times New Roman"/>
        </w:rPr>
        <w:t>An additional element of search is that information search tends to lead to the finding of problems that need to be addressed, therefore making policy action more likely. Baumgartner &amp; Jones (2015) termed this the paradox of search. Additionally, the paradox of search also entails a trade-off between the diversity of information sources, which leads to an improved understanding of the problem, and control over the issue and what actions should be taken. Therefore, policy actors may seek to limit information search to maintain control in an effort to avoid blame for a problem or to curtail government actions for ideological reasons. For example, at a campaign rally in June 2020, President Trump, discussing COVID testing, noted, “When you do testing to that extent, you’re going to find more people, you’re going to find more cases … So I said to my people, ‘Slow the testing down, please.’ They test, and they test” (Freking, 2020). In this example, in Trump’s view, it is likely that increased COVID-19 testing would lead to a loss of control over the issue and to an increase in demand for a government response. However, limiting information search and attempting to control an issue hampers the possibility of learning, though that may be the intent.</w:t>
      </w:r>
    </w:p>
    <w:p w14:paraId="3E2004E9" w14:textId="77777777" w:rsidR="007E38AB" w:rsidRPr="00555117" w:rsidRDefault="00000000">
      <w:pPr>
        <w:rPr>
          <w:rFonts w:ascii="Times New Roman" w:hAnsi="Times New Roman" w:cs="Times New Roman"/>
        </w:rPr>
      </w:pPr>
      <w:r w:rsidRPr="00555117">
        <w:rPr>
          <w:rFonts w:ascii="Times New Roman" w:hAnsi="Times New Roman" w:cs="Times New Roman"/>
        </w:rPr>
        <w:t>Information processing for decision-making, at both the individual and collective level, involves four stages: a recognition stage, a characterization stage, an alternative stage, and a choice stage (B. D. Jones &amp; Baumgartner, 2005b). The recognition stage involves allocating attention to particular policy problems and information signals. The recognition stage translates to agenda-setting at the collective level. Information must first be acquired and attended to for learning through information processing. The next stage is the characterization stage, where the various attributes or dimensions of the problem are considered. As noted, most policy issues are complex and can be understood and defined in various ways. The characterization stage involves policy actors assembling and weighing the issue’s various dimensions to develop the definition (Nowlin, 2016).</w:t>
      </w:r>
    </w:p>
    <w:p w14:paraId="3E2004EA"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Following the characterization stage is the alternative stage, where policy alternatives are developed. As with the characterization stage, the alternative stage is multidimensional, and several possible policy alternatives are available. The understanding and definition of the problem constitute a multidimensional problem space, and the policy alternatives are a multidimensional solution space (Baumgartner &amp; Jones, 2015). Often, the dimensions of the issues weighted heavily in the construction of the problem space imply particular approaches in the solution space. For example, if the problem of gun violence is defined as mental health the policy alternatives would focus on addressing mental health issues. Different types of </w:t>
      </w:r>
      <w:r w:rsidRPr="00555117">
        <w:rPr>
          <w:rFonts w:ascii="Times New Roman" w:hAnsi="Times New Roman" w:cs="Times New Roman"/>
        </w:rPr>
        <w:lastRenderedPageBreak/>
        <w:t xml:space="preserve">information are needed to construct the problem space versus the solution space. When considering which problems to prioritize, it is best to get information from a diverse array of sources to develop a better understanding of the problem. This information type is called </w:t>
      </w:r>
      <w:r w:rsidRPr="00555117">
        <w:rPr>
          <w:rFonts w:ascii="Times New Roman" w:hAnsi="Times New Roman" w:cs="Times New Roman"/>
          <w:i/>
          <w:iCs/>
        </w:rPr>
        <w:t>entropic</w:t>
      </w:r>
      <w:r w:rsidRPr="00555117">
        <w:rPr>
          <w:rFonts w:ascii="Times New Roman" w:hAnsi="Times New Roman" w:cs="Times New Roman"/>
        </w:rPr>
        <w:t xml:space="preserve"> (Baumgartner &amp; Jones, 2015). Institutional structures that are decentralized can facilitate this type of learning (Epp, 2018; Heikkila &amp; Gerlak, 2013). However, when considering how to address problems, actors rely on </w:t>
      </w:r>
      <w:r w:rsidRPr="00555117">
        <w:rPr>
          <w:rFonts w:ascii="Times New Roman" w:hAnsi="Times New Roman" w:cs="Times New Roman"/>
          <w:i/>
          <w:iCs/>
        </w:rPr>
        <w:t>expert</w:t>
      </w:r>
      <w:r w:rsidRPr="00555117">
        <w:rPr>
          <w:rFonts w:ascii="Times New Roman" w:hAnsi="Times New Roman" w:cs="Times New Roman"/>
        </w:rPr>
        <w:t xml:space="preserve"> information. Additionally, the problem and solution spaces can evolve independently, much like the problem and policy streams (Herweg et al., 2023; Kingdon, 1984). The final stage is the choice stage, where a policy alternative from the solution space is selected for support by an individual or selected as a policy by a policymaking institution.</w:t>
      </w:r>
    </w:p>
    <w:p w14:paraId="3E2004EB" w14:textId="77777777" w:rsidR="007E38AB" w:rsidRPr="00555117" w:rsidRDefault="00000000">
      <w:pPr>
        <w:rPr>
          <w:rFonts w:ascii="Times New Roman" w:hAnsi="Times New Roman" w:cs="Times New Roman"/>
        </w:rPr>
      </w:pPr>
      <w:r w:rsidRPr="00555117">
        <w:rPr>
          <w:rFonts w:ascii="Times New Roman" w:hAnsi="Times New Roman" w:cs="Times New Roman"/>
        </w:rPr>
        <w:t>These stages parallel the process of collective learning which involves the acquisition, translation, and dissemination of information (Heikkila &amp; Gerlak, 2013). The acquisition stage involves individuals acquiring information, which may happen through experience, observation, search, and/or deliberation (Heikkila &amp; Gerlak, 2013). Next, information is translated or interpreted through concerted effort and analysis or through unintentional processes that are influenced by framing or the heuristics of the individual (Heikkila et al., 2024; Heikkila &amp; Gerlak, 2013). The final part of the learning process is dissemination, where individuals share knowledge within a collective. Shared collective routines, communication practices, and deliberation may facilitate the dissemination of information. Additionally, Heikkila &amp; Gerlak (2013) note that dissemination may inform the agenda-setting process and can, therefore, play into the recognition stage.</w:t>
      </w:r>
    </w:p>
    <w:p w14:paraId="3E2004EC" w14:textId="77777777" w:rsidR="007E38AB" w:rsidRPr="00555117" w:rsidRDefault="00000000">
      <w:pPr>
        <w:rPr>
          <w:rFonts w:ascii="Times New Roman" w:hAnsi="Times New Roman" w:cs="Times New Roman"/>
        </w:rPr>
      </w:pPr>
      <w:r w:rsidRPr="00555117">
        <w:rPr>
          <w:rFonts w:ascii="Times New Roman" w:hAnsi="Times New Roman" w:cs="Times New Roman"/>
        </w:rPr>
        <w:t>The collective learning approach separates the process of learning, discussed above, from the products of learning (Heikkila &amp; Gerlak, 2013). Learning products, at the both the individual and collective level, include belief changes and behavior changes. Belief changes reflect a new or updated understanding of the issue, and behavior changes can include a new strategy to achieve policy goals and/or acquisition of a new skill (Gerlak &amp; Heikkila, 2024). As we discuss below, these products of learning create multiple pathways that can lead to policy change.</w:t>
      </w:r>
    </w:p>
    <w:p w14:paraId="3E2004ED" w14:textId="77777777" w:rsidR="007E38AB" w:rsidRPr="00555117" w:rsidRDefault="00000000">
      <w:pPr>
        <w:rPr>
          <w:rFonts w:ascii="Times New Roman" w:hAnsi="Times New Roman" w:cs="Times New Roman"/>
        </w:rPr>
      </w:pPr>
      <w:bookmarkStart w:id="43" w:name="policy-issues-and-policy-core-beliefs"/>
      <w:bookmarkEnd w:id="42"/>
      <w:r w:rsidRPr="00555117">
        <w:rPr>
          <w:rFonts w:ascii="Times New Roman" w:hAnsi="Times New Roman" w:cs="Times New Roman"/>
        </w:rPr>
        <w:t>5.4 Policy Issues and Policy Core Beliefs</w:t>
      </w:r>
    </w:p>
    <w:p w14:paraId="3E2004EE" w14:textId="77777777" w:rsidR="007E38AB" w:rsidRPr="00555117" w:rsidRDefault="00000000">
      <w:pPr>
        <w:rPr>
          <w:rFonts w:ascii="Times New Roman" w:hAnsi="Times New Roman" w:cs="Times New Roman"/>
        </w:rPr>
      </w:pPr>
      <w:r w:rsidRPr="00555117">
        <w:rPr>
          <w:rFonts w:ascii="Times New Roman" w:hAnsi="Times New Roman" w:cs="Times New Roman"/>
        </w:rPr>
        <w:t>The model of learning through information processing is applicable to any policy beliefs, including deep core, policy core, and secondary beliefs; however, at the systemic level learning as embedded in the policy process is focused on specific policy issues, subsystems, and policy core beliefs. Policy core beliefs are the mid-tier beliefs between deep core and secondary, and are applicable to particular policy issues and the subsystem that arise around those issues. As discussed the in Chapter 3, policy core beliefs are built on a foundation of issue definitions, which consist of the bundle of the various salient dimensions of the policy issue.</w:t>
      </w:r>
    </w:p>
    <w:p w14:paraId="3E2004EF" w14:textId="77777777" w:rsidR="007E38AB" w:rsidRPr="00555117" w:rsidRDefault="00000000">
      <w:pPr>
        <w:rPr>
          <w:rFonts w:ascii="Times New Roman" w:hAnsi="Times New Roman" w:cs="Times New Roman"/>
        </w:rPr>
      </w:pPr>
      <w:r w:rsidRPr="00555117">
        <w:rPr>
          <w:rFonts w:ascii="Times New Roman" w:hAnsi="Times New Roman" w:cs="Times New Roman"/>
        </w:rPr>
        <w:t>Our focus is on policy core beliefs because significant policy change occurs as a result of changing policy core beliefs as issues are redefined and understood in new and/or different ways. Whereas, shifting secondary beliefs involves minor policy change (Sabatier &amp; Jenkins-Smith, 1999), and changes in deep core beliefs would impact multiple policy issues and subsystems.</w:t>
      </w:r>
    </w:p>
    <w:p w14:paraId="3E2004F0" w14:textId="77777777" w:rsidR="007E38AB" w:rsidRPr="00555117" w:rsidRDefault="00000000">
      <w:pPr>
        <w:rPr>
          <w:rFonts w:ascii="Times New Roman" w:hAnsi="Times New Roman" w:cs="Times New Roman"/>
        </w:rPr>
      </w:pPr>
      <w:bookmarkStart w:id="44" w:name="X2d1f3d1efa388918a62a90d8539964ffce5433f"/>
      <w:bookmarkEnd w:id="43"/>
      <w:r w:rsidRPr="00555117">
        <w:rPr>
          <w:rFonts w:ascii="Times New Roman" w:hAnsi="Times New Roman" w:cs="Times New Roman"/>
        </w:rPr>
        <w:t>5.5 Policy-Embedded Learning, Information Processing, and Policy Change</w:t>
      </w:r>
    </w:p>
    <w:p w14:paraId="3E2004F1" w14:textId="430812C9" w:rsidR="007E38AB" w:rsidRPr="00555117" w:rsidRDefault="00000000">
      <w:pPr>
        <w:rPr>
          <w:rFonts w:ascii="Times New Roman" w:hAnsi="Times New Roman" w:cs="Times New Roman"/>
        </w:rPr>
      </w:pPr>
      <w:r w:rsidRPr="00555117">
        <w:rPr>
          <w:rFonts w:ascii="Times New Roman" w:hAnsi="Times New Roman" w:cs="Times New Roman"/>
        </w:rPr>
        <w:t xml:space="preserve">Intertwining policy-embedded learning, collective learning, and information processing, we argue learning can be understood as a process where policy actors (i) seek and (or) acquire imperfect and costly policy-related information, (ii) process that information through individuals and institutions that are influenced by cognitive structures, biases, and heuristics, and (iii) disseminate the resulting understandings, information, knowledge, and experiences. The outcomes of this process could lead to </w:t>
      </w:r>
      <w:r w:rsidRPr="00555117">
        <w:rPr>
          <w:rFonts w:ascii="Times New Roman" w:hAnsi="Times New Roman" w:cs="Times New Roman"/>
        </w:rPr>
        <w:lastRenderedPageBreak/>
        <w:t xml:space="preserve">cognitive products, such as changes in policy beliefs, whether in the direction of confirmation or revision, or behavioral products, such as policy changes or changes in policy advocacy strategies (Heikkila &amp; Gerlak, 2013; B. D. Jones &amp; Baumgartner, 2005b; Zaki et al., 2022). These factors are shown in </w:t>
      </w:r>
      <w:hyperlink w:anchor="fig-framework">
        <w:r w:rsidRPr="00555117">
          <w:rPr>
            <w:rFonts w:ascii="Times New Roman" w:hAnsi="Times New Roman" w:cs="Times New Roman"/>
          </w:rPr>
          <w:t>Figure 5.2</w:t>
        </w:r>
      </w:hyperlink>
      <w:r w:rsidRPr="00555117">
        <w:rPr>
          <w:rFonts w:ascii="Times New Roman" w:hAnsi="Times New Roman" w:cs="Times New Roman"/>
        </w:rPr>
        <w:t>.</w:t>
      </w:r>
    </w:p>
    <w:tbl>
      <w:tblPr>
        <w:tblW w:w="5000" w:type="pct"/>
        <w:tblLayout w:type="fixed"/>
        <w:tblLook w:val="0000" w:firstRow="0" w:lastRow="0" w:firstColumn="0" w:lastColumn="0" w:noHBand="0" w:noVBand="0"/>
      </w:tblPr>
      <w:tblGrid>
        <w:gridCol w:w="9360"/>
      </w:tblGrid>
      <w:tr w:rsidR="007E38AB" w:rsidRPr="00555117" w14:paraId="3E2004F4" w14:textId="77777777">
        <w:tc>
          <w:tcPr>
            <w:tcW w:w="7920" w:type="dxa"/>
          </w:tcPr>
          <w:p w14:paraId="3E2004F2" w14:textId="77777777" w:rsidR="007E38AB" w:rsidRPr="00555117" w:rsidRDefault="00000000">
            <w:pPr>
              <w:spacing w:before="200"/>
              <w:rPr>
                <w:rFonts w:ascii="Times New Roman" w:hAnsi="Times New Roman" w:cs="Times New Roman"/>
              </w:rPr>
            </w:pPr>
            <w:bookmarkStart w:id="45" w:name="fig-framework"/>
            <w:r w:rsidRPr="00555117">
              <w:rPr>
                <w:rFonts w:ascii="Times New Roman" w:hAnsi="Times New Roman" w:cs="Times New Roman"/>
              </w:rPr>
              <w:t>Figure 5.2: Information Processing, Learning, and Policy Change</w:t>
            </w:r>
          </w:p>
          <w:p w14:paraId="3E2004F3" w14:textId="77777777" w:rsidR="007E38AB" w:rsidRPr="00555117" w:rsidRDefault="00000000">
            <w:pPr>
              <w:jc w:val="center"/>
              <w:rPr>
                <w:rFonts w:ascii="Times New Roman" w:hAnsi="Times New Roman" w:cs="Times New Roman"/>
              </w:rPr>
            </w:pPr>
            <w:r w:rsidRPr="00555117">
              <w:rPr>
                <w:rFonts w:ascii="Times New Roman" w:hAnsi="Times New Roman" w:cs="Times New Roman"/>
                <w:noProof/>
              </w:rPr>
              <w:drawing>
                <wp:inline distT="0" distB="0" distL="0" distR="0" wp14:anchorId="3E2005F6" wp14:editId="3E2005F7">
                  <wp:extent cx="5486400" cy="27432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chap5_files/figure-docx/mermaid-figure-1.png"/>
                          <pic:cNvPicPr>
                            <a:picLocks noChangeAspect="1" noChangeArrowheads="1"/>
                          </pic:cNvPicPr>
                        </pic:nvPicPr>
                        <pic:blipFill>
                          <a:blip r:embed="rId12"/>
                          <a:stretch>
                            <a:fillRect/>
                          </a:stretch>
                        </pic:blipFill>
                        <pic:spPr bwMode="auto">
                          <a:xfrm>
                            <a:off x="0" y="0"/>
                            <a:ext cx="5486400" cy="2743200"/>
                          </a:xfrm>
                          <a:prstGeom prst="rect">
                            <a:avLst/>
                          </a:prstGeom>
                          <a:noFill/>
                          <a:ln w="9525">
                            <a:noFill/>
                            <a:headEnd/>
                            <a:tailEnd/>
                          </a:ln>
                        </pic:spPr>
                      </pic:pic>
                    </a:graphicData>
                  </a:graphic>
                </wp:inline>
              </w:drawing>
            </w:r>
          </w:p>
        </w:tc>
        <w:bookmarkEnd w:id="45"/>
      </w:tr>
    </w:tbl>
    <w:p w14:paraId="3E2004F5" w14:textId="5F7940BF" w:rsidR="007E38AB" w:rsidRPr="00555117" w:rsidRDefault="00000000">
      <w:pPr>
        <w:rPr>
          <w:rFonts w:ascii="Times New Roman" w:hAnsi="Times New Roman" w:cs="Times New Roman"/>
        </w:rPr>
      </w:pPr>
      <w:r w:rsidRPr="00555117">
        <w:rPr>
          <w:rFonts w:ascii="Times New Roman" w:hAnsi="Times New Roman" w:cs="Times New Roman"/>
        </w:rPr>
        <w:t xml:space="preserve">The framework depicted in </w:t>
      </w:r>
      <w:hyperlink w:anchor="fig-framework">
        <w:r w:rsidRPr="00555117">
          <w:rPr>
            <w:rFonts w:ascii="Times New Roman" w:hAnsi="Times New Roman" w:cs="Times New Roman"/>
          </w:rPr>
          <w:t>Figure 5.2</w:t>
        </w:r>
      </w:hyperlink>
      <w:r w:rsidRPr="00555117">
        <w:rPr>
          <w:rFonts w:ascii="Times New Roman" w:hAnsi="Times New Roman" w:cs="Times New Roman"/>
        </w:rPr>
        <w:t xml:space="preserve"> accounts for information, information processing by both policy actors and institutions, and learning outcomes that include cognitive (belief and preference change) and behavioral. Additionally, the framework includes pathways from policy learning (i.e., belief, preference, and behavior change) to policy change. Next, we discuss the various components of the framework, including information, information processing, learning, and outcomes.</w:t>
      </w:r>
    </w:p>
    <w:p w14:paraId="3E2004F6" w14:textId="77777777" w:rsidR="007E38AB" w:rsidRPr="00555117" w:rsidRDefault="00000000">
      <w:pPr>
        <w:rPr>
          <w:rFonts w:ascii="Times New Roman" w:hAnsi="Times New Roman" w:cs="Times New Roman"/>
        </w:rPr>
      </w:pPr>
      <w:bookmarkStart w:id="46" w:name="information"/>
      <w:r w:rsidRPr="00555117">
        <w:rPr>
          <w:rFonts w:ascii="Times New Roman" w:hAnsi="Times New Roman" w:cs="Times New Roman"/>
        </w:rPr>
        <w:t>5.5.1 Information</w:t>
      </w:r>
    </w:p>
    <w:p w14:paraId="3E2004F7" w14:textId="77777777" w:rsidR="007E38AB" w:rsidRPr="00555117" w:rsidRDefault="00000000">
      <w:pPr>
        <w:rPr>
          <w:rFonts w:ascii="Times New Roman" w:hAnsi="Times New Roman" w:cs="Times New Roman"/>
        </w:rPr>
      </w:pPr>
      <w:r w:rsidRPr="00555117">
        <w:rPr>
          <w:rFonts w:ascii="Times New Roman" w:hAnsi="Times New Roman" w:cs="Times New Roman"/>
        </w:rPr>
        <w:t>As discussed above, information signals are ubiquitous in the policymaking system. Information potentially relevant for policy is collected and shared by government agencies, interest groups, the media, policymaking institutions, coalitions, policy entrepreneurs, and others seeking to shape policy outcomes. Crisis, disasters, and other focusing events, such as the nuclear accident at Fukushima, provide strong information signals about problems and/or policy failures. As shown in Chapter 4, such strong signals can provide the impetus for policy learning. However, for information to lead to learning it must first be processed, yet only some of the information signals present receive attention and subsequent processing.</w:t>
      </w:r>
    </w:p>
    <w:p w14:paraId="3E2004F8" w14:textId="77777777" w:rsidR="007E38AB" w:rsidRPr="00555117" w:rsidRDefault="00000000">
      <w:pPr>
        <w:rPr>
          <w:rFonts w:ascii="Times New Roman" w:hAnsi="Times New Roman" w:cs="Times New Roman"/>
        </w:rPr>
      </w:pPr>
      <w:bookmarkStart w:id="47" w:name="information-processing-1"/>
      <w:bookmarkEnd w:id="46"/>
      <w:r w:rsidRPr="00555117">
        <w:rPr>
          <w:rFonts w:ascii="Times New Roman" w:hAnsi="Times New Roman" w:cs="Times New Roman"/>
        </w:rPr>
        <w:t>5.5.2 Information Processing</w:t>
      </w:r>
    </w:p>
    <w:p w14:paraId="3E2004F9" w14:textId="77777777" w:rsidR="007E38AB" w:rsidRPr="00555117" w:rsidRDefault="00000000">
      <w:pPr>
        <w:rPr>
          <w:rFonts w:ascii="Times New Roman" w:hAnsi="Times New Roman" w:cs="Times New Roman"/>
        </w:rPr>
      </w:pPr>
      <w:r w:rsidRPr="00555117">
        <w:rPr>
          <w:rFonts w:ascii="Times New Roman" w:hAnsi="Times New Roman" w:cs="Times New Roman"/>
        </w:rPr>
        <w:t>The processing of information involves policymaking institutions, the systems and structures they create, and the policy actors involved in those institutions. Policy actors are limited in the amount of information that they are able to attend to and process and their belief systems create biases regarding how the information to which they do attend is weighted. As the model of learning through information processing illustrates, learning is a function of the strength of the prior belief relative to the strength of the information signal. Beliefs change when the information signal is strong relative to the strength of the prior belief.</w:t>
      </w:r>
    </w:p>
    <w:p w14:paraId="3E2004FA" w14:textId="77777777" w:rsidR="007E38AB" w:rsidRPr="00555117" w:rsidRDefault="00000000">
      <w:pPr>
        <w:rPr>
          <w:rFonts w:ascii="Times New Roman" w:hAnsi="Times New Roman" w:cs="Times New Roman"/>
        </w:rPr>
      </w:pPr>
      <w:r w:rsidRPr="00555117">
        <w:rPr>
          <w:rFonts w:ascii="Times New Roman" w:hAnsi="Times New Roman" w:cs="Times New Roman"/>
        </w:rPr>
        <w:lastRenderedPageBreak/>
        <w:t>Institutions are structured to enhance information processing, for example the ability of parallel processing of information; however, institutions can only take a few actions at a time. For example, legislative institutions can process information about multiple issues through a committee structure, yet they can only vote on one piece of legislation at a time. The systems and structures of institutional arraignments impose costs on information processing, such as decision and transaction costs. The information processing limits of individuals and institutions create friction that slows the path of information processing from learning to action, which leads to disproportionate information processing. The disproportionate processing of information leads to under- and over-reactions to information, a punctuated process of learning, and policy change, where problems are left unaddressed until a major policy change is needed.</w:t>
      </w:r>
    </w:p>
    <w:p w14:paraId="3E2004FB" w14:textId="77777777" w:rsidR="007E38AB" w:rsidRPr="00555117" w:rsidRDefault="00000000">
      <w:pPr>
        <w:rPr>
          <w:rFonts w:ascii="Times New Roman" w:hAnsi="Times New Roman" w:cs="Times New Roman"/>
        </w:rPr>
      </w:pPr>
      <w:r w:rsidRPr="00555117">
        <w:rPr>
          <w:rFonts w:ascii="Times New Roman" w:hAnsi="Times New Roman" w:cs="Times New Roman"/>
        </w:rPr>
        <w:t>Information processing and learning occurs within and across individuals and collectives, such as coalitions. Learning within coalitions is relatively straightforward given the nature of their shared beliefs; however, learning between coalitions is, in part, a function of the collective context in which information is processed and the issues are discussed. According to ACF scholarship, learning across coalitions is more likely when a) there is an intermediate level of conflict because in such contexts, coalitions have the resources to engage and the core beliefs of both coalitions are not at stake; b) issues that are analytically tractable and high-quality data is available; and c) a forum that encourages participation of representatives of the various coalitions and professional norms of engagement (Jenkins-Smith &amp; Sabatier, 1993).</w:t>
      </w:r>
    </w:p>
    <w:p w14:paraId="3E2004FC" w14:textId="77777777" w:rsidR="007E38AB" w:rsidRPr="00555117" w:rsidRDefault="00000000">
      <w:pPr>
        <w:rPr>
          <w:rFonts w:ascii="Times New Roman" w:hAnsi="Times New Roman" w:cs="Times New Roman"/>
        </w:rPr>
      </w:pPr>
      <w:r w:rsidRPr="00555117">
        <w:rPr>
          <w:rFonts w:ascii="Times New Roman" w:hAnsi="Times New Roman" w:cs="Times New Roman"/>
        </w:rPr>
        <w:t>Another important context for policy learning, particularly learning related to policy core beliefs, is the nature of the policy subsystem in which policy actors engage. Subsystems are the key units of analysis within the ACF and can vary in several key dimensions. Weible (2008) noted that subsystems can be unitary, collaborative, or adversarial. Unity subsystems involve one dominant coalition and a single understanding of the policy issue. Policy-oriented learning in unitary subsystems happens within the dominant coalition and is likely belief reinforcement (Weible, 2008). Additionally, in unitary subsystems, policy-oriented learning as belief change is likely impeded by the status-quo bias of the dominant coalition and the negative feedback exerted regarding new information (B. D. Jones &amp; Baumgartner, 2005b). However, collaborative subsystems involve cooperative coalitions with a shared understanding of the policy issue and learning as belief change and belief reinforcement may occur within and across coalitions. Finally, adversarial subsystems include two or more coalitions competing for policy influence with a disputed understanding of the policy issue. Since beliefs are contested in adversarial subsystems, belief reinforcement within coalitions is the most likely policy-oriented learning in an adversarial subsystem.</w:t>
      </w:r>
    </w:p>
    <w:p w14:paraId="3E2004FD" w14:textId="77777777" w:rsidR="007E38AB" w:rsidRPr="00555117" w:rsidRDefault="00000000">
      <w:pPr>
        <w:rPr>
          <w:rFonts w:ascii="Times New Roman" w:hAnsi="Times New Roman" w:cs="Times New Roman"/>
        </w:rPr>
      </w:pPr>
      <w:bookmarkStart w:id="48" w:name="learning"/>
      <w:bookmarkEnd w:id="47"/>
      <w:r w:rsidRPr="00555117">
        <w:rPr>
          <w:rFonts w:ascii="Times New Roman" w:hAnsi="Times New Roman" w:cs="Times New Roman"/>
        </w:rPr>
        <w:t>5.5.3 Learning</w:t>
      </w:r>
    </w:p>
    <w:p w14:paraId="3E2004FE" w14:textId="77777777" w:rsidR="007E38AB" w:rsidRPr="00555117" w:rsidRDefault="00000000">
      <w:pPr>
        <w:rPr>
          <w:rFonts w:ascii="Times New Roman" w:hAnsi="Times New Roman" w:cs="Times New Roman"/>
        </w:rPr>
      </w:pPr>
      <w:r w:rsidRPr="00555117">
        <w:rPr>
          <w:rFonts w:ascii="Times New Roman" w:hAnsi="Times New Roman" w:cs="Times New Roman"/>
        </w:rPr>
        <w:t>Policy learning through information processing occurs as beliefs are updated in response to information processed through cognitive and institutional structures. In the broader framework of policy-embedded learning, learning through information processing happens within a policy context, about a policy issue, and focuses on policy core beliefs (Zaki et al., 2022). Specifically, learning about policy issues involving policy core beliefs includes changes in how the issues are defined or understood. Policy issues contain multiple dimensions, and issue definitions involve how those dimensions are weighted, bundled, and placed together (Nowlin, 2016). Learning with regard to policy issues involves changes in the dimensions of the issue as a result of information and information processing. Like policy subsystems, issue definitions can reach static equilibrium points, and learning shifts that equilibrium as new dimensions are added or current dimensions are reconsidered.</w:t>
      </w:r>
    </w:p>
    <w:p w14:paraId="3E2004FF" w14:textId="77777777" w:rsidR="007E38AB" w:rsidRPr="00555117" w:rsidRDefault="00000000">
      <w:pPr>
        <w:rPr>
          <w:rFonts w:ascii="Times New Roman" w:hAnsi="Times New Roman" w:cs="Times New Roman"/>
        </w:rPr>
      </w:pPr>
      <w:bookmarkStart w:id="49" w:name="outcomes"/>
      <w:bookmarkEnd w:id="48"/>
      <w:r w:rsidRPr="00555117">
        <w:rPr>
          <w:rFonts w:ascii="Times New Roman" w:hAnsi="Times New Roman" w:cs="Times New Roman"/>
        </w:rPr>
        <w:t>5.5.4 Outcomes</w:t>
      </w:r>
    </w:p>
    <w:p w14:paraId="3E200500" w14:textId="77777777" w:rsidR="007E38AB" w:rsidRPr="00555117" w:rsidRDefault="00000000">
      <w:pPr>
        <w:rPr>
          <w:rFonts w:ascii="Times New Roman" w:hAnsi="Times New Roman" w:cs="Times New Roman"/>
        </w:rPr>
      </w:pPr>
      <w:r w:rsidRPr="00555117">
        <w:rPr>
          <w:rFonts w:ascii="Times New Roman" w:hAnsi="Times New Roman" w:cs="Times New Roman"/>
        </w:rPr>
        <w:lastRenderedPageBreak/>
        <w:t>As discussed in Chapter 3, several learning outcomes of the policy learning through information processing model are possible, including no learning, belief decay, belief reinforcement, and belief change. The conditions under which policy learning leads to policy change have long been a central question, yet establishing how learning causes policy change has been elusive (Bennett &amp; Howlett, 1992; Zaki, 2024b). Previous research has gained analytical traction on this issue by separating the process of learning from the products of learning, thus allowing insights into how learning processes connect to learning products (or outcomes) such as policy change (Heikkila &amp; Gerlak, 2013; Zaki et al., 2022). More recently, Plümer (2024) developed an approach that examines three elements of learning products, including “(1) whether the observed learning product reflects a change in policy beliefs, (2) whether it signifies a change in policy preferences, and (3) whether it results in a change in policy outputs.” We build on this approach but we also include behavior change as a central feature of learning products that makes policy change more likely.</w:t>
      </w:r>
    </w:p>
    <w:p w14:paraId="3E200501" w14:textId="77777777" w:rsidR="007E38AB" w:rsidRPr="00555117" w:rsidRDefault="00000000">
      <w:pPr>
        <w:rPr>
          <w:rFonts w:ascii="Times New Roman" w:hAnsi="Times New Roman" w:cs="Times New Roman"/>
        </w:rPr>
      </w:pPr>
      <w:r w:rsidRPr="00555117">
        <w:rPr>
          <w:rFonts w:ascii="Times New Roman" w:hAnsi="Times New Roman" w:cs="Times New Roman"/>
        </w:rPr>
        <w:t>Belief change is the bridge that connects the learning through information processing model to the systemic framework of policy-embedded learning as other outcomes are downstream or consequent to belief change, including policy preference change, behavior change, and, ultimately, policy change. Preference change involves changes in the goals policy actors hope to obtain (Moyson, 2017; Plümer, 2024); then, policy actors may change or adapt new behaviors as policy beliefs and preferences change. Additionally, behavior change may involve “new or enhanced informal routines and strategies, … new or expanded programs and plans that structure group behavior, or highly formalized rules or sets of institutional arrangements and policies” (Heikkila &amp; Gerlak, 2013, pp. 491–492).</w:t>
      </w:r>
    </w:p>
    <w:p w14:paraId="3E200502" w14:textId="5F278E5B" w:rsidR="007E38AB" w:rsidRPr="00555117" w:rsidRDefault="00000000">
      <w:pPr>
        <w:rPr>
          <w:rFonts w:ascii="Times New Roman" w:hAnsi="Times New Roman" w:cs="Times New Roman"/>
        </w:rPr>
      </w:pPr>
      <w:r w:rsidRPr="00555117">
        <w:rPr>
          <w:rFonts w:ascii="Times New Roman" w:hAnsi="Times New Roman" w:cs="Times New Roman"/>
        </w:rPr>
        <w:t xml:space="preserve">The causal pathways from policy learning to policy change include three possible outcomes: no policy change, non-congruent policy change, and congruent policy change (Plümer, 2024). </w:t>
      </w:r>
      <w:hyperlink w:anchor="tbl-paths">
        <w:r w:rsidRPr="00555117">
          <w:rPr>
            <w:rFonts w:ascii="Times New Roman" w:hAnsi="Times New Roman" w:cs="Times New Roman"/>
          </w:rPr>
          <w:t>Table 5.1</w:t>
        </w:r>
      </w:hyperlink>
      <w:r w:rsidRPr="00555117">
        <w:rPr>
          <w:rFonts w:ascii="Times New Roman" w:hAnsi="Times New Roman" w:cs="Times New Roman"/>
        </w:rPr>
        <w:t xml:space="preserve"> shows the various pathways through which policy change may happen </w:t>
      </w:r>
      <w:proofErr w:type="gramStart"/>
      <w:r w:rsidRPr="00555117">
        <w:rPr>
          <w:rFonts w:ascii="Times New Roman" w:hAnsi="Times New Roman" w:cs="Times New Roman"/>
        </w:rPr>
        <w:t>as a result of</w:t>
      </w:r>
      <w:proofErr w:type="gramEnd"/>
      <w:r w:rsidRPr="00555117">
        <w:rPr>
          <w:rFonts w:ascii="Times New Roman" w:hAnsi="Times New Roman" w:cs="Times New Roman"/>
        </w:rPr>
        <w:t xml:space="preserve"> policy learning through information processing.</w:t>
      </w:r>
    </w:p>
    <w:tbl>
      <w:tblPr>
        <w:tblW w:w="5000" w:type="pct"/>
        <w:tblLayout w:type="fixed"/>
        <w:tblLook w:val="0000" w:firstRow="0" w:lastRow="0" w:firstColumn="0" w:lastColumn="0" w:noHBand="0" w:noVBand="0"/>
      </w:tblPr>
      <w:tblGrid>
        <w:gridCol w:w="9360"/>
      </w:tblGrid>
      <w:tr w:rsidR="007E38AB" w:rsidRPr="00555117" w14:paraId="3E200528" w14:textId="77777777">
        <w:tc>
          <w:tcPr>
            <w:tcW w:w="7920" w:type="dxa"/>
          </w:tcPr>
          <w:p w14:paraId="3E200503" w14:textId="77777777" w:rsidR="007E38AB" w:rsidRPr="00555117" w:rsidRDefault="00000000">
            <w:pPr>
              <w:spacing w:before="200"/>
              <w:rPr>
                <w:rFonts w:ascii="Times New Roman" w:hAnsi="Times New Roman" w:cs="Times New Roman"/>
              </w:rPr>
            </w:pPr>
            <w:bookmarkStart w:id="50" w:name="tbl-paths"/>
            <w:r w:rsidRPr="00555117">
              <w:rPr>
                <w:rFonts w:ascii="Times New Roman" w:hAnsi="Times New Roman" w:cs="Times New Roman"/>
              </w:rPr>
              <w:t>Table 5.1: Pathways of Policy Learning and Policy Change</w:t>
            </w:r>
          </w:p>
          <w:tbl>
            <w:tblPr>
              <w:tblW w:w="5000" w:type="pct"/>
              <w:tblLayout w:type="fixed"/>
              <w:tblLook w:val="0020" w:firstRow="1" w:lastRow="0" w:firstColumn="0" w:lastColumn="0" w:noHBand="0" w:noVBand="0"/>
            </w:tblPr>
            <w:tblGrid>
              <w:gridCol w:w="1524"/>
              <w:gridCol w:w="2032"/>
              <w:gridCol w:w="2032"/>
              <w:gridCol w:w="3556"/>
            </w:tblGrid>
            <w:tr w:rsidR="007E38AB" w:rsidRPr="00555117" w14:paraId="3E200508" w14:textId="77777777">
              <w:trPr>
                <w:tblHeader/>
              </w:trPr>
              <w:tc>
                <w:tcPr>
                  <w:tcW w:w="1320" w:type="dxa"/>
                </w:tcPr>
                <w:p w14:paraId="3E200504" w14:textId="77777777" w:rsidR="007E38AB" w:rsidRPr="00555117" w:rsidRDefault="00000000">
                  <w:pPr>
                    <w:jc w:val="center"/>
                    <w:rPr>
                      <w:rFonts w:ascii="Times New Roman" w:hAnsi="Times New Roman" w:cs="Times New Roman"/>
                    </w:rPr>
                  </w:pPr>
                  <w:r w:rsidRPr="00555117">
                    <w:rPr>
                      <w:rFonts w:ascii="Times New Roman" w:hAnsi="Times New Roman" w:cs="Times New Roman"/>
                      <w:b/>
                      <w:bCs/>
                    </w:rPr>
                    <w:t>Belief Change</w:t>
                  </w:r>
                </w:p>
              </w:tc>
              <w:tc>
                <w:tcPr>
                  <w:tcW w:w="1760" w:type="dxa"/>
                </w:tcPr>
                <w:p w14:paraId="3E200505" w14:textId="77777777" w:rsidR="007E38AB" w:rsidRPr="00555117" w:rsidRDefault="00000000">
                  <w:pPr>
                    <w:jc w:val="center"/>
                    <w:rPr>
                      <w:rFonts w:ascii="Times New Roman" w:hAnsi="Times New Roman" w:cs="Times New Roman"/>
                    </w:rPr>
                  </w:pPr>
                  <w:r w:rsidRPr="00555117">
                    <w:rPr>
                      <w:rFonts w:ascii="Times New Roman" w:hAnsi="Times New Roman" w:cs="Times New Roman"/>
                      <w:b/>
                      <w:bCs/>
                    </w:rPr>
                    <w:t>Preference Change</w:t>
                  </w:r>
                </w:p>
              </w:tc>
              <w:tc>
                <w:tcPr>
                  <w:tcW w:w="1760" w:type="dxa"/>
                </w:tcPr>
                <w:p w14:paraId="3E200506" w14:textId="77777777" w:rsidR="007E38AB" w:rsidRPr="00555117" w:rsidRDefault="00000000">
                  <w:pPr>
                    <w:jc w:val="center"/>
                    <w:rPr>
                      <w:rFonts w:ascii="Times New Roman" w:hAnsi="Times New Roman" w:cs="Times New Roman"/>
                    </w:rPr>
                  </w:pPr>
                  <w:r w:rsidRPr="00555117">
                    <w:rPr>
                      <w:rFonts w:ascii="Times New Roman" w:hAnsi="Times New Roman" w:cs="Times New Roman"/>
                      <w:b/>
                      <w:bCs/>
                    </w:rPr>
                    <w:t>Behavior Change</w:t>
                  </w:r>
                </w:p>
              </w:tc>
              <w:tc>
                <w:tcPr>
                  <w:tcW w:w="3080" w:type="dxa"/>
                </w:tcPr>
                <w:p w14:paraId="3E200507" w14:textId="77777777" w:rsidR="007E38AB" w:rsidRPr="00555117" w:rsidRDefault="00000000">
                  <w:pPr>
                    <w:jc w:val="center"/>
                    <w:rPr>
                      <w:rFonts w:ascii="Times New Roman" w:hAnsi="Times New Roman" w:cs="Times New Roman"/>
                    </w:rPr>
                  </w:pPr>
                  <w:r w:rsidRPr="00555117">
                    <w:rPr>
                      <w:rFonts w:ascii="Times New Roman" w:hAnsi="Times New Roman" w:cs="Times New Roman"/>
                      <w:b/>
                      <w:bCs/>
                    </w:rPr>
                    <w:t>Policy Change</w:t>
                  </w:r>
                </w:p>
              </w:tc>
            </w:tr>
            <w:tr w:rsidR="007E38AB" w:rsidRPr="00555117" w14:paraId="3E20050D" w14:textId="77777777">
              <w:tc>
                <w:tcPr>
                  <w:tcW w:w="1320" w:type="dxa"/>
                </w:tcPr>
                <w:p w14:paraId="3E200509"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w:t>
                  </w:r>
                </w:p>
              </w:tc>
              <w:tc>
                <w:tcPr>
                  <w:tcW w:w="1760" w:type="dxa"/>
                </w:tcPr>
                <w:p w14:paraId="3E20050A" w14:textId="77777777" w:rsidR="007E38AB" w:rsidRPr="00555117" w:rsidRDefault="007E38AB">
                  <w:pPr>
                    <w:rPr>
                      <w:rFonts w:ascii="Times New Roman" w:hAnsi="Times New Roman" w:cs="Times New Roman"/>
                    </w:rPr>
                  </w:pPr>
                </w:p>
              </w:tc>
              <w:tc>
                <w:tcPr>
                  <w:tcW w:w="1760" w:type="dxa"/>
                </w:tcPr>
                <w:p w14:paraId="3E20050B" w14:textId="77777777" w:rsidR="007E38AB" w:rsidRPr="00555117" w:rsidRDefault="007E38AB">
                  <w:pPr>
                    <w:rPr>
                      <w:rFonts w:ascii="Times New Roman" w:hAnsi="Times New Roman" w:cs="Times New Roman"/>
                    </w:rPr>
                  </w:pPr>
                </w:p>
              </w:tc>
              <w:tc>
                <w:tcPr>
                  <w:tcW w:w="3080" w:type="dxa"/>
                </w:tcPr>
                <w:p w14:paraId="3E20050C" w14:textId="77777777" w:rsidR="007E38AB" w:rsidRPr="00555117" w:rsidRDefault="007E38AB">
                  <w:pPr>
                    <w:rPr>
                      <w:rFonts w:ascii="Times New Roman" w:hAnsi="Times New Roman" w:cs="Times New Roman"/>
                    </w:rPr>
                  </w:pPr>
                </w:p>
              </w:tc>
            </w:tr>
            <w:tr w:rsidR="007E38AB" w:rsidRPr="00555117" w14:paraId="3E200512" w14:textId="77777777">
              <w:tc>
                <w:tcPr>
                  <w:tcW w:w="1320" w:type="dxa"/>
                </w:tcPr>
                <w:p w14:paraId="3E20050E"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w:t>
                  </w:r>
                </w:p>
              </w:tc>
              <w:tc>
                <w:tcPr>
                  <w:tcW w:w="1760" w:type="dxa"/>
                </w:tcPr>
                <w:p w14:paraId="3E20050F"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w:t>
                  </w:r>
                </w:p>
              </w:tc>
              <w:tc>
                <w:tcPr>
                  <w:tcW w:w="1760" w:type="dxa"/>
                </w:tcPr>
                <w:p w14:paraId="3E200510" w14:textId="77777777" w:rsidR="007E38AB" w:rsidRPr="00555117" w:rsidRDefault="007E38AB">
                  <w:pPr>
                    <w:rPr>
                      <w:rFonts w:ascii="Times New Roman" w:hAnsi="Times New Roman" w:cs="Times New Roman"/>
                    </w:rPr>
                  </w:pPr>
                </w:p>
              </w:tc>
              <w:tc>
                <w:tcPr>
                  <w:tcW w:w="3080" w:type="dxa"/>
                </w:tcPr>
                <w:p w14:paraId="3E200511" w14:textId="77777777" w:rsidR="007E38AB" w:rsidRPr="00555117" w:rsidRDefault="007E38AB">
                  <w:pPr>
                    <w:rPr>
                      <w:rFonts w:ascii="Times New Roman" w:hAnsi="Times New Roman" w:cs="Times New Roman"/>
                    </w:rPr>
                  </w:pPr>
                </w:p>
              </w:tc>
            </w:tr>
            <w:tr w:rsidR="007E38AB" w:rsidRPr="00555117" w14:paraId="3E200517" w14:textId="77777777">
              <w:tc>
                <w:tcPr>
                  <w:tcW w:w="1320" w:type="dxa"/>
                </w:tcPr>
                <w:p w14:paraId="3E200513"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w:t>
                  </w:r>
                </w:p>
              </w:tc>
              <w:tc>
                <w:tcPr>
                  <w:tcW w:w="1760" w:type="dxa"/>
                </w:tcPr>
                <w:p w14:paraId="3E200514"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w:t>
                  </w:r>
                </w:p>
              </w:tc>
              <w:tc>
                <w:tcPr>
                  <w:tcW w:w="1760" w:type="dxa"/>
                </w:tcPr>
                <w:p w14:paraId="3E200515"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 (non-congruent)</w:t>
                  </w:r>
                </w:p>
              </w:tc>
              <w:tc>
                <w:tcPr>
                  <w:tcW w:w="3080" w:type="dxa"/>
                </w:tcPr>
                <w:p w14:paraId="3E200516" w14:textId="77777777" w:rsidR="007E38AB" w:rsidRPr="00555117" w:rsidRDefault="007E38AB">
                  <w:pPr>
                    <w:rPr>
                      <w:rFonts w:ascii="Times New Roman" w:hAnsi="Times New Roman" w:cs="Times New Roman"/>
                    </w:rPr>
                  </w:pPr>
                </w:p>
              </w:tc>
            </w:tr>
            <w:tr w:rsidR="007E38AB" w:rsidRPr="00555117" w14:paraId="3E20051C" w14:textId="77777777">
              <w:tc>
                <w:tcPr>
                  <w:tcW w:w="1320" w:type="dxa"/>
                </w:tcPr>
                <w:p w14:paraId="3E200518"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w:t>
                  </w:r>
                </w:p>
              </w:tc>
              <w:tc>
                <w:tcPr>
                  <w:tcW w:w="1760" w:type="dxa"/>
                </w:tcPr>
                <w:p w14:paraId="3E200519"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w:t>
                  </w:r>
                </w:p>
              </w:tc>
              <w:tc>
                <w:tcPr>
                  <w:tcW w:w="1760" w:type="dxa"/>
                </w:tcPr>
                <w:p w14:paraId="3E20051A"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 (non-congruent)</w:t>
                  </w:r>
                </w:p>
              </w:tc>
              <w:tc>
                <w:tcPr>
                  <w:tcW w:w="3080" w:type="dxa"/>
                </w:tcPr>
                <w:p w14:paraId="3E20051B"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 (non-congruent)</w:t>
                  </w:r>
                </w:p>
              </w:tc>
            </w:tr>
            <w:tr w:rsidR="007E38AB" w:rsidRPr="00555117" w14:paraId="3E200521" w14:textId="77777777">
              <w:tc>
                <w:tcPr>
                  <w:tcW w:w="1320" w:type="dxa"/>
                </w:tcPr>
                <w:p w14:paraId="3E20051D"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w:t>
                  </w:r>
                </w:p>
              </w:tc>
              <w:tc>
                <w:tcPr>
                  <w:tcW w:w="1760" w:type="dxa"/>
                </w:tcPr>
                <w:p w14:paraId="3E20051E"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w:t>
                  </w:r>
                </w:p>
              </w:tc>
              <w:tc>
                <w:tcPr>
                  <w:tcW w:w="1760" w:type="dxa"/>
                </w:tcPr>
                <w:p w14:paraId="3E20051F"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 (congruent)</w:t>
                  </w:r>
                </w:p>
              </w:tc>
              <w:tc>
                <w:tcPr>
                  <w:tcW w:w="3080" w:type="dxa"/>
                </w:tcPr>
                <w:p w14:paraId="3E200520" w14:textId="77777777" w:rsidR="007E38AB" w:rsidRPr="00555117" w:rsidRDefault="007E38AB">
                  <w:pPr>
                    <w:rPr>
                      <w:rFonts w:ascii="Times New Roman" w:hAnsi="Times New Roman" w:cs="Times New Roman"/>
                    </w:rPr>
                  </w:pPr>
                </w:p>
              </w:tc>
            </w:tr>
            <w:tr w:rsidR="007E38AB" w:rsidRPr="00555117" w14:paraId="3E200526" w14:textId="77777777">
              <w:tc>
                <w:tcPr>
                  <w:tcW w:w="1320" w:type="dxa"/>
                </w:tcPr>
                <w:p w14:paraId="3E200522"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w:t>
                  </w:r>
                </w:p>
              </w:tc>
              <w:tc>
                <w:tcPr>
                  <w:tcW w:w="1760" w:type="dxa"/>
                </w:tcPr>
                <w:p w14:paraId="3E200523"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w:t>
                  </w:r>
                </w:p>
              </w:tc>
              <w:tc>
                <w:tcPr>
                  <w:tcW w:w="1760" w:type="dxa"/>
                </w:tcPr>
                <w:p w14:paraId="3E200524"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 (congruent)</w:t>
                  </w:r>
                </w:p>
              </w:tc>
              <w:tc>
                <w:tcPr>
                  <w:tcW w:w="3080" w:type="dxa"/>
                </w:tcPr>
                <w:p w14:paraId="3E200525" w14:textId="77777777" w:rsidR="007E38AB" w:rsidRPr="00555117" w:rsidRDefault="00000000">
                  <w:pPr>
                    <w:jc w:val="center"/>
                    <w:rPr>
                      <w:rFonts w:ascii="Times New Roman" w:hAnsi="Times New Roman" w:cs="Times New Roman"/>
                    </w:rPr>
                  </w:pPr>
                  <w:r w:rsidRPr="00555117">
                    <w:rPr>
                      <w:rFonts w:ascii="Times New Roman" w:hAnsi="Times New Roman" w:cs="Times New Roman"/>
                    </w:rPr>
                    <w:t>X (congruent)</w:t>
                  </w:r>
                </w:p>
              </w:tc>
            </w:tr>
            <w:bookmarkEnd w:id="50"/>
          </w:tbl>
          <w:p w14:paraId="3E200527" w14:textId="77777777" w:rsidR="007E38AB" w:rsidRPr="00555117" w:rsidRDefault="007E38AB">
            <w:pPr>
              <w:rPr>
                <w:rFonts w:ascii="Times New Roman" w:hAnsi="Times New Roman" w:cs="Times New Roman"/>
              </w:rPr>
            </w:pPr>
          </w:p>
        </w:tc>
      </w:tr>
    </w:tbl>
    <w:p w14:paraId="3E200529"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As each learning product occurs, the likelihood of policy change through policy learning increases; however, non-congruent changes in behavior and policy are also possible if changes don’t align with updated beliefs and preferences. No policy change results when only beliefs change or only beliefs and preferences change without a subsequent policy change. Non-congruent policy change happens when policy change occurs but is not aligned with the changed beliefs and preferences. While not as likely as congruent change, non-congruent change may occur if a powerful minority coalition is able to use institutional processes to their advantage to shape the outcome, for example. The final pathway noted by </w:t>
      </w:r>
      <w:r w:rsidRPr="00555117">
        <w:rPr>
          <w:rFonts w:ascii="Times New Roman" w:hAnsi="Times New Roman" w:cs="Times New Roman"/>
        </w:rPr>
        <w:lastRenderedPageBreak/>
        <w:t>Plümer (2024) is congruent policy change, where policy change matches the changed policy beliefs and preferences of the majority. To this approach, we add congruent and non-congruent behavior change that precedes policy changes. Non-congruent behavior change involves changes in behaviors that do not align with updated beliefs and preferences, whereas congruent behavior change does align with what was learned.</w:t>
      </w:r>
    </w:p>
    <w:p w14:paraId="3E20052A" w14:textId="77777777" w:rsidR="007E38AB" w:rsidRPr="00555117" w:rsidRDefault="00000000">
      <w:pPr>
        <w:rPr>
          <w:rFonts w:ascii="Times New Roman" w:hAnsi="Times New Roman" w:cs="Times New Roman"/>
        </w:rPr>
      </w:pPr>
      <w:bookmarkStart w:id="51" w:name="conclusion-3"/>
      <w:bookmarkEnd w:id="44"/>
      <w:bookmarkEnd w:id="49"/>
      <w:r w:rsidRPr="00555117">
        <w:rPr>
          <w:rFonts w:ascii="Times New Roman" w:hAnsi="Times New Roman" w:cs="Times New Roman"/>
        </w:rPr>
        <w:t>5.6 Conclusion</w:t>
      </w:r>
    </w:p>
    <w:p w14:paraId="3E20052B" w14:textId="77777777" w:rsidR="007E38AB" w:rsidRPr="00555117" w:rsidRDefault="00000000">
      <w:pPr>
        <w:rPr>
          <w:rFonts w:ascii="Times New Roman" w:hAnsi="Times New Roman" w:cs="Times New Roman"/>
        </w:rPr>
      </w:pPr>
      <w:r w:rsidRPr="00555117">
        <w:rPr>
          <w:rFonts w:ascii="Times New Roman" w:hAnsi="Times New Roman" w:cs="Times New Roman"/>
        </w:rPr>
        <w:t>Policy learning occurs as a result of information and information processing among policy actors operating within and across institutions. In this chapter, we introduced policy-embedded learning as a conceptual approach that captures the major factors associated with policy learning, including policy actors, systems and structures, and, most notably, information and information processing. Then, we examined the literature on information processing, noting that information is ubiquitous in policymaking and only some information signals are attended to and processed. Next, we outlined a framework that embedded the learning through information processing model in the broader policymaking context. Finally, we illustrated several possible pathways that lead from belief change (i.e., learning) to policy change.</w:t>
      </w:r>
    </w:p>
    <w:p w14:paraId="2641F619" w14:textId="77777777" w:rsidR="00BF73AB" w:rsidRDefault="00BF73AB">
      <w:pPr>
        <w:rPr>
          <w:rFonts w:ascii="Times New Roman" w:eastAsiaTheme="majorEastAsia" w:hAnsi="Times New Roman" w:cs="Times New Roman"/>
          <w:color w:val="2F5496" w:themeColor="accent1" w:themeShade="BF"/>
          <w:kern w:val="0"/>
          <w:sz w:val="32"/>
          <w:szCs w:val="32"/>
          <w:lang w:val="en-US"/>
          <w14:ligatures w14:val="none"/>
        </w:rPr>
      </w:pPr>
      <w:bookmarkStart w:id="52" w:name="Xefd451307a1e5de8ca7cf3dc85b9b43cfb89b3c"/>
      <w:bookmarkStart w:id="53" w:name="_Toc223685855"/>
      <w:bookmarkEnd w:id="37"/>
      <w:bookmarkEnd w:id="51"/>
      <w:r>
        <w:rPr>
          <w:rFonts w:ascii="Times New Roman" w:hAnsi="Times New Roman" w:cs="Times New Roman"/>
        </w:rPr>
        <w:br w:type="page"/>
      </w:r>
    </w:p>
    <w:p w14:paraId="3E20052C" w14:textId="3B86323C" w:rsidR="007E38AB" w:rsidRPr="00555117" w:rsidRDefault="00000000">
      <w:pPr>
        <w:pStyle w:val="Heading1"/>
        <w:rPr>
          <w:rFonts w:ascii="Times New Roman" w:hAnsi="Times New Roman" w:cs="Times New Roman"/>
        </w:rPr>
      </w:pPr>
      <w:r w:rsidRPr="00555117">
        <w:rPr>
          <w:rFonts w:ascii="Times New Roman" w:hAnsi="Times New Roman" w:cs="Times New Roman"/>
        </w:rPr>
        <w:lastRenderedPageBreak/>
        <w:t>6. Concluding Remarks: What This Element Does, and What Comes Next</w:t>
      </w:r>
      <w:bookmarkEnd w:id="53"/>
    </w:p>
    <w:p w14:paraId="3E20052D" w14:textId="77777777" w:rsidR="007E38AB" w:rsidRPr="00555117" w:rsidRDefault="00000000">
      <w:pPr>
        <w:rPr>
          <w:rFonts w:ascii="Times New Roman" w:hAnsi="Times New Roman" w:cs="Times New Roman"/>
        </w:rPr>
      </w:pPr>
      <w:bookmarkStart w:id="54" w:name="Xb75801879dba8e550f26a83abbe1ad5839d7b7f"/>
      <w:r w:rsidRPr="00555117">
        <w:rPr>
          <w:rFonts w:ascii="Times New Roman" w:hAnsi="Times New Roman" w:cs="Times New Roman"/>
        </w:rPr>
        <w:t>6.1 Revisiting Conceptual, Theoretical, and Analytical Approaches to Policy Learning</w:t>
      </w:r>
    </w:p>
    <w:p w14:paraId="3E20052E" w14:textId="41A16A9E" w:rsidR="007E38AB" w:rsidRPr="00555117" w:rsidRDefault="00000000">
      <w:pPr>
        <w:rPr>
          <w:rFonts w:ascii="Times New Roman" w:hAnsi="Times New Roman" w:cs="Times New Roman"/>
        </w:rPr>
      </w:pPr>
      <w:r w:rsidRPr="00555117">
        <w:rPr>
          <w:rFonts w:ascii="Times New Roman" w:hAnsi="Times New Roman" w:cs="Times New Roman"/>
        </w:rPr>
        <w:t xml:space="preserve">In the first chapter of this element, we started with the question of why, how, and when policy actors do what they do, a question the answer to which has long been a central quest for public policy scholarship. Among the different theoretical approaches that were developed to answer this question, policy learning stands out as one of the most omnipresent and potent. In reviewing the learning literature in the second chapter, we illustrated how, in an attempt to answer the aforementioned question, policy learning research has grown to become an active research field sprawling with various conceptual and theoretical approaches underpinned by different ontological-epistemological positions from mechanistic, positivist, interpretivist, to social constructivist (Zaki, 2024b; Zaki &amp; Radaelli, 2024). With such rich and diverse foundations, various theoretical descriptors of policy learning processes have emerged, resulting in a wide range of types, mechanisms, forms, modes, of learning leading to different outcomes. Those were developed through – and deployed in a wide range of analytical approaches scaling up and down between micro-foundations and individual learning dynamics, collectives, and systems (Dunlop &amp; Radaelli, 2017; see Heikkila &amp; Gerlak, 2013; Nowlin, 2021; Zaki &amp; Wayenberg, 2023). There, and as shown in </w:t>
      </w:r>
      <w:hyperlink w:anchor="tbl-learn-concept">
        <w:r w:rsidRPr="00555117">
          <w:rPr>
            <w:rFonts w:ascii="Times New Roman" w:hAnsi="Times New Roman" w:cs="Times New Roman"/>
          </w:rPr>
          <w:t>Table 2.1</w:t>
        </w:r>
      </w:hyperlink>
      <w:r w:rsidRPr="00555117">
        <w:rPr>
          <w:rFonts w:ascii="Times New Roman" w:hAnsi="Times New Roman" w:cs="Times New Roman"/>
        </w:rPr>
        <w:t>, we see learning being analytically employed in various ways, each anchored in specific conceptual approaches, from mechanistic and process-oriented to paradigmatic, ideational, and outcome-oriented.</w:t>
      </w:r>
    </w:p>
    <w:p w14:paraId="3E20052F" w14:textId="77777777" w:rsidR="007E38AB" w:rsidRPr="00555117" w:rsidRDefault="00000000">
      <w:pPr>
        <w:rPr>
          <w:rFonts w:ascii="Times New Roman" w:hAnsi="Times New Roman" w:cs="Times New Roman"/>
        </w:rPr>
      </w:pPr>
      <w:r w:rsidRPr="00555117">
        <w:rPr>
          <w:rFonts w:ascii="Times New Roman" w:hAnsi="Times New Roman" w:cs="Times New Roman"/>
        </w:rPr>
        <w:t>This theoretical versatility of policy learning has led to it being viewed as an ontology of the policy process, which is being recognized as providing a coherent and robust explanatory view of why policy actors do what they do, as a function of how, why, and when they learn about policy problems (see Kamkhaji, 2022). This is premised on an overarching understanding of the learning process as “policy-embedded,” where policy actors seek and/or process information and knowledge about policy problems while being embedded within a particular policy context, and where the information and knowledge they collate interacts with different institutional structures therein (see Zaki et al., 2022). This policy-embedded learning process is accordingly viewed as the driver for different policy behaviors, regardless of normative assessments of the quality of learning outcomes. For example, being traceable to updates in policy-issue understandings, beliefs, and potentially, from there on, updates in policy-related behaviors, from advocacy to varying degrees of policy change. By adopting this micro-foundational perspective, policy learning is seen as the kernel and nucleus of individual and collective behavior. We then carried this fundamental approach to policy learning over to Chapter 3, pursuing the second contribution of this element, to which we now turn.</w:t>
      </w:r>
    </w:p>
    <w:p w14:paraId="3E200530" w14:textId="77777777" w:rsidR="007E38AB" w:rsidRPr="00555117" w:rsidRDefault="00000000">
      <w:pPr>
        <w:rPr>
          <w:rFonts w:ascii="Times New Roman" w:hAnsi="Times New Roman" w:cs="Times New Roman"/>
        </w:rPr>
      </w:pPr>
      <w:bookmarkStart w:id="55" w:name="Xb6b4bde7da4922e4277390a4ad8ffa28b2e4510"/>
      <w:bookmarkEnd w:id="54"/>
      <w:r w:rsidRPr="00555117">
        <w:rPr>
          <w:rFonts w:ascii="Times New Roman" w:hAnsi="Times New Roman" w:cs="Times New Roman"/>
        </w:rPr>
        <w:t>6.2 A Deeper Understanding of Policy Learning Dynamics: An Information Processing Approach</w:t>
      </w:r>
    </w:p>
    <w:p w14:paraId="3E200531"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In Chapter 3, we pivoted from the background conceptualization of policy learning to examine the micro-foundations of how learning occurs. This is by tracing and analyzing the role of information – the building block or raw material of the learning process – and how it interacts with pre-existing belief structures. To do so, we constructed a model of policy learning and information processing. This model focuses on belief change as the main learning outcome, operationalizing four varieties as a function of the interaction between pre-existing beliefs and inbound information, including no learning, belief decay, belief reinforcement, and belief change. We then used many years’ worth of public opinion data from the US about nuclear energy in Chapter 4. We leveraged this data to explore the process of learning regarding updating beliefs and preferences following the information signal of the risks of nuclear energy provided by the 2011 accident at the nuclear power plant in Fukushima, Japan. That example showed belief change </w:t>
      </w:r>
      <w:r w:rsidRPr="00555117">
        <w:rPr>
          <w:rFonts w:ascii="Times New Roman" w:hAnsi="Times New Roman" w:cs="Times New Roman"/>
        </w:rPr>
        <w:lastRenderedPageBreak/>
        <w:t>regarding the risks and benefits of nuclear energy as well as preference change regarding the construction of new nuclear power plants congruent with the information.</w:t>
      </w:r>
    </w:p>
    <w:p w14:paraId="3E200532" w14:textId="77777777" w:rsidR="007E38AB" w:rsidRPr="00555117" w:rsidRDefault="00000000">
      <w:pPr>
        <w:rPr>
          <w:rFonts w:ascii="Times New Roman" w:hAnsi="Times New Roman" w:cs="Times New Roman"/>
        </w:rPr>
      </w:pPr>
      <w:r w:rsidRPr="00555117">
        <w:rPr>
          <w:rFonts w:ascii="Times New Roman" w:hAnsi="Times New Roman" w:cs="Times New Roman"/>
        </w:rPr>
        <w:t>After developing the policy learning and information processing model, in Chapter’s 3 and 4, we placed the micro-foundational model within the broader context of policymaking, which includes information, information processing by policy actors and institutions, and policy learning. We also discussed pathways from policy learning to policy change, which includes belief change, preference change, behavior change, and policy change. For policy change to happen as a result of policy learning through information processing, all elements must be aligned and consistent with the information. This means that belief change must be consistent with the information, preference change must be consistent with belief change, behavior change must be consistent with belief and preference change, and policy must be consistent with belief, preference, and behavior change.</w:t>
      </w:r>
    </w:p>
    <w:p w14:paraId="3E200533" w14:textId="77777777" w:rsidR="007E38AB" w:rsidRPr="00555117" w:rsidRDefault="00000000">
      <w:pPr>
        <w:rPr>
          <w:rFonts w:ascii="Times New Roman" w:hAnsi="Times New Roman" w:cs="Times New Roman"/>
        </w:rPr>
      </w:pPr>
      <w:bookmarkStart w:id="56" w:name="Xd94967a211afd5d87c42704fc71e64acc78ab80"/>
      <w:bookmarkEnd w:id="55"/>
      <w:r w:rsidRPr="00555117">
        <w:rPr>
          <w:rFonts w:ascii="Times New Roman" w:hAnsi="Times New Roman" w:cs="Times New Roman"/>
        </w:rPr>
        <w:t>6.3 What Comes Next? Avenues for Future Research</w:t>
      </w:r>
    </w:p>
    <w:p w14:paraId="3E200534" w14:textId="77777777" w:rsidR="007E38AB" w:rsidRPr="00555117" w:rsidRDefault="00000000">
      <w:pPr>
        <w:rPr>
          <w:rFonts w:ascii="Times New Roman" w:hAnsi="Times New Roman" w:cs="Times New Roman"/>
        </w:rPr>
      </w:pPr>
      <w:r w:rsidRPr="00555117">
        <w:rPr>
          <w:rFonts w:ascii="Times New Roman" w:hAnsi="Times New Roman" w:cs="Times New Roman"/>
        </w:rPr>
        <w:t>Having discussed our model of policy-embedded learning and information processing, we now turn to avenues for future research. The first avenue concerns the analytical level scalability of this model. As earlier noted, learning occurs within and across various levels, micro, meso, and macro, spanning individuals, collectives (such as advocacy coalitions, policy subsystems, interest groups, and organizations) as well as systemically. Furthermore, learning not only occurs within these levels but also travels across them (Dunlop &amp; Radaelli, 2017; Heikkila &amp; Gerlak, 2013; Zaki et al., 2022). Banking on the interactions between clear structural dimensions of policy actors, information and knowledge, and structures (whether cognitive or institutional), the policy learning through information processing model is highly scalable across levels. As such, future research can apply this model across multiple levels of analysis, for example, within particular collectives such as networks, advocacy coalitions, or organizations where the underlying mechanisms of interaction between prior beliefs, information processing, and weighted posterior beliefs are assumed at each level. Furthermore, and in terms of analytical level-scalability, this approach could also be applied across levels as, for example, tracing how individual learning connects to coalition learning, which then connects to subsystem learning.</w:t>
      </w:r>
    </w:p>
    <w:p w14:paraId="3E200535" w14:textId="77777777" w:rsidR="007E38AB" w:rsidRPr="00555117" w:rsidRDefault="00000000">
      <w:pPr>
        <w:rPr>
          <w:rFonts w:ascii="Times New Roman" w:hAnsi="Times New Roman" w:cs="Times New Roman"/>
        </w:rPr>
      </w:pPr>
      <w:r w:rsidRPr="00555117">
        <w:rPr>
          <w:rFonts w:ascii="Times New Roman" w:hAnsi="Times New Roman" w:cs="Times New Roman"/>
        </w:rPr>
        <w:t>The second avenue for future research concerns theoretically scaling up this model and embedding it within other theoretical perspectives of learning to enhance their explanatory potential. This could include various types, modes, mechanisms, and forms of learning. For example, this includes empirically tracing instrumental learning processes (mostly focused on policy instrument calibrations) through analyzing the processing of information related to secondary beliefs. Similarly, future research can pursue the same approach within other modes of learning, whether epistemic, hierarchical, reflexive, or bargaining-oriented. This also extends to learning mechanisms, whereby the interaction between information and cognitive structures can be traced within inferential learning, where information signals are carefully considered and weighted, versus the case of contingent learning, where crises or focusing events quickly shift how issues are defined and reshuffle policy priorities.</w:t>
      </w:r>
    </w:p>
    <w:p w14:paraId="3E200536" w14:textId="77777777" w:rsidR="007E38AB" w:rsidRPr="00555117" w:rsidRDefault="00000000">
      <w:pPr>
        <w:rPr>
          <w:rFonts w:ascii="Times New Roman" w:hAnsi="Times New Roman" w:cs="Times New Roman"/>
        </w:rPr>
      </w:pPr>
      <w:r w:rsidRPr="00BF73AB">
        <w:rPr>
          <w:rFonts w:ascii="Times New Roman" w:hAnsi="Times New Roman" w:cs="Times New Roman"/>
          <w:highlight w:val="yellow"/>
        </w:rPr>
        <w:t>Finally, research should explore how to connect the learning model to policy innovation. Policy innovation …</w:t>
      </w:r>
    </w:p>
    <w:p w14:paraId="3E200537" w14:textId="77777777" w:rsidR="007E38AB" w:rsidRPr="00555117" w:rsidRDefault="00000000">
      <w:pPr>
        <w:rPr>
          <w:rFonts w:ascii="Times New Roman" w:hAnsi="Times New Roman" w:cs="Times New Roman"/>
        </w:rPr>
      </w:pPr>
      <w:bookmarkStart w:id="57" w:name="policy-change-beyond-learning"/>
      <w:bookmarkEnd w:id="56"/>
      <w:r w:rsidRPr="00555117">
        <w:rPr>
          <w:rFonts w:ascii="Times New Roman" w:hAnsi="Times New Roman" w:cs="Times New Roman"/>
        </w:rPr>
        <w:t>6.4 Policy Change Beyond Learning</w:t>
      </w:r>
    </w:p>
    <w:p w14:paraId="3E200538" w14:textId="77777777" w:rsidR="007E38AB" w:rsidRPr="00555117" w:rsidRDefault="00000000">
      <w:pPr>
        <w:rPr>
          <w:rFonts w:ascii="Times New Roman" w:hAnsi="Times New Roman" w:cs="Times New Roman"/>
        </w:rPr>
      </w:pPr>
      <w:r w:rsidRPr="00555117">
        <w:rPr>
          <w:rFonts w:ascii="Times New Roman" w:hAnsi="Times New Roman" w:cs="Times New Roman"/>
        </w:rPr>
        <w:t xml:space="preserve">While the focus of this Element has been policy learning, there are several other ways in which policy change may occur. It is important to note the limits of our approach as an explanation for policy change. ACF scholarship notes that apart from policy-oriented learning policy change, both major (change associated with policy core) and minor (change associated with secondary aspects) can result from events </w:t>
      </w:r>
      <w:r w:rsidRPr="00555117">
        <w:rPr>
          <w:rFonts w:ascii="Times New Roman" w:hAnsi="Times New Roman" w:cs="Times New Roman"/>
        </w:rPr>
        <w:lastRenderedPageBreak/>
        <w:t>both external and internal to the policy subsystem (Nohrstedt et al., 2023). Events or shocks can include changes in socioeconomic conditions, shifts in public opinion, changes in governing arrangements, elections, scandals, policy failures, or crises or disasters. Such events can constitute a strong information signal that leads to policy learning, such as in the cases of the Fukushima accident, the COVID-19 pandemic, or the Russian invasion of Ukraine, among others. However, apart from learning, events can lead to policy change through shifts in the resources available to coalitions or when a coalition pushing for policy change is able to exploit a policy window that opens as a result of the event (Nohrstedt &amp; Weible, 2010).</w:t>
      </w:r>
    </w:p>
    <w:p w14:paraId="3E200539" w14:textId="77777777" w:rsidR="007E38AB" w:rsidRPr="00555117" w:rsidRDefault="00000000">
      <w:pPr>
        <w:rPr>
          <w:rFonts w:ascii="Times New Roman" w:hAnsi="Times New Roman" w:cs="Times New Roman"/>
        </w:rPr>
      </w:pPr>
      <w:r w:rsidRPr="00555117">
        <w:rPr>
          <w:rFonts w:ascii="Times New Roman" w:hAnsi="Times New Roman" w:cs="Times New Roman"/>
        </w:rPr>
        <w:t>The ACF also notes that policy change can happen as a result of a negotiated agreement between coalitions (Sabatier &amp; Weible, 2007). Negotiated agreements involve deliberation, compromises, and trade-offs between adversarial coalitions, which result in policy changes. Such agreements are more likely in the presence of a “hurting stalemate” or a situation where the status quo is unacceptable to the coalitions, and there are no other policy venues in which to engage (Nohrstedt et al., 2023). Finally, policy change can happen as a result of shifts in power between coalitions (Pierce et al., 2020). Power shifts between coalitions can happen as a result of events such as an election that favors elected officials of one coalition, and newly available resources for a coalition such as a powerful elected official, or knowledgeable experts (Nowlin et al., 2022), among others.</w:t>
      </w:r>
    </w:p>
    <w:p w14:paraId="3E20053A" w14:textId="77777777" w:rsidR="007E38AB" w:rsidRPr="00555117" w:rsidRDefault="00000000">
      <w:pPr>
        <w:rPr>
          <w:rFonts w:ascii="Times New Roman" w:hAnsi="Times New Roman" w:cs="Times New Roman"/>
        </w:rPr>
      </w:pPr>
      <w:r w:rsidRPr="00555117">
        <w:rPr>
          <w:rFonts w:ascii="Times New Roman" w:hAnsi="Times New Roman" w:cs="Times New Roman"/>
        </w:rPr>
        <w:t>While information processing is at the heart of our approach to learning in this element, policy change can also happen as a result of attention to information without any changes in beliefs or preferences (Workman et al., 2009). Policy actors have multiple and perhaps competing policy preferences. Policy change can happen when one preference becomes more salient than another in the absence of learning or preference updating. One example from B. D. Jones (1994) is the consideration of the US Congress in 1991 and again in 1992 to fund the construction of the superconducting super collider, a particle accelerator that would have been built in Texas. Seventy-nine US House of Representatives members voted in favor of funding the super collider in 1991 but subsequently voted against funding in 1992. The shift in votes by the Seventy-nine members of Congress was likely a result of the issue of the budget deficit gaining more attention and making the preference for a smaller deficit (and perhaps re-election) more salient.</w:t>
      </w:r>
    </w:p>
    <w:p w14:paraId="3E20053B" w14:textId="77777777" w:rsidR="007E38AB" w:rsidRPr="00555117" w:rsidRDefault="00000000">
      <w:pPr>
        <w:rPr>
          <w:rFonts w:ascii="Times New Roman" w:hAnsi="Times New Roman" w:cs="Times New Roman"/>
        </w:rPr>
      </w:pPr>
      <w:r w:rsidRPr="00555117">
        <w:rPr>
          <w:rFonts w:ascii="Times New Roman" w:hAnsi="Times New Roman" w:cs="Times New Roman"/>
        </w:rPr>
        <w:t>In this Element, we started with a review and mapping of the different theoretical directions in the policy learning literature, illustrating the potential for integrating an information processing approach therein. In oue view, this Element has demonstrated the substantial promise of the information processing approach to enhancing the analytical utility of policy learning research. By tracing how information is processed and reconciled against cognitive and institutional structures, this approach offers a more nuanced understanding of the micro-foundations of policy learning. It also helps advance the analytical utility of different theoretical approaches to learning. By acknowledging the cognitive processes that underpin policy decisions, scholars can gain deeper insights into the dynamics of policy change and the factors that influence learning across different contexts.</w:t>
      </w:r>
    </w:p>
    <w:p w14:paraId="2C1E79B2" w14:textId="77777777" w:rsidR="00BF73AB" w:rsidRDefault="00BF73AB">
      <w:pPr>
        <w:rPr>
          <w:rFonts w:ascii="Times New Roman" w:eastAsiaTheme="majorEastAsia" w:hAnsi="Times New Roman" w:cs="Times New Roman"/>
          <w:color w:val="2F5496" w:themeColor="accent1" w:themeShade="BF"/>
          <w:kern w:val="0"/>
          <w:sz w:val="32"/>
          <w:szCs w:val="32"/>
          <w:lang w:val="en-US"/>
          <w14:ligatures w14:val="none"/>
        </w:rPr>
      </w:pPr>
      <w:bookmarkStart w:id="58" w:name="references"/>
      <w:bookmarkStart w:id="59" w:name="_Toc223685856"/>
      <w:bookmarkEnd w:id="52"/>
      <w:bookmarkEnd w:id="57"/>
      <w:r>
        <w:rPr>
          <w:rFonts w:ascii="Times New Roman" w:hAnsi="Times New Roman" w:cs="Times New Roman"/>
        </w:rPr>
        <w:br w:type="page"/>
      </w:r>
    </w:p>
    <w:p w14:paraId="3E20053C" w14:textId="4B8AEFCD" w:rsidR="007E38AB" w:rsidRPr="00555117" w:rsidRDefault="00000000">
      <w:pPr>
        <w:pStyle w:val="Heading1"/>
        <w:rPr>
          <w:rFonts w:ascii="Times New Roman" w:hAnsi="Times New Roman" w:cs="Times New Roman"/>
        </w:rPr>
      </w:pPr>
      <w:r w:rsidRPr="00555117">
        <w:rPr>
          <w:rFonts w:ascii="Times New Roman" w:hAnsi="Times New Roman" w:cs="Times New Roman"/>
        </w:rPr>
        <w:lastRenderedPageBreak/>
        <w:t>References</w:t>
      </w:r>
      <w:bookmarkEnd w:id="59"/>
    </w:p>
    <w:p w14:paraId="3E20053D" w14:textId="77777777" w:rsidR="007E38AB" w:rsidRPr="00555117" w:rsidRDefault="00000000">
      <w:pPr>
        <w:pStyle w:val="Bibliography"/>
        <w:rPr>
          <w:rFonts w:ascii="Times New Roman" w:hAnsi="Times New Roman" w:cs="Times New Roman"/>
        </w:rPr>
      </w:pPr>
      <w:bookmarkStart w:id="60" w:name="ref-adcockMeasurementValidityShared2001"/>
      <w:bookmarkStart w:id="61" w:name="refs"/>
      <w:r w:rsidRPr="00555117">
        <w:rPr>
          <w:rFonts w:ascii="Times New Roman" w:hAnsi="Times New Roman" w:cs="Times New Roman"/>
        </w:rPr>
        <w:t xml:space="preserve">Adcock, R., &amp; Collier, D. (2001). Measurement Validity: A Shared Standard for Qualitative and Quantitative Research. </w:t>
      </w:r>
      <w:r w:rsidRPr="00555117">
        <w:rPr>
          <w:rFonts w:ascii="Times New Roman" w:hAnsi="Times New Roman" w:cs="Times New Roman"/>
          <w:i/>
          <w:iCs/>
        </w:rPr>
        <w:t>American Political Science Review</w:t>
      </w:r>
      <w:r w:rsidRPr="00555117">
        <w:rPr>
          <w:rFonts w:ascii="Times New Roman" w:hAnsi="Times New Roman" w:cs="Times New Roman"/>
        </w:rPr>
        <w:t xml:space="preserve">, </w:t>
      </w:r>
      <w:r w:rsidRPr="00555117">
        <w:rPr>
          <w:rFonts w:ascii="Times New Roman" w:hAnsi="Times New Roman" w:cs="Times New Roman"/>
          <w:i/>
          <w:iCs/>
        </w:rPr>
        <w:t>95</w:t>
      </w:r>
      <w:r w:rsidRPr="00555117">
        <w:rPr>
          <w:rFonts w:ascii="Times New Roman" w:hAnsi="Times New Roman" w:cs="Times New Roman"/>
        </w:rPr>
        <w:t>(3), 529–546. https://doi.org/10.1017/S0003055401003100</w:t>
      </w:r>
    </w:p>
    <w:p w14:paraId="3E20053E" w14:textId="77777777" w:rsidR="007E38AB" w:rsidRPr="00555117" w:rsidRDefault="00000000">
      <w:pPr>
        <w:pStyle w:val="Bibliography"/>
        <w:rPr>
          <w:rFonts w:ascii="Times New Roman" w:hAnsi="Times New Roman" w:cs="Times New Roman"/>
        </w:rPr>
      </w:pPr>
      <w:bookmarkStart w:id="62" w:name="ref-albrightPolicyChangeLearning2011a"/>
      <w:bookmarkEnd w:id="60"/>
      <w:r w:rsidRPr="00555117">
        <w:rPr>
          <w:rFonts w:ascii="Times New Roman" w:hAnsi="Times New Roman" w:cs="Times New Roman"/>
        </w:rPr>
        <w:t xml:space="preserve">Albright, E. A. (2011). Policy Change and Learning in Response to Extreme Flood Events in Hungary: An Advocacy Coalition Approach.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39</w:t>
      </w:r>
      <w:r w:rsidRPr="00555117">
        <w:rPr>
          <w:rFonts w:ascii="Times New Roman" w:hAnsi="Times New Roman" w:cs="Times New Roman"/>
        </w:rPr>
        <w:t>(3), 485–511. https://doi.org/10.1111/j.1541-0072.2011.00418.x</w:t>
      </w:r>
    </w:p>
    <w:p w14:paraId="3E20053F" w14:textId="77777777" w:rsidR="007E38AB" w:rsidRPr="00555117" w:rsidRDefault="00000000">
      <w:pPr>
        <w:pStyle w:val="Bibliography"/>
        <w:rPr>
          <w:rFonts w:ascii="Times New Roman" w:hAnsi="Times New Roman" w:cs="Times New Roman"/>
        </w:rPr>
      </w:pPr>
      <w:bookmarkStart w:id="63" w:name="ref-ansellHowLearningAggregates2017"/>
      <w:bookmarkEnd w:id="62"/>
      <w:r w:rsidRPr="00555117">
        <w:rPr>
          <w:rFonts w:ascii="Times New Roman" w:hAnsi="Times New Roman" w:cs="Times New Roman"/>
        </w:rPr>
        <w:t xml:space="preserve">Ansell, C., Lundin, M., &amp; Öberg, P. (2017). How Learning Aggregates: A Social Network Analysis of Learning Between Swedish Municipalities. </w:t>
      </w:r>
      <w:r w:rsidRPr="00555117">
        <w:rPr>
          <w:rFonts w:ascii="Times New Roman" w:hAnsi="Times New Roman" w:cs="Times New Roman"/>
          <w:i/>
          <w:iCs/>
        </w:rPr>
        <w:t>Local Government Studies</w:t>
      </w:r>
      <w:r w:rsidRPr="00555117">
        <w:rPr>
          <w:rFonts w:ascii="Times New Roman" w:hAnsi="Times New Roman" w:cs="Times New Roman"/>
        </w:rPr>
        <w:t xml:space="preserve">, </w:t>
      </w:r>
      <w:r w:rsidRPr="00555117">
        <w:rPr>
          <w:rFonts w:ascii="Times New Roman" w:hAnsi="Times New Roman" w:cs="Times New Roman"/>
          <w:i/>
          <w:iCs/>
        </w:rPr>
        <w:t>43</w:t>
      </w:r>
      <w:r w:rsidRPr="00555117">
        <w:rPr>
          <w:rFonts w:ascii="Times New Roman" w:hAnsi="Times New Roman" w:cs="Times New Roman"/>
        </w:rPr>
        <w:t>(6), 903–926. https://doi.org/10.1080/03003930.2017.1342626</w:t>
      </w:r>
    </w:p>
    <w:p w14:paraId="3E200540" w14:textId="77777777" w:rsidR="007E38AB" w:rsidRPr="00555117" w:rsidRDefault="00000000">
      <w:pPr>
        <w:pStyle w:val="Bibliography"/>
        <w:rPr>
          <w:rFonts w:ascii="Times New Roman" w:hAnsi="Times New Roman" w:cs="Times New Roman"/>
        </w:rPr>
      </w:pPr>
      <w:bookmarkStart w:id="64" w:name="ref-arnoldPolicyLearningScience2014"/>
      <w:bookmarkEnd w:id="63"/>
      <w:r w:rsidRPr="00555117">
        <w:rPr>
          <w:rFonts w:ascii="Times New Roman" w:hAnsi="Times New Roman" w:cs="Times New Roman"/>
        </w:rPr>
        <w:t xml:space="preserve">Arnold, G. (2014). Policy Learning and Science Policy Innovation Adoption by Street-Level Bureaucrats. </w:t>
      </w:r>
      <w:r w:rsidRPr="00555117">
        <w:rPr>
          <w:rFonts w:ascii="Times New Roman" w:hAnsi="Times New Roman" w:cs="Times New Roman"/>
          <w:i/>
          <w:iCs/>
        </w:rPr>
        <w:t>Journal of Public Policy</w:t>
      </w:r>
      <w:r w:rsidRPr="00555117">
        <w:rPr>
          <w:rFonts w:ascii="Times New Roman" w:hAnsi="Times New Roman" w:cs="Times New Roman"/>
        </w:rPr>
        <w:t xml:space="preserve">, </w:t>
      </w:r>
      <w:r w:rsidRPr="00555117">
        <w:rPr>
          <w:rFonts w:ascii="Times New Roman" w:hAnsi="Times New Roman" w:cs="Times New Roman"/>
          <w:i/>
          <w:iCs/>
        </w:rPr>
        <w:t>34</w:t>
      </w:r>
      <w:r w:rsidRPr="00555117">
        <w:rPr>
          <w:rFonts w:ascii="Times New Roman" w:hAnsi="Times New Roman" w:cs="Times New Roman"/>
        </w:rPr>
        <w:t>(3), 389–414.</w:t>
      </w:r>
    </w:p>
    <w:p w14:paraId="3E200541" w14:textId="77777777" w:rsidR="007E38AB" w:rsidRPr="00555117" w:rsidRDefault="00000000">
      <w:pPr>
        <w:pStyle w:val="Bibliography"/>
        <w:rPr>
          <w:rFonts w:ascii="Times New Roman" w:hAnsi="Times New Roman" w:cs="Times New Roman"/>
        </w:rPr>
      </w:pPr>
      <w:bookmarkStart w:id="65" w:name="ref-bandelowNarrativesFramingPolicy2025"/>
      <w:bookmarkEnd w:id="64"/>
      <w:r w:rsidRPr="00555117">
        <w:rPr>
          <w:rFonts w:ascii="Times New Roman" w:hAnsi="Times New Roman" w:cs="Times New Roman"/>
        </w:rPr>
        <w:t xml:space="preserve">Bandelow, N. C., Hornung, J., &amp; Schröder, I. (2025). Narratives and Framing in Policy Making. </w:t>
      </w:r>
      <w:r w:rsidRPr="00555117">
        <w:rPr>
          <w:rFonts w:ascii="Times New Roman" w:hAnsi="Times New Roman" w:cs="Times New Roman"/>
          <w:i/>
          <w:iCs/>
        </w:rPr>
        <w:t>Review of Policy Research</w:t>
      </w:r>
      <w:r w:rsidRPr="00555117">
        <w:rPr>
          <w:rFonts w:ascii="Times New Roman" w:hAnsi="Times New Roman" w:cs="Times New Roman"/>
        </w:rPr>
        <w:t xml:space="preserve">, </w:t>
      </w:r>
      <w:r w:rsidRPr="00555117">
        <w:rPr>
          <w:rFonts w:ascii="Times New Roman" w:hAnsi="Times New Roman" w:cs="Times New Roman"/>
          <w:i/>
          <w:iCs/>
        </w:rPr>
        <w:t>42</w:t>
      </w:r>
      <w:r w:rsidRPr="00555117">
        <w:rPr>
          <w:rFonts w:ascii="Times New Roman" w:hAnsi="Times New Roman" w:cs="Times New Roman"/>
        </w:rPr>
        <w:t>(5), 1082–1086. https://doi.org/10.1111/ropr.70053</w:t>
      </w:r>
    </w:p>
    <w:p w14:paraId="3E200542" w14:textId="77777777" w:rsidR="007E38AB" w:rsidRPr="00555117" w:rsidRDefault="00000000">
      <w:pPr>
        <w:pStyle w:val="Bibliography"/>
        <w:rPr>
          <w:rFonts w:ascii="Times New Roman" w:hAnsi="Times New Roman" w:cs="Times New Roman"/>
        </w:rPr>
      </w:pPr>
      <w:bookmarkStart w:id="66" w:name="ref-bandelowLearningNecessaryNot2019"/>
      <w:bookmarkEnd w:id="65"/>
      <w:r w:rsidRPr="00555117">
        <w:rPr>
          <w:rFonts w:ascii="Times New Roman" w:hAnsi="Times New Roman" w:cs="Times New Roman"/>
        </w:rPr>
        <w:t xml:space="preserve">Bandelow, N. C., Vogeler, C. S., Hornung, J., Kuhlmann, J., &amp; Heidrich, S. (2019). Learning as a Necessary but Not Sufficient Condition for Major Health Policy Change: A Qualitative Comparative Analysis Combining ACF and MSF. </w:t>
      </w:r>
      <w:r w:rsidRPr="00555117">
        <w:rPr>
          <w:rFonts w:ascii="Times New Roman" w:hAnsi="Times New Roman" w:cs="Times New Roman"/>
          <w:i/>
          <w:iCs/>
        </w:rPr>
        <w:t>Journal of Comparative Policy Analysis: Research and Practice</w:t>
      </w:r>
      <w:r w:rsidRPr="00555117">
        <w:rPr>
          <w:rFonts w:ascii="Times New Roman" w:hAnsi="Times New Roman" w:cs="Times New Roman"/>
        </w:rPr>
        <w:t xml:space="preserve">, </w:t>
      </w:r>
      <w:r w:rsidRPr="00555117">
        <w:rPr>
          <w:rFonts w:ascii="Times New Roman" w:hAnsi="Times New Roman" w:cs="Times New Roman"/>
          <w:i/>
          <w:iCs/>
        </w:rPr>
        <w:t>21</w:t>
      </w:r>
      <w:r w:rsidRPr="00555117">
        <w:rPr>
          <w:rFonts w:ascii="Times New Roman" w:hAnsi="Times New Roman" w:cs="Times New Roman"/>
        </w:rPr>
        <w:t>(2), 167–182. https://doi.org/10.1080/13876988.2017.1393920</w:t>
      </w:r>
    </w:p>
    <w:p w14:paraId="3E200543" w14:textId="77777777" w:rsidR="007E38AB" w:rsidRPr="00555117" w:rsidRDefault="00000000">
      <w:pPr>
        <w:pStyle w:val="Bibliography"/>
        <w:rPr>
          <w:rFonts w:ascii="Times New Roman" w:hAnsi="Times New Roman" w:cs="Times New Roman"/>
        </w:rPr>
      </w:pPr>
      <w:bookmarkStart w:id="67" w:name="Xc42d4c7c93710a33d11e7c2d3ca38b6ce242843"/>
      <w:bookmarkEnd w:id="66"/>
      <w:r w:rsidRPr="00555117">
        <w:rPr>
          <w:rFonts w:ascii="Times New Roman" w:hAnsi="Times New Roman" w:cs="Times New Roman"/>
        </w:rPr>
        <w:t xml:space="preserve">Baumgartner, F. R., &amp; Jones, B. D. (1993). </w:t>
      </w:r>
      <w:r w:rsidRPr="00555117">
        <w:rPr>
          <w:rFonts w:ascii="Times New Roman" w:hAnsi="Times New Roman" w:cs="Times New Roman"/>
          <w:i/>
          <w:iCs/>
        </w:rPr>
        <w:t>Agendas and Instability in American Politics</w:t>
      </w:r>
      <w:r w:rsidRPr="00555117">
        <w:rPr>
          <w:rFonts w:ascii="Times New Roman" w:hAnsi="Times New Roman" w:cs="Times New Roman"/>
        </w:rPr>
        <w:t>. University Of Chicago Press.</w:t>
      </w:r>
    </w:p>
    <w:p w14:paraId="3E200544" w14:textId="77777777" w:rsidR="007E38AB" w:rsidRPr="00555117" w:rsidRDefault="00000000">
      <w:pPr>
        <w:pStyle w:val="Bibliography"/>
        <w:rPr>
          <w:rFonts w:ascii="Times New Roman" w:hAnsi="Times New Roman" w:cs="Times New Roman"/>
        </w:rPr>
      </w:pPr>
      <w:bookmarkStart w:id="68" w:name="X2a79e1809ee7ff3c4d1405e23f026099b67c6a5"/>
      <w:bookmarkEnd w:id="67"/>
      <w:r w:rsidRPr="00555117">
        <w:rPr>
          <w:rFonts w:ascii="Times New Roman" w:hAnsi="Times New Roman" w:cs="Times New Roman"/>
        </w:rPr>
        <w:t xml:space="preserve">Baumgartner, F. R., &amp; Jones, B. D. (2015). </w:t>
      </w:r>
      <w:r w:rsidRPr="00555117">
        <w:rPr>
          <w:rFonts w:ascii="Times New Roman" w:hAnsi="Times New Roman" w:cs="Times New Roman"/>
          <w:i/>
          <w:iCs/>
        </w:rPr>
        <w:t>The Politics of Information: Problem Definition and the Course of Public Policy in America</w:t>
      </w:r>
      <w:r w:rsidRPr="00555117">
        <w:rPr>
          <w:rFonts w:ascii="Times New Roman" w:hAnsi="Times New Roman" w:cs="Times New Roman"/>
        </w:rPr>
        <w:t>. University Of Chicago Press.</w:t>
      </w:r>
    </w:p>
    <w:p w14:paraId="3E200545" w14:textId="77777777" w:rsidR="007E38AB" w:rsidRPr="00555117" w:rsidRDefault="00000000">
      <w:pPr>
        <w:pStyle w:val="Bibliography"/>
        <w:rPr>
          <w:rFonts w:ascii="Times New Roman" w:hAnsi="Times New Roman" w:cs="Times New Roman"/>
        </w:rPr>
      </w:pPr>
      <w:bookmarkStart w:id="69" w:name="X978356f3b8759284a522c9a9c94899c5332f0c8"/>
      <w:bookmarkEnd w:id="68"/>
      <w:r w:rsidRPr="00555117">
        <w:rPr>
          <w:rFonts w:ascii="Times New Roman" w:hAnsi="Times New Roman" w:cs="Times New Roman"/>
        </w:rPr>
        <w:t xml:space="preserve">Baumgartner, F. R., Jones, B. D., &amp; Mortensen, P. B. (2023). Punctuated Equilibrium Theory: Explaining Stability and Change in Public Policymaking. In C. M. Weible (Ed.), </w:t>
      </w:r>
      <w:r w:rsidRPr="00555117">
        <w:rPr>
          <w:rFonts w:ascii="Times New Roman" w:hAnsi="Times New Roman" w:cs="Times New Roman"/>
          <w:i/>
          <w:iCs/>
        </w:rPr>
        <w:t>Theories of the Policy Process</w:t>
      </w:r>
      <w:r w:rsidRPr="00555117">
        <w:rPr>
          <w:rFonts w:ascii="Times New Roman" w:hAnsi="Times New Roman" w:cs="Times New Roman"/>
        </w:rPr>
        <w:t xml:space="preserve"> (5th ed., pp. 65–99). Routledge.</w:t>
      </w:r>
    </w:p>
    <w:p w14:paraId="3E200546" w14:textId="77777777" w:rsidR="007E38AB" w:rsidRPr="00555117" w:rsidRDefault="00000000">
      <w:pPr>
        <w:pStyle w:val="Bibliography"/>
        <w:rPr>
          <w:rFonts w:ascii="Times New Roman" w:hAnsi="Times New Roman" w:cs="Times New Roman"/>
        </w:rPr>
      </w:pPr>
      <w:bookmarkStart w:id="70" w:name="ref-beachPresentRoleAnalogical2021"/>
      <w:bookmarkEnd w:id="69"/>
      <w:r w:rsidRPr="00555117">
        <w:rPr>
          <w:rFonts w:ascii="Times New Roman" w:hAnsi="Times New Roman" w:cs="Times New Roman"/>
        </w:rPr>
        <w:t xml:space="preserve">Beach, D., Schäfer, D., &amp; Smeets, S. (2021). The Past in the Present—The Role of Analogical Reasoning in Epistemic Learning About How to Tackle Complex Policy Problems.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49</w:t>
      </w:r>
      <w:r w:rsidRPr="00555117">
        <w:rPr>
          <w:rFonts w:ascii="Times New Roman" w:hAnsi="Times New Roman" w:cs="Times New Roman"/>
        </w:rPr>
        <w:t>(2), 457–483. https://doi.org/10.1111/psj.12372</w:t>
      </w:r>
    </w:p>
    <w:p w14:paraId="3E200547" w14:textId="77777777" w:rsidR="007E38AB" w:rsidRPr="00555117" w:rsidRDefault="00000000">
      <w:pPr>
        <w:pStyle w:val="Bibliography"/>
        <w:rPr>
          <w:rFonts w:ascii="Times New Roman" w:hAnsi="Times New Roman" w:cs="Times New Roman"/>
        </w:rPr>
      </w:pPr>
      <w:bookmarkStart w:id="71" w:name="ref-bennettWhatPolicyConvergence1991"/>
      <w:bookmarkEnd w:id="70"/>
      <w:r w:rsidRPr="00555117">
        <w:rPr>
          <w:rFonts w:ascii="Times New Roman" w:hAnsi="Times New Roman" w:cs="Times New Roman"/>
        </w:rPr>
        <w:t xml:space="preserve">Bennett, C. J. (1991). What Is Policy Convergence and What Causes It? </w:t>
      </w:r>
      <w:r w:rsidRPr="00555117">
        <w:rPr>
          <w:rFonts w:ascii="Times New Roman" w:hAnsi="Times New Roman" w:cs="Times New Roman"/>
          <w:i/>
          <w:iCs/>
        </w:rPr>
        <w:t>British Journal of Political Science</w:t>
      </w:r>
      <w:r w:rsidRPr="00555117">
        <w:rPr>
          <w:rFonts w:ascii="Times New Roman" w:hAnsi="Times New Roman" w:cs="Times New Roman"/>
        </w:rPr>
        <w:t xml:space="preserve">, </w:t>
      </w:r>
      <w:r w:rsidRPr="00555117">
        <w:rPr>
          <w:rFonts w:ascii="Times New Roman" w:hAnsi="Times New Roman" w:cs="Times New Roman"/>
          <w:i/>
          <w:iCs/>
        </w:rPr>
        <w:t>21</w:t>
      </w:r>
      <w:r w:rsidRPr="00555117">
        <w:rPr>
          <w:rFonts w:ascii="Times New Roman" w:hAnsi="Times New Roman" w:cs="Times New Roman"/>
        </w:rPr>
        <w:t>(2), 215–233. https://doi.org/10.1017/S0007123400006116</w:t>
      </w:r>
    </w:p>
    <w:p w14:paraId="3E200548" w14:textId="77777777" w:rsidR="007E38AB" w:rsidRPr="00555117" w:rsidRDefault="00000000">
      <w:pPr>
        <w:pStyle w:val="Bibliography"/>
        <w:rPr>
          <w:rFonts w:ascii="Times New Roman" w:hAnsi="Times New Roman" w:cs="Times New Roman"/>
        </w:rPr>
      </w:pPr>
      <w:bookmarkStart w:id="72" w:name="X9030d6452f605b36ff776f803cb071a532ca3e5"/>
      <w:bookmarkEnd w:id="71"/>
      <w:r w:rsidRPr="00555117">
        <w:rPr>
          <w:rFonts w:ascii="Times New Roman" w:hAnsi="Times New Roman" w:cs="Times New Roman"/>
        </w:rPr>
        <w:t xml:space="preserve">Bennett, C. J., &amp; Howlett, M. (1992). The Lessons of Learning: Reconciling Theories of Policy Learning and Policy Change. </w:t>
      </w:r>
      <w:r w:rsidRPr="00555117">
        <w:rPr>
          <w:rFonts w:ascii="Times New Roman" w:hAnsi="Times New Roman" w:cs="Times New Roman"/>
          <w:i/>
          <w:iCs/>
        </w:rPr>
        <w:t>Policy Sciences</w:t>
      </w:r>
      <w:r w:rsidRPr="00555117">
        <w:rPr>
          <w:rFonts w:ascii="Times New Roman" w:hAnsi="Times New Roman" w:cs="Times New Roman"/>
        </w:rPr>
        <w:t xml:space="preserve">, </w:t>
      </w:r>
      <w:r w:rsidRPr="00555117">
        <w:rPr>
          <w:rFonts w:ascii="Times New Roman" w:hAnsi="Times New Roman" w:cs="Times New Roman"/>
          <w:i/>
          <w:iCs/>
        </w:rPr>
        <w:t>25</w:t>
      </w:r>
      <w:r w:rsidRPr="00555117">
        <w:rPr>
          <w:rFonts w:ascii="Times New Roman" w:hAnsi="Times New Roman" w:cs="Times New Roman"/>
        </w:rPr>
        <w:t>(3), 275–294.</w:t>
      </w:r>
    </w:p>
    <w:p w14:paraId="3E200549" w14:textId="77777777" w:rsidR="007E38AB" w:rsidRPr="00555117" w:rsidRDefault="00000000">
      <w:pPr>
        <w:pStyle w:val="Bibliography"/>
        <w:rPr>
          <w:rFonts w:ascii="Times New Roman" w:hAnsi="Times New Roman" w:cs="Times New Roman"/>
        </w:rPr>
      </w:pPr>
      <w:bookmarkStart w:id="73" w:name="ref-besleyImpactAccidentAttention2014"/>
      <w:bookmarkEnd w:id="72"/>
      <w:r w:rsidRPr="00555117">
        <w:rPr>
          <w:rFonts w:ascii="Times New Roman" w:hAnsi="Times New Roman" w:cs="Times New Roman"/>
        </w:rPr>
        <w:t xml:space="preserve">Besley, J. C., &amp; Oh, S.-H. (2014). The Impact of Accident Attention, Ideology, and Environmentalism on American Attitudes Toward Nuclear Energy. </w:t>
      </w:r>
      <w:r w:rsidRPr="00555117">
        <w:rPr>
          <w:rFonts w:ascii="Times New Roman" w:hAnsi="Times New Roman" w:cs="Times New Roman"/>
          <w:i/>
          <w:iCs/>
        </w:rPr>
        <w:t>Risk Analysis</w:t>
      </w:r>
      <w:r w:rsidRPr="00555117">
        <w:rPr>
          <w:rFonts w:ascii="Times New Roman" w:hAnsi="Times New Roman" w:cs="Times New Roman"/>
        </w:rPr>
        <w:t xml:space="preserve">, </w:t>
      </w:r>
      <w:r w:rsidRPr="00555117">
        <w:rPr>
          <w:rFonts w:ascii="Times New Roman" w:hAnsi="Times New Roman" w:cs="Times New Roman"/>
          <w:i/>
          <w:iCs/>
        </w:rPr>
        <w:t>34</w:t>
      </w:r>
      <w:r w:rsidRPr="00555117">
        <w:rPr>
          <w:rFonts w:ascii="Times New Roman" w:hAnsi="Times New Roman" w:cs="Times New Roman"/>
        </w:rPr>
        <w:t>(5), 949–964.</w:t>
      </w:r>
    </w:p>
    <w:p w14:paraId="3E20054A" w14:textId="77777777" w:rsidR="007E38AB" w:rsidRPr="00555117" w:rsidRDefault="00000000">
      <w:pPr>
        <w:pStyle w:val="Bibliography"/>
        <w:rPr>
          <w:rFonts w:ascii="Times New Roman" w:hAnsi="Times New Roman" w:cs="Times New Roman"/>
        </w:rPr>
      </w:pPr>
      <w:bookmarkStart w:id="74" w:name="ref-biegelbauerHowDifferentForms2016"/>
      <w:bookmarkEnd w:id="73"/>
      <w:r w:rsidRPr="00555117">
        <w:rPr>
          <w:rFonts w:ascii="Times New Roman" w:hAnsi="Times New Roman" w:cs="Times New Roman"/>
        </w:rPr>
        <w:t xml:space="preserve">Biegelbauer, P. (2016). How Different Forms of Policy Learning Influence Each Other: Case Studies from Austrian Innovation Policy-Making. </w:t>
      </w:r>
      <w:r w:rsidRPr="00555117">
        <w:rPr>
          <w:rFonts w:ascii="Times New Roman" w:hAnsi="Times New Roman" w:cs="Times New Roman"/>
          <w:i/>
          <w:iCs/>
        </w:rPr>
        <w:t>Policy Studies</w:t>
      </w:r>
      <w:r w:rsidRPr="00555117">
        <w:rPr>
          <w:rFonts w:ascii="Times New Roman" w:hAnsi="Times New Roman" w:cs="Times New Roman"/>
        </w:rPr>
        <w:t xml:space="preserve">, </w:t>
      </w:r>
      <w:r w:rsidRPr="00555117">
        <w:rPr>
          <w:rFonts w:ascii="Times New Roman" w:hAnsi="Times New Roman" w:cs="Times New Roman"/>
          <w:i/>
          <w:iCs/>
        </w:rPr>
        <w:t>37</w:t>
      </w:r>
      <w:r w:rsidRPr="00555117">
        <w:rPr>
          <w:rFonts w:ascii="Times New Roman" w:hAnsi="Times New Roman" w:cs="Times New Roman"/>
        </w:rPr>
        <w:t>(2), 129–146. https://doi.org/10.1080/01442872.2015.1118027</w:t>
      </w:r>
    </w:p>
    <w:p w14:paraId="3E20054B" w14:textId="77777777" w:rsidR="007E38AB" w:rsidRPr="00555117" w:rsidRDefault="00000000">
      <w:pPr>
        <w:pStyle w:val="Bibliography"/>
        <w:rPr>
          <w:rFonts w:ascii="Times New Roman" w:hAnsi="Times New Roman" w:cs="Times New Roman"/>
        </w:rPr>
      </w:pPr>
      <w:bookmarkStart w:id="75" w:name="ref-birklandDisasterAgendaSetting1997"/>
      <w:bookmarkEnd w:id="74"/>
      <w:r w:rsidRPr="00555117">
        <w:rPr>
          <w:rFonts w:ascii="Times New Roman" w:hAnsi="Times New Roman" w:cs="Times New Roman"/>
        </w:rPr>
        <w:lastRenderedPageBreak/>
        <w:t xml:space="preserve">Birkland, T. A. (1997). </w:t>
      </w:r>
      <w:r w:rsidRPr="00555117">
        <w:rPr>
          <w:rFonts w:ascii="Times New Roman" w:hAnsi="Times New Roman" w:cs="Times New Roman"/>
          <w:i/>
          <w:iCs/>
        </w:rPr>
        <w:t>After Disaster: Agenda Setting, Public Policy, and Focusing Events</w:t>
      </w:r>
      <w:r w:rsidRPr="00555117">
        <w:rPr>
          <w:rFonts w:ascii="Times New Roman" w:hAnsi="Times New Roman" w:cs="Times New Roman"/>
        </w:rPr>
        <w:t>. Georgetown University Press.</w:t>
      </w:r>
    </w:p>
    <w:p w14:paraId="3E20054C" w14:textId="77777777" w:rsidR="007E38AB" w:rsidRPr="00555117" w:rsidRDefault="00000000">
      <w:pPr>
        <w:pStyle w:val="Bibliography"/>
        <w:rPr>
          <w:rFonts w:ascii="Times New Roman" w:hAnsi="Times New Roman" w:cs="Times New Roman"/>
        </w:rPr>
      </w:pPr>
      <w:bookmarkStart w:id="76" w:name="Xd8dc5fa100b3e8f70e61c2bf06dffa37f9e50fc"/>
      <w:bookmarkEnd w:id="75"/>
      <w:r w:rsidRPr="00555117">
        <w:rPr>
          <w:rFonts w:ascii="Times New Roman" w:hAnsi="Times New Roman" w:cs="Times New Roman"/>
        </w:rPr>
        <w:t xml:space="preserve">Birkland, T. A. (1998). Focusing Events, Mobilization, and Agenda Setting. </w:t>
      </w:r>
      <w:r w:rsidRPr="00555117">
        <w:rPr>
          <w:rFonts w:ascii="Times New Roman" w:hAnsi="Times New Roman" w:cs="Times New Roman"/>
          <w:i/>
          <w:iCs/>
        </w:rPr>
        <w:t>Journal of Public Policy</w:t>
      </w:r>
      <w:r w:rsidRPr="00555117">
        <w:rPr>
          <w:rFonts w:ascii="Times New Roman" w:hAnsi="Times New Roman" w:cs="Times New Roman"/>
        </w:rPr>
        <w:t xml:space="preserve">, </w:t>
      </w:r>
      <w:r w:rsidRPr="00555117">
        <w:rPr>
          <w:rFonts w:ascii="Times New Roman" w:hAnsi="Times New Roman" w:cs="Times New Roman"/>
          <w:i/>
          <w:iCs/>
        </w:rPr>
        <w:t>18</w:t>
      </w:r>
      <w:r w:rsidRPr="00555117">
        <w:rPr>
          <w:rFonts w:ascii="Times New Roman" w:hAnsi="Times New Roman" w:cs="Times New Roman"/>
        </w:rPr>
        <w:t>(1), 53–74.</w:t>
      </w:r>
    </w:p>
    <w:p w14:paraId="3E20054D" w14:textId="77777777" w:rsidR="007E38AB" w:rsidRPr="00555117" w:rsidRDefault="00000000">
      <w:pPr>
        <w:pStyle w:val="Bibliography"/>
        <w:rPr>
          <w:rFonts w:ascii="Times New Roman" w:hAnsi="Times New Roman" w:cs="Times New Roman"/>
        </w:rPr>
      </w:pPr>
      <w:bookmarkStart w:id="77" w:name="ref-birklandWorldChangedToday2004"/>
      <w:bookmarkEnd w:id="76"/>
      <w:r w:rsidRPr="00555117">
        <w:rPr>
          <w:rFonts w:ascii="Times New Roman" w:hAnsi="Times New Roman" w:cs="Times New Roman"/>
        </w:rPr>
        <w:t xml:space="preserve">Birkland, T. A. (2004). "The World Changed Today": Agenda-Setting and Policy Change in the Wake of the September 11 Terrorist Attacks. </w:t>
      </w:r>
      <w:r w:rsidRPr="00555117">
        <w:rPr>
          <w:rFonts w:ascii="Times New Roman" w:hAnsi="Times New Roman" w:cs="Times New Roman"/>
          <w:i/>
          <w:iCs/>
        </w:rPr>
        <w:t>Review of Policy Research</w:t>
      </w:r>
      <w:r w:rsidRPr="00555117">
        <w:rPr>
          <w:rFonts w:ascii="Times New Roman" w:hAnsi="Times New Roman" w:cs="Times New Roman"/>
        </w:rPr>
        <w:t xml:space="preserve">, </w:t>
      </w:r>
      <w:r w:rsidRPr="00555117">
        <w:rPr>
          <w:rFonts w:ascii="Times New Roman" w:hAnsi="Times New Roman" w:cs="Times New Roman"/>
          <w:i/>
          <w:iCs/>
        </w:rPr>
        <w:t>21</w:t>
      </w:r>
      <w:r w:rsidRPr="00555117">
        <w:rPr>
          <w:rFonts w:ascii="Times New Roman" w:hAnsi="Times New Roman" w:cs="Times New Roman"/>
        </w:rPr>
        <w:t>(2), 179–200. https://doi.org/10.1111/j.1541-1338.2004.00068.x</w:t>
      </w:r>
    </w:p>
    <w:p w14:paraId="3E20054E" w14:textId="77777777" w:rsidR="007E38AB" w:rsidRPr="00555117" w:rsidRDefault="00000000">
      <w:pPr>
        <w:pStyle w:val="Bibliography"/>
        <w:rPr>
          <w:rFonts w:ascii="Times New Roman" w:hAnsi="Times New Roman" w:cs="Times New Roman"/>
        </w:rPr>
      </w:pPr>
      <w:bookmarkStart w:id="78" w:name="Xc61e27be138688f5189a1d434852e8868ec280d"/>
      <w:bookmarkEnd w:id="77"/>
      <w:r w:rsidRPr="00555117">
        <w:rPr>
          <w:rFonts w:ascii="Times New Roman" w:hAnsi="Times New Roman" w:cs="Times New Roman"/>
        </w:rPr>
        <w:t xml:space="preserve">Blum, S. (2018). The Multiple-Streams Framework and Knowledge Utilization: Argumentative Couplings of Problem, Policy, and Politics Issues. </w:t>
      </w:r>
      <w:r w:rsidRPr="00555117">
        <w:rPr>
          <w:rFonts w:ascii="Times New Roman" w:hAnsi="Times New Roman" w:cs="Times New Roman"/>
          <w:i/>
          <w:iCs/>
        </w:rPr>
        <w:t>European Policy Analysis</w:t>
      </w:r>
      <w:r w:rsidRPr="00555117">
        <w:rPr>
          <w:rFonts w:ascii="Times New Roman" w:hAnsi="Times New Roman" w:cs="Times New Roman"/>
        </w:rPr>
        <w:t xml:space="preserve">, </w:t>
      </w:r>
      <w:r w:rsidRPr="00555117">
        <w:rPr>
          <w:rFonts w:ascii="Times New Roman" w:hAnsi="Times New Roman" w:cs="Times New Roman"/>
          <w:i/>
          <w:iCs/>
        </w:rPr>
        <w:t>4</w:t>
      </w:r>
      <w:r w:rsidRPr="00555117">
        <w:rPr>
          <w:rFonts w:ascii="Times New Roman" w:hAnsi="Times New Roman" w:cs="Times New Roman"/>
        </w:rPr>
        <w:t>(1), 94–117. https://doi.org/10.1002/epa2.1029</w:t>
      </w:r>
    </w:p>
    <w:p w14:paraId="3E20054F" w14:textId="77777777" w:rsidR="007E38AB" w:rsidRPr="00555117" w:rsidRDefault="00000000">
      <w:pPr>
        <w:pStyle w:val="Bibliography"/>
        <w:rPr>
          <w:rFonts w:ascii="Times New Roman" w:hAnsi="Times New Roman" w:cs="Times New Roman"/>
        </w:rPr>
      </w:pPr>
      <w:bookmarkStart w:id="79" w:name="ref-boinHidingPlainSight2020"/>
      <w:bookmarkEnd w:id="78"/>
      <w:r w:rsidRPr="00555117">
        <w:rPr>
          <w:rFonts w:ascii="Times New Roman" w:hAnsi="Times New Roman" w:cs="Times New Roman"/>
        </w:rPr>
        <w:t xml:space="preserve">Boin, A., Ekengren, M., &amp; Rhinard, M. (2020). Hiding in Plain Sight: Conceptualizing the Creeping Crisis. </w:t>
      </w:r>
      <w:r w:rsidRPr="00555117">
        <w:rPr>
          <w:rFonts w:ascii="Times New Roman" w:hAnsi="Times New Roman" w:cs="Times New Roman"/>
          <w:i/>
          <w:iCs/>
        </w:rPr>
        <w:t>Risk, Hazards &amp; Crisis in Public Policy</w:t>
      </w:r>
      <w:r w:rsidRPr="00555117">
        <w:rPr>
          <w:rFonts w:ascii="Times New Roman" w:hAnsi="Times New Roman" w:cs="Times New Roman"/>
        </w:rPr>
        <w:t xml:space="preserve">, </w:t>
      </w:r>
      <w:r w:rsidRPr="00555117">
        <w:rPr>
          <w:rFonts w:ascii="Times New Roman" w:hAnsi="Times New Roman" w:cs="Times New Roman"/>
          <w:i/>
          <w:iCs/>
        </w:rPr>
        <w:t>11</w:t>
      </w:r>
      <w:r w:rsidRPr="00555117">
        <w:rPr>
          <w:rFonts w:ascii="Times New Roman" w:hAnsi="Times New Roman" w:cs="Times New Roman"/>
        </w:rPr>
        <w:t>(2), 116–138. https://doi.org/10.1002/rhc3.12193</w:t>
      </w:r>
    </w:p>
    <w:p w14:paraId="3E200550" w14:textId="77777777" w:rsidR="007E38AB" w:rsidRPr="00555117" w:rsidRDefault="00000000">
      <w:pPr>
        <w:pStyle w:val="Bibliography"/>
        <w:rPr>
          <w:rFonts w:ascii="Times New Roman" w:hAnsi="Times New Roman" w:cs="Times New Roman"/>
        </w:rPr>
      </w:pPr>
      <w:bookmarkStart w:id="80" w:name="X9569393db3759387a63fc22b6db136bb53aed6f"/>
      <w:bookmarkEnd w:id="79"/>
      <w:r w:rsidRPr="00555117">
        <w:rPr>
          <w:rFonts w:ascii="Times New Roman" w:hAnsi="Times New Roman" w:cs="Times New Roman"/>
        </w:rPr>
        <w:t xml:space="preserve">Borrás, S. (2011). Policy Learning and Organizational Capacities in Innovation Policies. </w:t>
      </w:r>
      <w:r w:rsidRPr="00555117">
        <w:rPr>
          <w:rFonts w:ascii="Times New Roman" w:hAnsi="Times New Roman" w:cs="Times New Roman"/>
          <w:i/>
          <w:iCs/>
        </w:rPr>
        <w:t>Science and Public Policy</w:t>
      </w:r>
      <w:r w:rsidRPr="00555117">
        <w:rPr>
          <w:rFonts w:ascii="Times New Roman" w:hAnsi="Times New Roman" w:cs="Times New Roman"/>
        </w:rPr>
        <w:t xml:space="preserve">, </w:t>
      </w:r>
      <w:r w:rsidRPr="00555117">
        <w:rPr>
          <w:rFonts w:ascii="Times New Roman" w:hAnsi="Times New Roman" w:cs="Times New Roman"/>
          <w:i/>
          <w:iCs/>
        </w:rPr>
        <w:t>38</w:t>
      </w:r>
      <w:r w:rsidRPr="00555117">
        <w:rPr>
          <w:rFonts w:ascii="Times New Roman" w:hAnsi="Times New Roman" w:cs="Times New Roman"/>
        </w:rPr>
        <w:t>(9), 725–734. https://doi.org/10.3152/030234211X13070021633323</w:t>
      </w:r>
    </w:p>
    <w:p w14:paraId="3E200551" w14:textId="77777777" w:rsidR="007E38AB" w:rsidRPr="00555117" w:rsidRDefault="00000000">
      <w:pPr>
        <w:pStyle w:val="Bibliography"/>
        <w:rPr>
          <w:rFonts w:ascii="Times New Roman" w:hAnsi="Times New Roman" w:cs="Times New Roman"/>
        </w:rPr>
      </w:pPr>
      <w:bookmarkStart w:id="81" w:name="ref-borrasOpenMethodCoOrdination2004"/>
      <w:bookmarkEnd w:id="80"/>
      <w:r w:rsidRPr="00555117">
        <w:rPr>
          <w:rFonts w:ascii="Times New Roman" w:hAnsi="Times New Roman" w:cs="Times New Roman"/>
        </w:rPr>
        <w:t xml:space="preserve">Borrás, S., &amp; Jacobsson, K. (2004). The Open Method of Co-Ordination and New Governance Patterns in the EU. </w:t>
      </w:r>
      <w:r w:rsidRPr="00555117">
        <w:rPr>
          <w:rFonts w:ascii="Times New Roman" w:hAnsi="Times New Roman" w:cs="Times New Roman"/>
          <w:i/>
          <w:iCs/>
        </w:rPr>
        <w:t>Journal of European Public Policy</w:t>
      </w:r>
      <w:r w:rsidRPr="00555117">
        <w:rPr>
          <w:rFonts w:ascii="Times New Roman" w:hAnsi="Times New Roman" w:cs="Times New Roman"/>
        </w:rPr>
        <w:t xml:space="preserve">, </w:t>
      </w:r>
      <w:r w:rsidRPr="00555117">
        <w:rPr>
          <w:rFonts w:ascii="Times New Roman" w:hAnsi="Times New Roman" w:cs="Times New Roman"/>
          <w:i/>
          <w:iCs/>
        </w:rPr>
        <w:t>11</w:t>
      </w:r>
      <w:r w:rsidRPr="00555117">
        <w:rPr>
          <w:rFonts w:ascii="Times New Roman" w:hAnsi="Times New Roman" w:cs="Times New Roman"/>
        </w:rPr>
        <w:t>(2), 185–208. https://doi.org/10.1080/1350176042000194395</w:t>
      </w:r>
    </w:p>
    <w:p w14:paraId="3E200552" w14:textId="77777777" w:rsidR="007E38AB" w:rsidRPr="00555117" w:rsidRDefault="00000000">
      <w:pPr>
        <w:pStyle w:val="Bibliography"/>
        <w:rPr>
          <w:rFonts w:ascii="Times New Roman" w:hAnsi="Times New Roman" w:cs="Times New Roman"/>
        </w:rPr>
      </w:pPr>
      <w:bookmarkStart w:id="82" w:name="ref-braunTakingGaltonProblem2006"/>
      <w:bookmarkEnd w:id="81"/>
      <w:r w:rsidRPr="00555117">
        <w:rPr>
          <w:rFonts w:ascii="Times New Roman" w:hAnsi="Times New Roman" w:cs="Times New Roman"/>
        </w:rPr>
        <w:t xml:space="preserve">Braun, D., &amp; Gilardi, F. (2006). Taking “Galton’s Problem” Seriously: Towards a Theory of Policy Diffusion. </w:t>
      </w:r>
      <w:r w:rsidRPr="00555117">
        <w:rPr>
          <w:rFonts w:ascii="Times New Roman" w:hAnsi="Times New Roman" w:cs="Times New Roman"/>
          <w:i/>
          <w:iCs/>
        </w:rPr>
        <w:t>Journal of Theoretical Politics</w:t>
      </w:r>
      <w:r w:rsidRPr="00555117">
        <w:rPr>
          <w:rFonts w:ascii="Times New Roman" w:hAnsi="Times New Roman" w:cs="Times New Roman"/>
        </w:rPr>
        <w:t xml:space="preserve">, </w:t>
      </w:r>
      <w:r w:rsidRPr="00555117">
        <w:rPr>
          <w:rFonts w:ascii="Times New Roman" w:hAnsi="Times New Roman" w:cs="Times New Roman"/>
          <w:i/>
          <w:iCs/>
        </w:rPr>
        <w:t>18</w:t>
      </w:r>
      <w:r w:rsidRPr="00555117">
        <w:rPr>
          <w:rFonts w:ascii="Times New Roman" w:hAnsi="Times New Roman" w:cs="Times New Roman"/>
        </w:rPr>
        <w:t>(3), 298–322. https://doi.org/10.1177/0951629806064351</w:t>
      </w:r>
    </w:p>
    <w:p w14:paraId="3E200553" w14:textId="77777777" w:rsidR="007E38AB" w:rsidRPr="00555117" w:rsidRDefault="00000000">
      <w:pPr>
        <w:pStyle w:val="Bibliography"/>
        <w:rPr>
          <w:rFonts w:ascii="Times New Roman" w:hAnsi="Times New Roman" w:cs="Times New Roman"/>
        </w:rPr>
      </w:pPr>
      <w:bookmarkStart w:id="83" w:name="ref-busettiPolicyLearningCrises2023"/>
      <w:bookmarkEnd w:id="82"/>
      <w:r w:rsidRPr="00555117">
        <w:rPr>
          <w:rFonts w:ascii="Times New Roman" w:hAnsi="Times New Roman" w:cs="Times New Roman"/>
        </w:rPr>
        <w:t xml:space="preserve">Busetti, S., &amp; Righettini, M. S. (2023). Policy Learning from Crises: Lessons Learned from the Italian Food Stamp Programme. </w:t>
      </w:r>
      <w:r w:rsidRPr="00555117">
        <w:rPr>
          <w:rFonts w:ascii="Times New Roman" w:hAnsi="Times New Roman" w:cs="Times New Roman"/>
          <w:i/>
          <w:iCs/>
        </w:rPr>
        <w:t>Policy &amp; Politics</w:t>
      </w:r>
      <w:r w:rsidRPr="00555117">
        <w:rPr>
          <w:rFonts w:ascii="Times New Roman" w:hAnsi="Times New Roman" w:cs="Times New Roman"/>
        </w:rPr>
        <w:t xml:space="preserve">, </w:t>
      </w:r>
      <w:r w:rsidRPr="00555117">
        <w:rPr>
          <w:rFonts w:ascii="Times New Roman" w:hAnsi="Times New Roman" w:cs="Times New Roman"/>
          <w:i/>
          <w:iCs/>
        </w:rPr>
        <w:t>51</w:t>
      </w:r>
      <w:r w:rsidRPr="00555117">
        <w:rPr>
          <w:rFonts w:ascii="Times New Roman" w:hAnsi="Times New Roman" w:cs="Times New Roman"/>
        </w:rPr>
        <w:t>(1), 91–112. https://doi.org/10.1332/030557321X16678318518550</w:t>
      </w:r>
    </w:p>
    <w:p w14:paraId="3E200554" w14:textId="77777777" w:rsidR="007E38AB" w:rsidRPr="00555117" w:rsidRDefault="00000000">
      <w:pPr>
        <w:pStyle w:val="Bibliography"/>
        <w:rPr>
          <w:rFonts w:ascii="Times New Roman" w:hAnsi="Times New Roman" w:cs="Times New Roman"/>
        </w:rPr>
      </w:pPr>
      <w:bookmarkStart w:id="84" w:name="ref-cairneyHowShouldWe2023"/>
      <w:bookmarkEnd w:id="83"/>
      <w:r w:rsidRPr="00555117">
        <w:rPr>
          <w:rFonts w:ascii="Times New Roman" w:hAnsi="Times New Roman" w:cs="Times New Roman"/>
        </w:rPr>
        <w:t xml:space="preserve">Cairney, P., &amp; Heikkila, T. (2023). How Should We Compare Theories of the Policy Process? In C. M. Weible (Ed.), </w:t>
      </w:r>
      <w:r w:rsidRPr="00555117">
        <w:rPr>
          <w:rFonts w:ascii="Times New Roman" w:hAnsi="Times New Roman" w:cs="Times New Roman"/>
          <w:i/>
          <w:iCs/>
        </w:rPr>
        <w:t>Theories Of The Policy Process</w:t>
      </w:r>
      <w:r w:rsidRPr="00555117">
        <w:rPr>
          <w:rFonts w:ascii="Times New Roman" w:hAnsi="Times New Roman" w:cs="Times New Roman"/>
        </w:rPr>
        <w:t xml:space="preserve"> (5th ed., pp. 291–321). Routledge.</w:t>
      </w:r>
    </w:p>
    <w:p w14:paraId="3E200555" w14:textId="77777777" w:rsidR="007E38AB" w:rsidRPr="00555117" w:rsidRDefault="00000000">
      <w:pPr>
        <w:pStyle w:val="Bibliography"/>
        <w:rPr>
          <w:rFonts w:ascii="Times New Roman" w:hAnsi="Times New Roman" w:cs="Times New Roman"/>
        </w:rPr>
      </w:pPr>
      <w:bookmarkStart w:id="85" w:name="Xb8455b4512107ce19f4c3f9f631b22667ff9eca"/>
      <w:bookmarkEnd w:id="84"/>
      <w:r w:rsidRPr="00555117">
        <w:rPr>
          <w:rFonts w:ascii="Times New Roman" w:hAnsi="Times New Roman" w:cs="Times New Roman"/>
        </w:rPr>
        <w:t xml:space="preserve">Candel, J. J. L., Princen, S., &amp; Biesbroek, R. (2023). Patterns of Coordination in the European Commission: An Analysis of Interservice Consultations Around Climate Change Adaptation Policy (2007–2018). </w:t>
      </w:r>
      <w:r w:rsidRPr="00555117">
        <w:rPr>
          <w:rFonts w:ascii="Times New Roman" w:hAnsi="Times New Roman" w:cs="Times New Roman"/>
          <w:i/>
          <w:iCs/>
        </w:rPr>
        <w:t>Journal of European Public Policy</w:t>
      </w:r>
      <w:r w:rsidRPr="00555117">
        <w:rPr>
          <w:rFonts w:ascii="Times New Roman" w:hAnsi="Times New Roman" w:cs="Times New Roman"/>
        </w:rPr>
        <w:t xml:space="preserve">, </w:t>
      </w:r>
      <w:r w:rsidRPr="00555117">
        <w:rPr>
          <w:rFonts w:ascii="Times New Roman" w:hAnsi="Times New Roman" w:cs="Times New Roman"/>
          <w:i/>
          <w:iCs/>
        </w:rPr>
        <w:t>30</w:t>
      </w:r>
      <w:r w:rsidRPr="00555117">
        <w:rPr>
          <w:rFonts w:ascii="Times New Roman" w:hAnsi="Times New Roman" w:cs="Times New Roman"/>
        </w:rPr>
        <w:t>(1), 104–127. https://doi.org/10.1080/13501763.2021.1983008</w:t>
      </w:r>
    </w:p>
    <w:p w14:paraId="3E200556" w14:textId="77777777" w:rsidR="007E38AB" w:rsidRPr="00555117" w:rsidRDefault="00000000">
      <w:pPr>
        <w:pStyle w:val="Bibliography"/>
        <w:rPr>
          <w:rFonts w:ascii="Times New Roman" w:hAnsi="Times New Roman" w:cs="Times New Roman"/>
        </w:rPr>
      </w:pPr>
      <w:bookmarkStart w:id="86" w:name="X1fd130aca396d82af7abedb67edb327ff6b3c73"/>
      <w:bookmarkEnd w:id="85"/>
      <w:r w:rsidRPr="00555117">
        <w:rPr>
          <w:rFonts w:ascii="Times New Roman" w:hAnsi="Times New Roman" w:cs="Times New Roman"/>
        </w:rPr>
        <w:t xml:space="preserve">Challies, E., Newig, J., Kochskämper, E., &amp; Jager, N. W. (2017). Governance Change and Governance Learning in Europe: Stakeholder Participation in Environmental Policy Implementation. </w:t>
      </w:r>
      <w:r w:rsidRPr="00555117">
        <w:rPr>
          <w:rFonts w:ascii="Times New Roman" w:hAnsi="Times New Roman" w:cs="Times New Roman"/>
          <w:i/>
          <w:iCs/>
        </w:rPr>
        <w:t>Policy and Society</w:t>
      </w:r>
      <w:r w:rsidRPr="00555117">
        <w:rPr>
          <w:rFonts w:ascii="Times New Roman" w:hAnsi="Times New Roman" w:cs="Times New Roman"/>
        </w:rPr>
        <w:t xml:space="preserve">, </w:t>
      </w:r>
      <w:r w:rsidRPr="00555117">
        <w:rPr>
          <w:rFonts w:ascii="Times New Roman" w:hAnsi="Times New Roman" w:cs="Times New Roman"/>
          <w:i/>
          <w:iCs/>
        </w:rPr>
        <w:t>36</w:t>
      </w:r>
      <w:r w:rsidRPr="00555117">
        <w:rPr>
          <w:rFonts w:ascii="Times New Roman" w:hAnsi="Times New Roman" w:cs="Times New Roman"/>
        </w:rPr>
        <w:t>(2), 288–303. https://doi.org/10.1080/14494035.2017.1320854</w:t>
      </w:r>
    </w:p>
    <w:p w14:paraId="3E200557" w14:textId="77777777" w:rsidR="007E38AB" w:rsidRPr="00555117" w:rsidRDefault="00000000">
      <w:pPr>
        <w:pStyle w:val="Bibliography"/>
        <w:rPr>
          <w:rFonts w:ascii="Times New Roman" w:hAnsi="Times New Roman" w:cs="Times New Roman"/>
        </w:rPr>
      </w:pPr>
      <w:bookmarkStart w:id="87" w:name="ref-coppockPersuasionParallelHow2023"/>
      <w:bookmarkEnd w:id="86"/>
      <w:r w:rsidRPr="00555117">
        <w:rPr>
          <w:rFonts w:ascii="Times New Roman" w:hAnsi="Times New Roman" w:cs="Times New Roman"/>
        </w:rPr>
        <w:t xml:space="preserve">Coppock, A. (2023). </w:t>
      </w:r>
      <w:r w:rsidRPr="00555117">
        <w:rPr>
          <w:rFonts w:ascii="Times New Roman" w:hAnsi="Times New Roman" w:cs="Times New Roman"/>
          <w:i/>
          <w:iCs/>
        </w:rPr>
        <w:t>Persuasion in Parallel: How Information Changes Minds about Politics</w:t>
      </w:r>
      <w:r w:rsidRPr="00555117">
        <w:rPr>
          <w:rFonts w:ascii="Times New Roman" w:hAnsi="Times New Roman" w:cs="Times New Roman"/>
        </w:rPr>
        <w:t>. University of Chicago Press.</w:t>
      </w:r>
    </w:p>
    <w:p w14:paraId="3E200558" w14:textId="77777777" w:rsidR="007E38AB" w:rsidRPr="00555117" w:rsidRDefault="00000000">
      <w:pPr>
        <w:pStyle w:val="Bibliography"/>
        <w:rPr>
          <w:rFonts w:ascii="Times New Roman" w:hAnsi="Times New Roman" w:cs="Times New Roman"/>
        </w:rPr>
      </w:pPr>
      <w:bookmarkStart w:id="88" w:name="X32695ec1b9c986b4f917f44f66449c129b5f007"/>
      <w:bookmarkEnd w:id="87"/>
      <w:r w:rsidRPr="00555117">
        <w:rPr>
          <w:rFonts w:ascii="Times New Roman" w:hAnsi="Times New Roman" w:cs="Times New Roman"/>
        </w:rPr>
        <w:t xml:space="preserve">Corbett, J., Grube, D. C., Lovell, H., &amp; Scott, R. (2018). Singular Memory or Institutional Memories? Toward a Dynamic Approach. </w:t>
      </w:r>
      <w:r w:rsidRPr="00555117">
        <w:rPr>
          <w:rFonts w:ascii="Times New Roman" w:hAnsi="Times New Roman" w:cs="Times New Roman"/>
          <w:i/>
          <w:iCs/>
        </w:rPr>
        <w:t>Governance</w:t>
      </w:r>
      <w:r w:rsidRPr="00555117">
        <w:rPr>
          <w:rFonts w:ascii="Times New Roman" w:hAnsi="Times New Roman" w:cs="Times New Roman"/>
        </w:rPr>
        <w:t xml:space="preserve">, </w:t>
      </w:r>
      <w:r w:rsidRPr="00555117">
        <w:rPr>
          <w:rFonts w:ascii="Times New Roman" w:hAnsi="Times New Roman" w:cs="Times New Roman"/>
          <w:i/>
          <w:iCs/>
        </w:rPr>
        <w:t>31</w:t>
      </w:r>
      <w:r w:rsidRPr="00555117">
        <w:rPr>
          <w:rFonts w:ascii="Times New Roman" w:hAnsi="Times New Roman" w:cs="Times New Roman"/>
        </w:rPr>
        <w:t>(3), 555–573. https://doi.org/10.1111/gove.12340</w:t>
      </w:r>
    </w:p>
    <w:p w14:paraId="3E200559" w14:textId="77777777" w:rsidR="007E38AB" w:rsidRPr="00555117" w:rsidRDefault="00000000">
      <w:pPr>
        <w:pStyle w:val="Bibliography"/>
        <w:rPr>
          <w:rFonts w:ascii="Times New Roman" w:hAnsi="Times New Roman" w:cs="Times New Roman"/>
        </w:rPr>
      </w:pPr>
      <w:bookmarkStart w:id="89" w:name="ref-crowPolicyLearningChange2023"/>
      <w:bookmarkEnd w:id="88"/>
      <w:r w:rsidRPr="00555117">
        <w:rPr>
          <w:rFonts w:ascii="Times New Roman" w:hAnsi="Times New Roman" w:cs="Times New Roman"/>
        </w:rPr>
        <w:t xml:space="preserve">Crow, D. A., DeLeo, R. A., Albright, E. A., Taylor, K., Birkland, T., Zhang, M., Koebele, E., Jeschke, N., Shanahan, E. A., &amp; Cage, C. (2023). Policy Learning and Change During Crisis: COVID-19 Policy Responses Across Six States. </w:t>
      </w:r>
      <w:r w:rsidRPr="00555117">
        <w:rPr>
          <w:rFonts w:ascii="Times New Roman" w:hAnsi="Times New Roman" w:cs="Times New Roman"/>
          <w:i/>
          <w:iCs/>
        </w:rPr>
        <w:t>Review of Policy Research</w:t>
      </w:r>
      <w:r w:rsidRPr="00555117">
        <w:rPr>
          <w:rFonts w:ascii="Times New Roman" w:hAnsi="Times New Roman" w:cs="Times New Roman"/>
        </w:rPr>
        <w:t xml:space="preserve">, </w:t>
      </w:r>
      <w:r w:rsidRPr="00555117">
        <w:rPr>
          <w:rFonts w:ascii="Times New Roman" w:hAnsi="Times New Roman" w:cs="Times New Roman"/>
          <w:i/>
          <w:iCs/>
        </w:rPr>
        <w:t>40</w:t>
      </w:r>
      <w:r w:rsidRPr="00555117">
        <w:rPr>
          <w:rFonts w:ascii="Times New Roman" w:hAnsi="Times New Roman" w:cs="Times New Roman"/>
        </w:rPr>
        <w:t>(1), 10–35. https://doi.org/10.1111/ropr.12511</w:t>
      </w:r>
    </w:p>
    <w:p w14:paraId="3E20055A" w14:textId="77777777" w:rsidR="007E38AB" w:rsidRPr="00555117" w:rsidRDefault="00000000">
      <w:pPr>
        <w:pStyle w:val="Bibliography"/>
        <w:rPr>
          <w:rFonts w:ascii="Times New Roman" w:hAnsi="Times New Roman" w:cs="Times New Roman"/>
        </w:rPr>
      </w:pPr>
      <w:bookmarkStart w:id="90" w:name="ref-dehouwerWhyCognitiveApproach2011"/>
      <w:bookmarkEnd w:id="89"/>
      <w:r w:rsidRPr="00555117">
        <w:rPr>
          <w:rFonts w:ascii="Times New Roman" w:hAnsi="Times New Roman" w:cs="Times New Roman"/>
        </w:rPr>
        <w:lastRenderedPageBreak/>
        <w:t xml:space="preserve">De Houwer, J. (2011). Why the Cognitive Approach in Psychology Would Profit From a Functional Approach and Vice Versa. </w:t>
      </w:r>
      <w:r w:rsidRPr="00555117">
        <w:rPr>
          <w:rFonts w:ascii="Times New Roman" w:hAnsi="Times New Roman" w:cs="Times New Roman"/>
          <w:i/>
          <w:iCs/>
        </w:rPr>
        <w:t>Perspectives on Psychological Science</w:t>
      </w:r>
      <w:r w:rsidRPr="00555117">
        <w:rPr>
          <w:rFonts w:ascii="Times New Roman" w:hAnsi="Times New Roman" w:cs="Times New Roman"/>
        </w:rPr>
        <w:t xml:space="preserve">, </w:t>
      </w:r>
      <w:r w:rsidRPr="00555117">
        <w:rPr>
          <w:rFonts w:ascii="Times New Roman" w:hAnsi="Times New Roman" w:cs="Times New Roman"/>
          <w:i/>
          <w:iCs/>
        </w:rPr>
        <w:t>6</w:t>
      </w:r>
      <w:r w:rsidRPr="00555117">
        <w:rPr>
          <w:rFonts w:ascii="Times New Roman" w:hAnsi="Times New Roman" w:cs="Times New Roman"/>
        </w:rPr>
        <w:t>(2), 202–209. https://doi.org/10.1177/1745691611400238</w:t>
      </w:r>
    </w:p>
    <w:p w14:paraId="3E20055B" w14:textId="77777777" w:rsidR="007E38AB" w:rsidRPr="00555117" w:rsidRDefault="00000000">
      <w:pPr>
        <w:pStyle w:val="Bibliography"/>
        <w:rPr>
          <w:rFonts w:ascii="Times New Roman" w:hAnsi="Times New Roman" w:cs="Times New Roman"/>
        </w:rPr>
      </w:pPr>
      <w:bookmarkStart w:id="91" w:name="ref-dehouwerWhatLearningNature2013"/>
      <w:bookmarkEnd w:id="90"/>
      <w:r w:rsidRPr="00555117">
        <w:rPr>
          <w:rFonts w:ascii="Times New Roman" w:hAnsi="Times New Roman" w:cs="Times New Roman"/>
        </w:rPr>
        <w:t xml:space="preserve">De Houwer, J., Barnes-Holmes, D., &amp; Moors, A. (2013). What Is Learning? On the Nature and Merits of a Functional Definition of Learning. </w:t>
      </w:r>
      <w:r w:rsidRPr="00555117">
        <w:rPr>
          <w:rFonts w:ascii="Times New Roman" w:hAnsi="Times New Roman" w:cs="Times New Roman"/>
          <w:i/>
          <w:iCs/>
        </w:rPr>
        <w:t>Psychonomic Bulletin &amp; Review</w:t>
      </w:r>
      <w:r w:rsidRPr="00555117">
        <w:rPr>
          <w:rFonts w:ascii="Times New Roman" w:hAnsi="Times New Roman" w:cs="Times New Roman"/>
        </w:rPr>
        <w:t xml:space="preserve">, </w:t>
      </w:r>
      <w:r w:rsidRPr="00555117">
        <w:rPr>
          <w:rFonts w:ascii="Times New Roman" w:hAnsi="Times New Roman" w:cs="Times New Roman"/>
          <w:i/>
          <w:iCs/>
        </w:rPr>
        <w:t>20</w:t>
      </w:r>
      <w:r w:rsidRPr="00555117">
        <w:rPr>
          <w:rFonts w:ascii="Times New Roman" w:hAnsi="Times New Roman" w:cs="Times New Roman"/>
        </w:rPr>
        <w:t>(4), 631–642. https://doi.org/10.3758/s13423-013-0386-3</w:t>
      </w:r>
    </w:p>
    <w:p w14:paraId="3E20055C" w14:textId="77777777" w:rsidR="007E38AB" w:rsidRPr="00555117" w:rsidRDefault="00000000">
      <w:pPr>
        <w:pStyle w:val="Bibliography"/>
        <w:rPr>
          <w:rFonts w:ascii="Times New Roman" w:hAnsi="Times New Roman" w:cs="Times New Roman"/>
        </w:rPr>
      </w:pPr>
      <w:bookmarkStart w:id="92" w:name="ref-deleoDisasterRefiningConcept2021"/>
      <w:bookmarkEnd w:id="91"/>
      <w:r w:rsidRPr="00555117">
        <w:rPr>
          <w:rFonts w:ascii="Times New Roman" w:hAnsi="Times New Roman" w:cs="Times New Roman"/>
        </w:rPr>
        <w:t xml:space="preserve">DeLeo, R. A., Taylor, K., Crow, D. A., &amp; Birkland, T. A. (2021). During Disaster: Refining the Concept of Focusing Events to Better Explain Long-Duration Crises. </w:t>
      </w:r>
      <w:r w:rsidRPr="00555117">
        <w:rPr>
          <w:rFonts w:ascii="Times New Roman" w:hAnsi="Times New Roman" w:cs="Times New Roman"/>
          <w:i/>
          <w:iCs/>
        </w:rPr>
        <w:t>International Review of Public Policy</w:t>
      </w:r>
      <w:r w:rsidRPr="00555117">
        <w:rPr>
          <w:rFonts w:ascii="Times New Roman" w:hAnsi="Times New Roman" w:cs="Times New Roman"/>
        </w:rPr>
        <w:t xml:space="preserve">, </w:t>
      </w:r>
      <w:r w:rsidRPr="00555117">
        <w:rPr>
          <w:rFonts w:ascii="Times New Roman" w:hAnsi="Times New Roman" w:cs="Times New Roman"/>
          <w:i/>
          <w:iCs/>
        </w:rPr>
        <w:t>3</w:t>
      </w:r>
      <w:r w:rsidRPr="00555117">
        <w:rPr>
          <w:rFonts w:ascii="Times New Roman" w:hAnsi="Times New Roman" w:cs="Times New Roman"/>
        </w:rPr>
        <w:t>(1). https://doi.org/10.4000/irpp.1868</w:t>
      </w:r>
    </w:p>
    <w:p w14:paraId="3E20055D" w14:textId="77777777" w:rsidR="007E38AB" w:rsidRPr="00555117" w:rsidRDefault="00000000">
      <w:pPr>
        <w:pStyle w:val="Bibliography"/>
        <w:rPr>
          <w:rFonts w:ascii="Times New Roman" w:hAnsi="Times New Roman" w:cs="Times New Roman"/>
        </w:rPr>
      </w:pPr>
      <w:bookmarkStart w:id="93" w:name="ref-deutschNervesGovernmentModels1963"/>
      <w:bookmarkEnd w:id="92"/>
      <w:r w:rsidRPr="00555117">
        <w:rPr>
          <w:rFonts w:ascii="Times New Roman" w:hAnsi="Times New Roman" w:cs="Times New Roman"/>
        </w:rPr>
        <w:t xml:space="preserve">Deutsch, K. W. (1963). </w:t>
      </w:r>
      <w:r w:rsidRPr="00555117">
        <w:rPr>
          <w:rFonts w:ascii="Times New Roman" w:hAnsi="Times New Roman" w:cs="Times New Roman"/>
          <w:i/>
          <w:iCs/>
        </w:rPr>
        <w:t>The Nerves of Government: Models of Political Communication and Control</w:t>
      </w:r>
      <w:r w:rsidRPr="00555117">
        <w:rPr>
          <w:rFonts w:ascii="Times New Roman" w:hAnsi="Times New Roman" w:cs="Times New Roman"/>
        </w:rPr>
        <w:t>. The Free Press of Glencoe.</w:t>
      </w:r>
    </w:p>
    <w:p w14:paraId="3E20055E" w14:textId="77777777" w:rsidR="007E38AB" w:rsidRPr="00555117" w:rsidRDefault="00000000">
      <w:pPr>
        <w:pStyle w:val="Bibliography"/>
        <w:rPr>
          <w:rFonts w:ascii="Times New Roman" w:hAnsi="Times New Roman" w:cs="Times New Roman"/>
        </w:rPr>
      </w:pPr>
      <w:bookmarkStart w:id="94" w:name="ref-deweyPublicItsProblems1946"/>
      <w:bookmarkEnd w:id="93"/>
      <w:r w:rsidRPr="00555117">
        <w:rPr>
          <w:rFonts w:ascii="Times New Roman" w:hAnsi="Times New Roman" w:cs="Times New Roman"/>
        </w:rPr>
        <w:t xml:space="preserve">Dewey, J. (1946). </w:t>
      </w:r>
      <w:r w:rsidRPr="00555117">
        <w:rPr>
          <w:rFonts w:ascii="Times New Roman" w:hAnsi="Times New Roman" w:cs="Times New Roman"/>
          <w:i/>
          <w:iCs/>
        </w:rPr>
        <w:t>The Public and Its Problems: An Essay in Political Inquiry</w:t>
      </w:r>
      <w:r w:rsidRPr="00555117">
        <w:rPr>
          <w:rFonts w:ascii="Times New Roman" w:hAnsi="Times New Roman" w:cs="Times New Roman"/>
        </w:rPr>
        <w:t>. Gateway Books.</w:t>
      </w:r>
    </w:p>
    <w:p w14:paraId="3E20055F" w14:textId="77777777" w:rsidR="007E38AB" w:rsidRPr="00555117" w:rsidRDefault="00000000">
      <w:pPr>
        <w:pStyle w:val="Bibliography"/>
        <w:rPr>
          <w:rFonts w:ascii="Times New Roman" w:hAnsi="Times New Roman" w:cs="Times New Roman"/>
        </w:rPr>
      </w:pPr>
      <w:bookmarkStart w:id="95" w:name="ref-dolowitzLearningAbroadRole2000"/>
      <w:bookmarkEnd w:id="94"/>
      <w:r w:rsidRPr="00555117">
        <w:rPr>
          <w:rFonts w:ascii="Times New Roman" w:hAnsi="Times New Roman" w:cs="Times New Roman"/>
        </w:rPr>
        <w:t xml:space="preserve">Dolowitz, D. P., &amp; Marsh, D. (2000). Learning from Abroad: The Role of Policy Transfer in Contemporary Policy-Making. </w:t>
      </w:r>
      <w:r w:rsidRPr="00555117">
        <w:rPr>
          <w:rFonts w:ascii="Times New Roman" w:hAnsi="Times New Roman" w:cs="Times New Roman"/>
          <w:i/>
          <w:iCs/>
        </w:rPr>
        <w:t>Governance</w:t>
      </w:r>
      <w:r w:rsidRPr="00555117">
        <w:rPr>
          <w:rFonts w:ascii="Times New Roman" w:hAnsi="Times New Roman" w:cs="Times New Roman"/>
        </w:rPr>
        <w:t xml:space="preserve">, </w:t>
      </w:r>
      <w:r w:rsidRPr="00555117">
        <w:rPr>
          <w:rFonts w:ascii="Times New Roman" w:hAnsi="Times New Roman" w:cs="Times New Roman"/>
          <w:i/>
          <w:iCs/>
        </w:rPr>
        <w:t>13</w:t>
      </w:r>
      <w:r w:rsidRPr="00555117">
        <w:rPr>
          <w:rFonts w:ascii="Times New Roman" w:hAnsi="Times New Roman" w:cs="Times New Roman"/>
        </w:rPr>
        <w:t>(1), 5–23. https://doi.org/10.1111/0952-1895.00121</w:t>
      </w:r>
    </w:p>
    <w:p w14:paraId="3E200560" w14:textId="77777777" w:rsidR="007E38AB" w:rsidRPr="00555117" w:rsidRDefault="00000000">
      <w:pPr>
        <w:pStyle w:val="Bibliography"/>
        <w:rPr>
          <w:rFonts w:ascii="Times New Roman" w:hAnsi="Times New Roman" w:cs="Times New Roman"/>
        </w:rPr>
      </w:pPr>
      <w:bookmarkStart w:id="96" w:name="ref-dolowitzWhoLearnsWhat1996"/>
      <w:bookmarkEnd w:id="95"/>
      <w:r w:rsidRPr="00555117">
        <w:rPr>
          <w:rFonts w:ascii="Times New Roman" w:hAnsi="Times New Roman" w:cs="Times New Roman"/>
        </w:rPr>
        <w:t xml:space="preserve">Dolowitz, D., &amp; Marsh, D. (1996). Who Learns What from Whom: A Review of the Policy Transfer Literature. </w:t>
      </w:r>
      <w:r w:rsidRPr="00555117">
        <w:rPr>
          <w:rFonts w:ascii="Times New Roman" w:hAnsi="Times New Roman" w:cs="Times New Roman"/>
          <w:i/>
          <w:iCs/>
        </w:rPr>
        <w:t>Political Studies</w:t>
      </w:r>
      <w:r w:rsidRPr="00555117">
        <w:rPr>
          <w:rFonts w:ascii="Times New Roman" w:hAnsi="Times New Roman" w:cs="Times New Roman"/>
        </w:rPr>
        <w:t xml:space="preserve">, </w:t>
      </w:r>
      <w:r w:rsidRPr="00555117">
        <w:rPr>
          <w:rFonts w:ascii="Times New Roman" w:hAnsi="Times New Roman" w:cs="Times New Roman"/>
          <w:i/>
          <w:iCs/>
        </w:rPr>
        <w:t>44</w:t>
      </w:r>
      <w:r w:rsidRPr="00555117">
        <w:rPr>
          <w:rFonts w:ascii="Times New Roman" w:hAnsi="Times New Roman" w:cs="Times New Roman"/>
        </w:rPr>
        <w:t>(2), 343–357. https://doi.org/10.1111/j.1467-9248.1996.tb00334.x</w:t>
      </w:r>
    </w:p>
    <w:p w14:paraId="3E200561" w14:textId="77777777" w:rsidR="007E38AB" w:rsidRPr="00555117" w:rsidRDefault="00000000">
      <w:pPr>
        <w:pStyle w:val="Bibliography"/>
        <w:rPr>
          <w:rFonts w:ascii="Times New Roman" w:hAnsi="Times New Roman" w:cs="Times New Roman"/>
        </w:rPr>
      </w:pPr>
      <w:bookmarkStart w:id="97" w:name="X1c152469eab8dc86eeea4ab94fdfc8ef1ce9dfe"/>
      <w:bookmarkEnd w:id="96"/>
      <w:r w:rsidRPr="00555117">
        <w:rPr>
          <w:rFonts w:ascii="Times New Roman" w:hAnsi="Times New Roman" w:cs="Times New Roman"/>
        </w:rPr>
        <w:t xml:space="preserve">Druckman, J. N., &amp; McGrath, M. C. (2019). The Evidence for Motivated Reasoning in Climate Change Preference Formation. </w:t>
      </w:r>
      <w:r w:rsidRPr="00555117">
        <w:rPr>
          <w:rFonts w:ascii="Times New Roman" w:hAnsi="Times New Roman" w:cs="Times New Roman"/>
          <w:i/>
          <w:iCs/>
        </w:rPr>
        <w:t>Nature Climate Change</w:t>
      </w:r>
      <w:r w:rsidRPr="00555117">
        <w:rPr>
          <w:rFonts w:ascii="Times New Roman" w:hAnsi="Times New Roman" w:cs="Times New Roman"/>
        </w:rPr>
        <w:t xml:space="preserve">, </w:t>
      </w:r>
      <w:r w:rsidRPr="00555117">
        <w:rPr>
          <w:rFonts w:ascii="Times New Roman" w:hAnsi="Times New Roman" w:cs="Times New Roman"/>
          <w:i/>
          <w:iCs/>
        </w:rPr>
        <w:t>9</w:t>
      </w:r>
      <w:r w:rsidRPr="00555117">
        <w:rPr>
          <w:rFonts w:ascii="Times New Roman" w:hAnsi="Times New Roman" w:cs="Times New Roman"/>
        </w:rPr>
        <w:t>(2), 111–119. https://doi.org/10.1038/s41558-018-0360-1</w:t>
      </w:r>
    </w:p>
    <w:p w14:paraId="3E200562" w14:textId="77777777" w:rsidR="007E38AB" w:rsidRPr="00555117" w:rsidRDefault="00000000">
      <w:pPr>
        <w:pStyle w:val="Bibliography"/>
        <w:rPr>
          <w:rFonts w:ascii="Times New Roman" w:hAnsi="Times New Roman" w:cs="Times New Roman"/>
        </w:rPr>
      </w:pPr>
      <w:bookmarkStart w:id="98" w:name="ref-dudleySymposiumTheoriesPolicy2000"/>
      <w:bookmarkEnd w:id="97"/>
      <w:r w:rsidRPr="00555117">
        <w:rPr>
          <w:rFonts w:ascii="Times New Roman" w:hAnsi="Times New Roman" w:cs="Times New Roman"/>
        </w:rPr>
        <w:t xml:space="preserve">Dudley, G., Parsons, W., Radaelli, C. M., &amp; Sabatier, P. (2000). Symposium: Theories of the Policy Process. </w:t>
      </w:r>
      <w:r w:rsidRPr="00555117">
        <w:rPr>
          <w:rFonts w:ascii="Times New Roman" w:hAnsi="Times New Roman" w:cs="Times New Roman"/>
          <w:i/>
          <w:iCs/>
        </w:rPr>
        <w:t>Journal of European Public Policy</w:t>
      </w:r>
      <w:r w:rsidRPr="00555117">
        <w:rPr>
          <w:rFonts w:ascii="Times New Roman" w:hAnsi="Times New Roman" w:cs="Times New Roman"/>
        </w:rPr>
        <w:t xml:space="preserve">, </w:t>
      </w:r>
      <w:r w:rsidRPr="00555117">
        <w:rPr>
          <w:rFonts w:ascii="Times New Roman" w:hAnsi="Times New Roman" w:cs="Times New Roman"/>
          <w:i/>
          <w:iCs/>
        </w:rPr>
        <w:t>7</w:t>
      </w:r>
      <w:r w:rsidRPr="00555117">
        <w:rPr>
          <w:rFonts w:ascii="Times New Roman" w:hAnsi="Times New Roman" w:cs="Times New Roman"/>
        </w:rPr>
        <w:t>(1), 122–140. https://doi.org/10.1080/135017600343304</w:t>
      </w:r>
    </w:p>
    <w:p w14:paraId="3E200563" w14:textId="77777777" w:rsidR="007E38AB" w:rsidRPr="00555117" w:rsidRDefault="00000000">
      <w:pPr>
        <w:pStyle w:val="Bibliography"/>
        <w:rPr>
          <w:rFonts w:ascii="Times New Roman" w:hAnsi="Times New Roman" w:cs="Times New Roman"/>
        </w:rPr>
      </w:pPr>
      <w:bookmarkStart w:id="99" w:name="ref-dunlopIronyEpistemicLearning2017"/>
      <w:bookmarkEnd w:id="98"/>
      <w:r w:rsidRPr="00555117">
        <w:rPr>
          <w:rFonts w:ascii="Times New Roman" w:hAnsi="Times New Roman" w:cs="Times New Roman"/>
        </w:rPr>
        <w:t xml:space="preserve">Dunlop, C. A. (2017). The Irony of Epistemic Learning: Epistemic Communities, Policy Learning and the Case of Europe’s Hormones Saga. </w:t>
      </w:r>
      <w:r w:rsidRPr="00555117">
        <w:rPr>
          <w:rFonts w:ascii="Times New Roman" w:hAnsi="Times New Roman" w:cs="Times New Roman"/>
          <w:i/>
          <w:iCs/>
        </w:rPr>
        <w:t>Policy and Society</w:t>
      </w:r>
      <w:r w:rsidRPr="00555117">
        <w:rPr>
          <w:rFonts w:ascii="Times New Roman" w:hAnsi="Times New Roman" w:cs="Times New Roman"/>
        </w:rPr>
        <w:t xml:space="preserve">, </w:t>
      </w:r>
      <w:r w:rsidRPr="00555117">
        <w:rPr>
          <w:rFonts w:ascii="Times New Roman" w:hAnsi="Times New Roman" w:cs="Times New Roman"/>
          <w:i/>
          <w:iCs/>
        </w:rPr>
        <w:t>36</w:t>
      </w:r>
      <w:r w:rsidRPr="00555117">
        <w:rPr>
          <w:rFonts w:ascii="Times New Roman" w:hAnsi="Times New Roman" w:cs="Times New Roman"/>
        </w:rPr>
        <w:t>(2), 215–232. https://doi.org/10.1080/14494035.2017.1322260</w:t>
      </w:r>
    </w:p>
    <w:p w14:paraId="3E200564" w14:textId="77777777" w:rsidR="007E38AB" w:rsidRPr="00555117" w:rsidRDefault="00000000">
      <w:pPr>
        <w:pStyle w:val="Bibliography"/>
        <w:rPr>
          <w:rFonts w:ascii="Times New Roman" w:hAnsi="Times New Roman" w:cs="Times New Roman"/>
        </w:rPr>
      </w:pPr>
      <w:bookmarkStart w:id="100" w:name="ref-dunlopCantGetNo2020"/>
      <w:bookmarkEnd w:id="99"/>
      <w:r w:rsidRPr="00555117">
        <w:rPr>
          <w:rFonts w:ascii="Times New Roman" w:hAnsi="Times New Roman" w:cs="Times New Roman"/>
        </w:rPr>
        <w:t xml:space="preserve">Dunlop, C. A., James, S., &amp; Radaelli, C. M. (2020). Can’t Get No Learning: The Brexit Fiasco Through the Lens of Policy Learning. </w:t>
      </w:r>
      <w:r w:rsidRPr="00555117">
        <w:rPr>
          <w:rFonts w:ascii="Times New Roman" w:hAnsi="Times New Roman" w:cs="Times New Roman"/>
          <w:i/>
          <w:iCs/>
        </w:rPr>
        <w:t>Journal of European Public Policy</w:t>
      </w:r>
      <w:r w:rsidRPr="00555117">
        <w:rPr>
          <w:rFonts w:ascii="Times New Roman" w:hAnsi="Times New Roman" w:cs="Times New Roman"/>
        </w:rPr>
        <w:t xml:space="preserve">, </w:t>
      </w:r>
      <w:r w:rsidRPr="00555117">
        <w:rPr>
          <w:rFonts w:ascii="Times New Roman" w:hAnsi="Times New Roman" w:cs="Times New Roman"/>
          <w:i/>
          <w:iCs/>
        </w:rPr>
        <w:t>27</w:t>
      </w:r>
      <w:r w:rsidRPr="00555117">
        <w:rPr>
          <w:rFonts w:ascii="Times New Roman" w:hAnsi="Times New Roman" w:cs="Times New Roman"/>
        </w:rPr>
        <w:t>(5), 703–722. https://doi.org/10.1080/13501763.2019.1667415</w:t>
      </w:r>
    </w:p>
    <w:p w14:paraId="3E200565" w14:textId="77777777" w:rsidR="007E38AB" w:rsidRPr="00555117" w:rsidRDefault="00000000">
      <w:pPr>
        <w:pStyle w:val="Bibliography"/>
        <w:rPr>
          <w:rFonts w:ascii="Times New Roman" w:hAnsi="Times New Roman" w:cs="Times New Roman"/>
        </w:rPr>
      </w:pPr>
      <w:bookmarkStart w:id="101" w:name="X54a98f9f3f8491a798815800d002ee287936490"/>
      <w:bookmarkEnd w:id="100"/>
      <w:r w:rsidRPr="00555117">
        <w:rPr>
          <w:rFonts w:ascii="Times New Roman" w:hAnsi="Times New Roman" w:cs="Times New Roman"/>
        </w:rPr>
        <w:t xml:space="preserve">Dunlop, C. A., &amp; Radaelli, C. M. (2013). Systematising Policy Learning: From Monolith to Dimensions. </w:t>
      </w:r>
      <w:r w:rsidRPr="00555117">
        <w:rPr>
          <w:rFonts w:ascii="Times New Roman" w:hAnsi="Times New Roman" w:cs="Times New Roman"/>
          <w:i/>
          <w:iCs/>
        </w:rPr>
        <w:t>Political Studies</w:t>
      </w:r>
      <w:r w:rsidRPr="00555117">
        <w:rPr>
          <w:rFonts w:ascii="Times New Roman" w:hAnsi="Times New Roman" w:cs="Times New Roman"/>
        </w:rPr>
        <w:t xml:space="preserve">, </w:t>
      </w:r>
      <w:r w:rsidRPr="00555117">
        <w:rPr>
          <w:rFonts w:ascii="Times New Roman" w:hAnsi="Times New Roman" w:cs="Times New Roman"/>
          <w:i/>
          <w:iCs/>
        </w:rPr>
        <w:t>61</w:t>
      </w:r>
      <w:r w:rsidRPr="00555117">
        <w:rPr>
          <w:rFonts w:ascii="Times New Roman" w:hAnsi="Times New Roman" w:cs="Times New Roman"/>
        </w:rPr>
        <w:t>(3), 599–619. https://doi.org/10.1111/j.1467-9248.2012.00982.x</w:t>
      </w:r>
    </w:p>
    <w:p w14:paraId="3E200566" w14:textId="77777777" w:rsidR="007E38AB" w:rsidRPr="00555117" w:rsidRDefault="00000000">
      <w:pPr>
        <w:pStyle w:val="Bibliography"/>
        <w:rPr>
          <w:rFonts w:ascii="Times New Roman" w:hAnsi="Times New Roman" w:cs="Times New Roman"/>
        </w:rPr>
      </w:pPr>
      <w:bookmarkStart w:id="102" w:name="ref-dunlopPolicyLearningEurozone2016"/>
      <w:bookmarkEnd w:id="101"/>
      <w:r w:rsidRPr="00555117">
        <w:rPr>
          <w:rFonts w:ascii="Times New Roman" w:hAnsi="Times New Roman" w:cs="Times New Roman"/>
        </w:rPr>
        <w:t xml:space="preserve">Dunlop, C. A., &amp; Radaelli, C. M. (2016). Policy Learning in the Eurozone Crisis: Modes, Power and Functionality. </w:t>
      </w:r>
      <w:r w:rsidRPr="00555117">
        <w:rPr>
          <w:rFonts w:ascii="Times New Roman" w:hAnsi="Times New Roman" w:cs="Times New Roman"/>
          <w:i/>
          <w:iCs/>
        </w:rPr>
        <w:t>Policy Sciences</w:t>
      </w:r>
      <w:r w:rsidRPr="00555117">
        <w:rPr>
          <w:rFonts w:ascii="Times New Roman" w:hAnsi="Times New Roman" w:cs="Times New Roman"/>
        </w:rPr>
        <w:t xml:space="preserve">, </w:t>
      </w:r>
      <w:r w:rsidRPr="00555117">
        <w:rPr>
          <w:rFonts w:ascii="Times New Roman" w:hAnsi="Times New Roman" w:cs="Times New Roman"/>
          <w:i/>
          <w:iCs/>
        </w:rPr>
        <w:t>49</w:t>
      </w:r>
      <w:r w:rsidRPr="00555117">
        <w:rPr>
          <w:rFonts w:ascii="Times New Roman" w:hAnsi="Times New Roman" w:cs="Times New Roman"/>
        </w:rPr>
        <w:t>(2), 107–124. https://doi.org/10.1007/s11077-015-9236-7</w:t>
      </w:r>
    </w:p>
    <w:p w14:paraId="3E200567" w14:textId="77777777" w:rsidR="007E38AB" w:rsidRPr="00555117" w:rsidRDefault="00000000">
      <w:pPr>
        <w:pStyle w:val="Bibliography"/>
        <w:rPr>
          <w:rFonts w:ascii="Times New Roman" w:hAnsi="Times New Roman" w:cs="Times New Roman"/>
        </w:rPr>
      </w:pPr>
      <w:bookmarkStart w:id="103" w:name="ref-dunlopLearningBathTubMicro2017"/>
      <w:bookmarkEnd w:id="102"/>
      <w:r w:rsidRPr="00555117">
        <w:rPr>
          <w:rFonts w:ascii="Times New Roman" w:hAnsi="Times New Roman" w:cs="Times New Roman"/>
        </w:rPr>
        <w:t xml:space="preserve">Dunlop, C. A., &amp; Radaelli, C. M. (2017). Learning in the Bath-Tub: The Micro and Macro Dimensions of the Causal Relationship Between Learning and Policy Change. </w:t>
      </w:r>
      <w:r w:rsidRPr="00555117">
        <w:rPr>
          <w:rFonts w:ascii="Times New Roman" w:hAnsi="Times New Roman" w:cs="Times New Roman"/>
          <w:i/>
          <w:iCs/>
        </w:rPr>
        <w:t>Policy and Society</w:t>
      </w:r>
      <w:r w:rsidRPr="00555117">
        <w:rPr>
          <w:rFonts w:ascii="Times New Roman" w:hAnsi="Times New Roman" w:cs="Times New Roman"/>
        </w:rPr>
        <w:t xml:space="preserve">, </w:t>
      </w:r>
      <w:r w:rsidRPr="00555117">
        <w:rPr>
          <w:rFonts w:ascii="Times New Roman" w:hAnsi="Times New Roman" w:cs="Times New Roman"/>
          <w:i/>
          <w:iCs/>
        </w:rPr>
        <w:t>36</w:t>
      </w:r>
      <w:r w:rsidRPr="00555117">
        <w:rPr>
          <w:rFonts w:ascii="Times New Roman" w:hAnsi="Times New Roman" w:cs="Times New Roman"/>
        </w:rPr>
        <w:t>(2), 304–319. https://doi.org/10.1080/14494035.2017.1321232</w:t>
      </w:r>
    </w:p>
    <w:p w14:paraId="3E200568" w14:textId="77777777" w:rsidR="007E38AB" w:rsidRPr="00555117" w:rsidRDefault="00000000">
      <w:pPr>
        <w:pStyle w:val="Bibliography"/>
        <w:rPr>
          <w:rFonts w:ascii="Times New Roman" w:hAnsi="Times New Roman" w:cs="Times New Roman"/>
        </w:rPr>
      </w:pPr>
      <w:bookmarkStart w:id="104" w:name="ref-dunlopLessonsPolicyLearning2018"/>
      <w:bookmarkEnd w:id="103"/>
      <w:r w:rsidRPr="00555117">
        <w:rPr>
          <w:rFonts w:ascii="Times New Roman" w:hAnsi="Times New Roman" w:cs="Times New Roman"/>
        </w:rPr>
        <w:t xml:space="preserve">Dunlop, C. A., &amp; Radaelli, C. M. (2018). The Lessons of Policy Learning: Types, Triggers, Hindrances and Pathologies. </w:t>
      </w:r>
      <w:r w:rsidRPr="00555117">
        <w:rPr>
          <w:rFonts w:ascii="Times New Roman" w:hAnsi="Times New Roman" w:cs="Times New Roman"/>
          <w:i/>
          <w:iCs/>
        </w:rPr>
        <w:t>Policy &amp; Politics</w:t>
      </w:r>
      <w:r w:rsidRPr="00555117">
        <w:rPr>
          <w:rFonts w:ascii="Times New Roman" w:hAnsi="Times New Roman" w:cs="Times New Roman"/>
        </w:rPr>
        <w:t xml:space="preserve">, </w:t>
      </w:r>
      <w:r w:rsidRPr="00555117">
        <w:rPr>
          <w:rFonts w:ascii="Times New Roman" w:hAnsi="Times New Roman" w:cs="Times New Roman"/>
          <w:i/>
          <w:iCs/>
        </w:rPr>
        <w:t>46</w:t>
      </w:r>
      <w:r w:rsidRPr="00555117">
        <w:rPr>
          <w:rFonts w:ascii="Times New Roman" w:hAnsi="Times New Roman" w:cs="Times New Roman"/>
        </w:rPr>
        <w:t>(2), 255–272. https://doi.org/10.1332/030557318X15230059735521</w:t>
      </w:r>
    </w:p>
    <w:p w14:paraId="3E200569" w14:textId="77777777" w:rsidR="007E38AB" w:rsidRPr="00555117" w:rsidRDefault="00000000">
      <w:pPr>
        <w:pStyle w:val="Bibliography"/>
        <w:rPr>
          <w:rFonts w:ascii="Times New Roman" w:hAnsi="Times New Roman" w:cs="Times New Roman"/>
        </w:rPr>
      </w:pPr>
      <w:bookmarkStart w:id="105" w:name="ref-dunlopLearningPublicPolicy2018"/>
      <w:bookmarkEnd w:id="104"/>
      <w:r w:rsidRPr="00555117">
        <w:rPr>
          <w:rFonts w:ascii="Times New Roman" w:hAnsi="Times New Roman" w:cs="Times New Roman"/>
        </w:rPr>
        <w:lastRenderedPageBreak/>
        <w:t xml:space="preserve">Dunlop, C. A., Radaelli, C. M., &amp; Trein, P. (Eds.). (2018). </w:t>
      </w:r>
      <w:r w:rsidRPr="00555117">
        <w:rPr>
          <w:rFonts w:ascii="Times New Roman" w:hAnsi="Times New Roman" w:cs="Times New Roman"/>
          <w:i/>
          <w:iCs/>
        </w:rPr>
        <w:t>Learning in Public Policy: Analysis, Modes and Outcomes</w:t>
      </w:r>
      <w:r w:rsidRPr="00555117">
        <w:rPr>
          <w:rFonts w:ascii="Times New Roman" w:hAnsi="Times New Roman" w:cs="Times New Roman"/>
        </w:rPr>
        <w:t>. Palgrave Macmillan.</w:t>
      </w:r>
    </w:p>
    <w:p w14:paraId="3E20056A" w14:textId="77777777" w:rsidR="007E38AB" w:rsidRPr="00555117" w:rsidRDefault="00000000">
      <w:pPr>
        <w:pStyle w:val="Bibliography"/>
        <w:rPr>
          <w:rFonts w:ascii="Times New Roman" w:hAnsi="Times New Roman" w:cs="Times New Roman"/>
        </w:rPr>
      </w:pPr>
      <w:bookmarkStart w:id="106" w:name="ref-eppStructurePolicyChange2018"/>
      <w:bookmarkEnd w:id="105"/>
      <w:r w:rsidRPr="00555117">
        <w:rPr>
          <w:rFonts w:ascii="Times New Roman" w:hAnsi="Times New Roman" w:cs="Times New Roman"/>
        </w:rPr>
        <w:t xml:space="preserve">Epp, D. A. (2018). </w:t>
      </w:r>
      <w:r w:rsidRPr="00555117">
        <w:rPr>
          <w:rFonts w:ascii="Times New Roman" w:hAnsi="Times New Roman" w:cs="Times New Roman"/>
          <w:i/>
          <w:iCs/>
        </w:rPr>
        <w:t>The Structure of Policy Change</w:t>
      </w:r>
      <w:r w:rsidRPr="00555117">
        <w:rPr>
          <w:rFonts w:ascii="Times New Roman" w:hAnsi="Times New Roman" w:cs="Times New Roman"/>
        </w:rPr>
        <w:t>. University Of Chicago Press.</w:t>
      </w:r>
    </w:p>
    <w:p w14:paraId="3E20056B" w14:textId="77777777" w:rsidR="007E38AB" w:rsidRPr="00555117" w:rsidRDefault="00000000">
      <w:pPr>
        <w:pStyle w:val="Bibliography"/>
        <w:rPr>
          <w:rFonts w:ascii="Times New Roman" w:hAnsi="Times New Roman" w:cs="Times New Roman"/>
        </w:rPr>
      </w:pPr>
      <w:bookmarkStart w:id="107" w:name="ref-etteltPolicyLearningAbroad2012"/>
      <w:bookmarkEnd w:id="106"/>
      <w:r w:rsidRPr="00555117">
        <w:rPr>
          <w:rFonts w:ascii="Times New Roman" w:hAnsi="Times New Roman" w:cs="Times New Roman"/>
        </w:rPr>
        <w:t xml:space="preserve">Ettelt, S., Mays, N., &amp; Nolte, E. (2012). Policy Learning from Abroad: Why It Is More Difficult Than It Seems. </w:t>
      </w:r>
      <w:r w:rsidRPr="00555117">
        <w:rPr>
          <w:rFonts w:ascii="Times New Roman" w:hAnsi="Times New Roman" w:cs="Times New Roman"/>
          <w:i/>
          <w:iCs/>
        </w:rPr>
        <w:t>Policy &amp; Politics</w:t>
      </w:r>
      <w:r w:rsidRPr="00555117">
        <w:rPr>
          <w:rFonts w:ascii="Times New Roman" w:hAnsi="Times New Roman" w:cs="Times New Roman"/>
        </w:rPr>
        <w:t xml:space="preserve">, </w:t>
      </w:r>
      <w:r w:rsidRPr="00555117">
        <w:rPr>
          <w:rFonts w:ascii="Times New Roman" w:hAnsi="Times New Roman" w:cs="Times New Roman"/>
          <w:i/>
          <w:iCs/>
        </w:rPr>
        <w:t>40</w:t>
      </w:r>
      <w:r w:rsidRPr="00555117">
        <w:rPr>
          <w:rFonts w:ascii="Times New Roman" w:hAnsi="Times New Roman" w:cs="Times New Roman"/>
        </w:rPr>
        <w:t>(4), 491–504. https://doi.org/10.1332/030557312X643786</w:t>
      </w:r>
    </w:p>
    <w:p w14:paraId="3E20056C" w14:textId="77777777" w:rsidR="007E38AB" w:rsidRPr="00555117" w:rsidRDefault="00000000">
      <w:pPr>
        <w:pStyle w:val="Bibliography"/>
        <w:rPr>
          <w:rFonts w:ascii="Times New Roman" w:hAnsi="Times New Roman" w:cs="Times New Roman"/>
        </w:rPr>
      </w:pPr>
      <w:bookmarkStart w:id="108" w:name="X1e7665bdef31d0deabe0959de61eecd2aa550ae"/>
      <w:bookmarkEnd w:id="107"/>
      <w:r w:rsidRPr="00555117">
        <w:rPr>
          <w:rFonts w:ascii="Times New Roman" w:hAnsi="Times New Roman" w:cs="Times New Roman"/>
        </w:rPr>
        <w:t xml:space="preserve">Fishbein, M., &amp; Ajzen, I. (2011). </w:t>
      </w:r>
      <w:r w:rsidRPr="00555117">
        <w:rPr>
          <w:rFonts w:ascii="Times New Roman" w:hAnsi="Times New Roman" w:cs="Times New Roman"/>
          <w:i/>
          <w:iCs/>
        </w:rPr>
        <w:t>Predicting and Changing Behavior: The Reasoned Action Approach</w:t>
      </w:r>
      <w:r w:rsidRPr="00555117">
        <w:rPr>
          <w:rFonts w:ascii="Times New Roman" w:hAnsi="Times New Roman" w:cs="Times New Roman"/>
        </w:rPr>
        <w:t>. Psychology Press. https://doi.org/10.4324/9780203838020</w:t>
      </w:r>
    </w:p>
    <w:p w14:paraId="3E20056D" w14:textId="77777777" w:rsidR="007E38AB" w:rsidRPr="00555117" w:rsidRDefault="00000000">
      <w:pPr>
        <w:pStyle w:val="Bibliography"/>
        <w:rPr>
          <w:rFonts w:ascii="Times New Roman" w:hAnsi="Times New Roman" w:cs="Times New Roman"/>
        </w:rPr>
      </w:pPr>
      <w:bookmarkStart w:id="109" w:name="ref-frekingTrumpSuggestsUS2020"/>
      <w:bookmarkEnd w:id="108"/>
      <w:r w:rsidRPr="00555117">
        <w:rPr>
          <w:rFonts w:ascii="Times New Roman" w:hAnsi="Times New Roman" w:cs="Times New Roman"/>
        </w:rPr>
        <w:t xml:space="preserve">Freking, K. (2020). Trump Suggests US Slow Virus Testing to Avoid Bad Statistics. In </w:t>
      </w:r>
      <w:r w:rsidRPr="00555117">
        <w:rPr>
          <w:rFonts w:ascii="Times New Roman" w:hAnsi="Times New Roman" w:cs="Times New Roman"/>
          <w:i/>
          <w:iCs/>
        </w:rPr>
        <w:t>AP News</w:t>
      </w:r>
      <w:r w:rsidRPr="00555117">
        <w:rPr>
          <w:rFonts w:ascii="Times New Roman" w:hAnsi="Times New Roman" w:cs="Times New Roman"/>
        </w:rPr>
        <w:t>. https://apnews.com/article/virus-outbreak-donald-trump-ap-top-news-joe-biden-tulsa-476068bd60e9048303b736e9d7fc6572.</w:t>
      </w:r>
    </w:p>
    <w:p w14:paraId="3E20056E" w14:textId="77777777" w:rsidR="007E38AB" w:rsidRPr="00555117" w:rsidRDefault="00000000">
      <w:pPr>
        <w:pStyle w:val="Bibliography"/>
        <w:rPr>
          <w:rFonts w:ascii="Times New Roman" w:hAnsi="Times New Roman" w:cs="Times New Roman"/>
        </w:rPr>
      </w:pPr>
      <w:bookmarkStart w:id="110" w:name="ref-gerlakBuildingTheoryLearning2011"/>
      <w:bookmarkEnd w:id="109"/>
      <w:r w:rsidRPr="00555117">
        <w:rPr>
          <w:rFonts w:ascii="Times New Roman" w:hAnsi="Times New Roman" w:cs="Times New Roman"/>
        </w:rPr>
        <w:t xml:space="preserve">Gerlak, A. K., &amp; Heikkila, T. (2011). Building a Theory of Learning in Collaboratives: Evidence from the Everglades Restoration Program. </w:t>
      </w:r>
      <w:r w:rsidRPr="00555117">
        <w:rPr>
          <w:rFonts w:ascii="Times New Roman" w:hAnsi="Times New Roman" w:cs="Times New Roman"/>
          <w:i/>
          <w:iCs/>
        </w:rPr>
        <w:t>Journal of Public Administration Research and Theory</w:t>
      </w:r>
      <w:r w:rsidRPr="00555117">
        <w:rPr>
          <w:rFonts w:ascii="Times New Roman" w:hAnsi="Times New Roman" w:cs="Times New Roman"/>
        </w:rPr>
        <w:t xml:space="preserve">, </w:t>
      </w:r>
      <w:r w:rsidRPr="00555117">
        <w:rPr>
          <w:rFonts w:ascii="Times New Roman" w:hAnsi="Times New Roman" w:cs="Times New Roman"/>
          <w:i/>
          <w:iCs/>
        </w:rPr>
        <w:t>21</w:t>
      </w:r>
      <w:r w:rsidRPr="00555117">
        <w:rPr>
          <w:rFonts w:ascii="Times New Roman" w:hAnsi="Times New Roman" w:cs="Times New Roman"/>
        </w:rPr>
        <w:t>(4), 619–644. https://doi.org/10.1093/jopart/muq089</w:t>
      </w:r>
    </w:p>
    <w:p w14:paraId="3E20056F" w14:textId="77777777" w:rsidR="007E38AB" w:rsidRPr="00555117" w:rsidRDefault="00000000">
      <w:pPr>
        <w:pStyle w:val="Bibliography"/>
        <w:rPr>
          <w:rFonts w:ascii="Times New Roman" w:hAnsi="Times New Roman" w:cs="Times New Roman"/>
        </w:rPr>
      </w:pPr>
      <w:bookmarkStart w:id="111" w:name="Xd8a3b21d28c62c49c80780e33ee637cb6b4e478"/>
      <w:bookmarkEnd w:id="110"/>
      <w:r w:rsidRPr="00555117">
        <w:rPr>
          <w:rFonts w:ascii="Times New Roman" w:hAnsi="Times New Roman" w:cs="Times New Roman"/>
        </w:rPr>
        <w:t xml:space="preserve">Gerlak, A. K., &amp; Heikkila, T. (2024). </w:t>
      </w:r>
      <w:r w:rsidRPr="00555117">
        <w:rPr>
          <w:rFonts w:ascii="Times New Roman" w:hAnsi="Times New Roman" w:cs="Times New Roman"/>
          <w:i/>
          <w:iCs/>
        </w:rPr>
        <w:t>Learning for Environmental Governance: Insights for a More Adaptive Future</w:t>
      </w:r>
      <w:r w:rsidRPr="00555117">
        <w:rPr>
          <w:rFonts w:ascii="Times New Roman" w:hAnsi="Times New Roman" w:cs="Times New Roman"/>
        </w:rPr>
        <w:t>. Cambridge University Press.</w:t>
      </w:r>
    </w:p>
    <w:p w14:paraId="3E200570" w14:textId="77777777" w:rsidR="007E38AB" w:rsidRPr="00555117" w:rsidRDefault="00000000">
      <w:pPr>
        <w:pStyle w:val="Bibliography"/>
        <w:rPr>
          <w:rFonts w:ascii="Times New Roman" w:hAnsi="Times New Roman" w:cs="Times New Roman"/>
        </w:rPr>
      </w:pPr>
      <w:bookmarkStart w:id="112" w:name="ref-gerlakLearningOurWay2018"/>
      <w:bookmarkEnd w:id="111"/>
      <w:r w:rsidRPr="00555117">
        <w:rPr>
          <w:rFonts w:ascii="Times New Roman" w:hAnsi="Times New Roman" w:cs="Times New Roman"/>
        </w:rPr>
        <w:t xml:space="preserve">Gerlak, A. K., Heikkila, T., Smolinski, S. L., Huitema, D., &amp; Armitage, D. (2018). Learning Our Way Out of Environmental Policy Problems: A Review of the Scholarship. </w:t>
      </w:r>
      <w:r w:rsidRPr="00555117">
        <w:rPr>
          <w:rFonts w:ascii="Times New Roman" w:hAnsi="Times New Roman" w:cs="Times New Roman"/>
          <w:i/>
          <w:iCs/>
        </w:rPr>
        <w:t>Policy Sciences</w:t>
      </w:r>
      <w:r w:rsidRPr="00555117">
        <w:rPr>
          <w:rFonts w:ascii="Times New Roman" w:hAnsi="Times New Roman" w:cs="Times New Roman"/>
        </w:rPr>
        <w:t xml:space="preserve">, </w:t>
      </w:r>
      <w:r w:rsidRPr="00555117">
        <w:rPr>
          <w:rFonts w:ascii="Times New Roman" w:hAnsi="Times New Roman" w:cs="Times New Roman"/>
          <w:i/>
          <w:iCs/>
        </w:rPr>
        <w:t>51</w:t>
      </w:r>
      <w:r w:rsidRPr="00555117">
        <w:rPr>
          <w:rFonts w:ascii="Times New Roman" w:hAnsi="Times New Roman" w:cs="Times New Roman"/>
        </w:rPr>
        <w:t>(3), 335–371. https://doi.org/10.1007/s11077-017-9278-0</w:t>
      </w:r>
    </w:p>
    <w:p w14:paraId="3E200571" w14:textId="77777777" w:rsidR="007E38AB" w:rsidRPr="00555117" w:rsidRDefault="00000000">
      <w:pPr>
        <w:pStyle w:val="Bibliography"/>
        <w:rPr>
          <w:rFonts w:ascii="Times New Roman" w:hAnsi="Times New Roman" w:cs="Times New Roman"/>
        </w:rPr>
      </w:pPr>
      <w:bookmarkStart w:id="113" w:name="ref-giestOvercomingFailureSilicon2017"/>
      <w:bookmarkEnd w:id="112"/>
      <w:r w:rsidRPr="00555117">
        <w:rPr>
          <w:rFonts w:ascii="Times New Roman" w:hAnsi="Times New Roman" w:cs="Times New Roman"/>
        </w:rPr>
        <w:t xml:space="preserve">Giest, S. (2017). Overcoming the Failure of “Silicon Somewheres”: Learning in Policy Transfer Processes. </w:t>
      </w:r>
      <w:r w:rsidRPr="00555117">
        <w:rPr>
          <w:rFonts w:ascii="Times New Roman" w:hAnsi="Times New Roman" w:cs="Times New Roman"/>
          <w:i/>
          <w:iCs/>
        </w:rPr>
        <w:t>Policy &amp; Politics</w:t>
      </w:r>
      <w:r w:rsidRPr="00555117">
        <w:rPr>
          <w:rFonts w:ascii="Times New Roman" w:hAnsi="Times New Roman" w:cs="Times New Roman"/>
        </w:rPr>
        <w:t xml:space="preserve">, </w:t>
      </w:r>
      <w:r w:rsidRPr="00555117">
        <w:rPr>
          <w:rFonts w:ascii="Times New Roman" w:hAnsi="Times New Roman" w:cs="Times New Roman"/>
          <w:i/>
          <w:iCs/>
        </w:rPr>
        <w:t>45</w:t>
      </w:r>
      <w:r w:rsidRPr="00555117">
        <w:rPr>
          <w:rFonts w:ascii="Times New Roman" w:hAnsi="Times New Roman" w:cs="Times New Roman"/>
        </w:rPr>
        <w:t>(1), 39–54. https://doi.org/10.1332/030557316X14779412013740</w:t>
      </w:r>
    </w:p>
    <w:p w14:paraId="3E200572" w14:textId="77777777" w:rsidR="007E38AB" w:rsidRPr="00555117" w:rsidRDefault="00000000">
      <w:pPr>
        <w:pStyle w:val="Bibliography"/>
        <w:rPr>
          <w:rFonts w:ascii="Times New Roman" w:hAnsi="Times New Roman" w:cs="Times New Roman"/>
        </w:rPr>
      </w:pPr>
      <w:bookmarkStart w:id="114" w:name="ref-goyalLessonsLearnedNot2018"/>
      <w:bookmarkEnd w:id="113"/>
      <w:r w:rsidRPr="00555117">
        <w:rPr>
          <w:rFonts w:ascii="Times New Roman" w:hAnsi="Times New Roman" w:cs="Times New Roman"/>
        </w:rPr>
        <w:t xml:space="preserve">Goyal, N., &amp; Howlett, M. (2018). Lessons Learned and Not Learned: Bibliometric Analysis of Policy Learning. In </w:t>
      </w:r>
      <w:r w:rsidRPr="00555117">
        <w:rPr>
          <w:rFonts w:ascii="Times New Roman" w:hAnsi="Times New Roman" w:cs="Times New Roman"/>
          <w:i/>
          <w:iCs/>
        </w:rPr>
        <w:t>Learning in Public Policy</w:t>
      </w:r>
      <w:r w:rsidRPr="00555117">
        <w:rPr>
          <w:rFonts w:ascii="Times New Roman" w:hAnsi="Times New Roman" w:cs="Times New Roman"/>
        </w:rPr>
        <w:t xml:space="preserve"> (pp. 27–49). Palgrave Macmillan, Cham. https://doi.org/10.1007/978-3-319-76210-4_2</w:t>
      </w:r>
    </w:p>
    <w:p w14:paraId="3E200573" w14:textId="77777777" w:rsidR="007E38AB" w:rsidRPr="00555117" w:rsidRDefault="00000000">
      <w:pPr>
        <w:pStyle w:val="Bibliography"/>
        <w:rPr>
          <w:rFonts w:ascii="Times New Roman" w:hAnsi="Times New Roman" w:cs="Times New Roman"/>
        </w:rPr>
      </w:pPr>
      <w:bookmarkStart w:id="115" w:name="ref-goyalFrameworkMetaphorAnalysing2019"/>
      <w:bookmarkEnd w:id="114"/>
      <w:r w:rsidRPr="00555117">
        <w:rPr>
          <w:rFonts w:ascii="Times New Roman" w:hAnsi="Times New Roman" w:cs="Times New Roman"/>
        </w:rPr>
        <w:t xml:space="preserve">Goyal, N., &amp; Howlett, M. (2019). Framework or Metaphor? Analysing the Status of Policy Learning in the Policy Sciences. </w:t>
      </w:r>
      <w:r w:rsidRPr="00555117">
        <w:rPr>
          <w:rFonts w:ascii="Times New Roman" w:hAnsi="Times New Roman" w:cs="Times New Roman"/>
          <w:i/>
          <w:iCs/>
        </w:rPr>
        <w:t>Journal of Asian Public Policy</w:t>
      </w:r>
      <w:r w:rsidRPr="00555117">
        <w:rPr>
          <w:rFonts w:ascii="Times New Roman" w:hAnsi="Times New Roman" w:cs="Times New Roman"/>
        </w:rPr>
        <w:t xml:space="preserve">, </w:t>
      </w:r>
      <w:r w:rsidRPr="00555117">
        <w:rPr>
          <w:rFonts w:ascii="Times New Roman" w:hAnsi="Times New Roman" w:cs="Times New Roman"/>
          <w:i/>
          <w:iCs/>
        </w:rPr>
        <w:t>12</w:t>
      </w:r>
      <w:r w:rsidRPr="00555117">
        <w:rPr>
          <w:rFonts w:ascii="Times New Roman" w:hAnsi="Times New Roman" w:cs="Times New Roman"/>
        </w:rPr>
        <w:t>(3), 257–273.</w:t>
      </w:r>
    </w:p>
    <w:p w14:paraId="3E200574" w14:textId="77777777" w:rsidR="007E38AB" w:rsidRPr="00555117" w:rsidRDefault="00000000">
      <w:pPr>
        <w:pStyle w:val="Bibliography"/>
        <w:rPr>
          <w:rFonts w:ascii="Times New Roman" w:hAnsi="Times New Roman" w:cs="Times New Roman"/>
        </w:rPr>
      </w:pPr>
      <w:bookmarkStart w:id="116" w:name="ref-grinTheoriesPolicyLearning2007"/>
      <w:bookmarkEnd w:id="115"/>
      <w:r w:rsidRPr="00555117">
        <w:rPr>
          <w:rFonts w:ascii="Times New Roman" w:hAnsi="Times New Roman" w:cs="Times New Roman"/>
        </w:rPr>
        <w:t xml:space="preserve">Grin, J., &amp; Loeber, A. (2007). Theories of Policy Learning: Agency, Structure, and Change. In F. Fischer, G. J. Miller, &amp; M. S. Sidney (Eds.), </w:t>
      </w:r>
      <w:r w:rsidRPr="00555117">
        <w:rPr>
          <w:rFonts w:ascii="Times New Roman" w:hAnsi="Times New Roman" w:cs="Times New Roman"/>
          <w:i/>
          <w:iCs/>
        </w:rPr>
        <w:t>Handbook of Public Policy Analysis</w:t>
      </w:r>
      <w:r w:rsidRPr="00555117">
        <w:rPr>
          <w:rFonts w:ascii="Times New Roman" w:hAnsi="Times New Roman" w:cs="Times New Roman"/>
        </w:rPr>
        <w:t>. Routledge.</w:t>
      </w:r>
    </w:p>
    <w:p w14:paraId="3E200575" w14:textId="77777777" w:rsidR="007E38AB" w:rsidRPr="00555117" w:rsidRDefault="00000000">
      <w:pPr>
        <w:pStyle w:val="Bibliography"/>
        <w:rPr>
          <w:rFonts w:ascii="Times New Roman" w:hAnsi="Times New Roman" w:cs="Times New Roman"/>
        </w:rPr>
      </w:pPr>
      <w:bookmarkStart w:id="117" w:name="Xead451188850ee3b5185075abb360d718e53c7b"/>
      <w:bookmarkEnd w:id="116"/>
      <w:r w:rsidRPr="00555117">
        <w:rPr>
          <w:rFonts w:ascii="Times New Roman" w:hAnsi="Times New Roman" w:cs="Times New Roman"/>
        </w:rPr>
        <w:t xml:space="preserve">Grin, J., &amp; Van De Graaf, H. (1996). Implementation as Communicative Action: An Interpretive Understanding of Interactions Between Policy Actors and Target Groups. </w:t>
      </w:r>
      <w:r w:rsidRPr="00555117">
        <w:rPr>
          <w:rFonts w:ascii="Times New Roman" w:hAnsi="Times New Roman" w:cs="Times New Roman"/>
          <w:i/>
          <w:iCs/>
        </w:rPr>
        <w:t>Policy Sciences</w:t>
      </w:r>
      <w:r w:rsidRPr="00555117">
        <w:rPr>
          <w:rFonts w:ascii="Times New Roman" w:hAnsi="Times New Roman" w:cs="Times New Roman"/>
        </w:rPr>
        <w:t xml:space="preserve">, </w:t>
      </w:r>
      <w:r w:rsidRPr="00555117">
        <w:rPr>
          <w:rFonts w:ascii="Times New Roman" w:hAnsi="Times New Roman" w:cs="Times New Roman"/>
          <w:i/>
          <w:iCs/>
        </w:rPr>
        <w:t>29</w:t>
      </w:r>
      <w:r w:rsidRPr="00555117">
        <w:rPr>
          <w:rFonts w:ascii="Times New Roman" w:hAnsi="Times New Roman" w:cs="Times New Roman"/>
        </w:rPr>
        <w:t>(4), 291–319. https://doi.org/10.1007/BF00138406</w:t>
      </w:r>
    </w:p>
    <w:p w14:paraId="3E200576" w14:textId="77777777" w:rsidR="007E38AB" w:rsidRPr="00555117" w:rsidRDefault="00000000">
      <w:pPr>
        <w:pStyle w:val="Bibliography"/>
        <w:rPr>
          <w:rFonts w:ascii="Times New Roman" w:hAnsi="Times New Roman" w:cs="Times New Roman"/>
        </w:rPr>
      </w:pPr>
      <w:bookmarkStart w:id="118" w:name="ref-guptaTrackingNuclearMood2019"/>
      <w:bookmarkEnd w:id="117"/>
      <w:r w:rsidRPr="00555117">
        <w:rPr>
          <w:rFonts w:ascii="Times New Roman" w:hAnsi="Times New Roman" w:cs="Times New Roman"/>
        </w:rPr>
        <w:t xml:space="preserve">Gupta, K., Nowlin, M. C., Ripberger, J. T., Jenkins-Smith, H. C., &amp; Silva, C. L. (2019). Tracking the Nuclear ’Mood’ in the United States: Introducing a Long Term Measure of Public Opinion About Nuclear Energy Using Aggregate Survey Data. </w:t>
      </w:r>
      <w:r w:rsidRPr="00555117">
        <w:rPr>
          <w:rFonts w:ascii="Times New Roman" w:hAnsi="Times New Roman" w:cs="Times New Roman"/>
          <w:i/>
          <w:iCs/>
        </w:rPr>
        <w:t>Energy Policy</w:t>
      </w:r>
      <w:r w:rsidRPr="00555117">
        <w:rPr>
          <w:rFonts w:ascii="Times New Roman" w:hAnsi="Times New Roman" w:cs="Times New Roman"/>
        </w:rPr>
        <w:t xml:space="preserve">, </w:t>
      </w:r>
      <w:r w:rsidRPr="00555117">
        <w:rPr>
          <w:rFonts w:ascii="Times New Roman" w:hAnsi="Times New Roman" w:cs="Times New Roman"/>
          <w:i/>
          <w:iCs/>
        </w:rPr>
        <w:t>133</w:t>
      </w:r>
      <w:r w:rsidRPr="00555117">
        <w:rPr>
          <w:rFonts w:ascii="Times New Roman" w:hAnsi="Times New Roman" w:cs="Times New Roman"/>
        </w:rPr>
        <w:t>. https://doi.org/10.1016/j.enpol.2019.110888</w:t>
      </w:r>
    </w:p>
    <w:p w14:paraId="3E200577" w14:textId="77777777" w:rsidR="007E38AB" w:rsidRPr="00555117" w:rsidRDefault="00000000">
      <w:pPr>
        <w:pStyle w:val="Bibliography"/>
        <w:rPr>
          <w:rFonts w:ascii="Times New Roman" w:hAnsi="Times New Roman" w:cs="Times New Roman"/>
        </w:rPr>
      </w:pPr>
      <w:bookmarkStart w:id="119" w:name="X781b50c2a6e24e698b47d9200cccc225e2f66a1"/>
      <w:bookmarkEnd w:id="118"/>
      <w:r w:rsidRPr="00555117">
        <w:rPr>
          <w:rFonts w:ascii="Times New Roman" w:hAnsi="Times New Roman" w:cs="Times New Roman"/>
        </w:rPr>
        <w:t xml:space="preserve">Haas, P. M. (1992). Introduction: Epistemic Communities and International Policy Coordination. </w:t>
      </w:r>
      <w:r w:rsidRPr="00555117">
        <w:rPr>
          <w:rFonts w:ascii="Times New Roman" w:hAnsi="Times New Roman" w:cs="Times New Roman"/>
          <w:i/>
          <w:iCs/>
        </w:rPr>
        <w:t>International Organization</w:t>
      </w:r>
      <w:r w:rsidRPr="00555117">
        <w:rPr>
          <w:rFonts w:ascii="Times New Roman" w:hAnsi="Times New Roman" w:cs="Times New Roman"/>
        </w:rPr>
        <w:t xml:space="preserve">, </w:t>
      </w:r>
      <w:r w:rsidRPr="00555117">
        <w:rPr>
          <w:rFonts w:ascii="Times New Roman" w:hAnsi="Times New Roman" w:cs="Times New Roman"/>
          <w:i/>
          <w:iCs/>
        </w:rPr>
        <w:t>46</w:t>
      </w:r>
      <w:r w:rsidRPr="00555117">
        <w:rPr>
          <w:rFonts w:ascii="Times New Roman" w:hAnsi="Times New Roman" w:cs="Times New Roman"/>
        </w:rPr>
        <w:t>(1), 1–35. https://doi.org/10.1017/S0020818300001442</w:t>
      </w:r>
    </w:p>
    <w:p w14:paraId="3E200578" w14:textId="77777777" w:rsidR="007E38AB" w:rsidRPr="00555117" w:rsidRDefault="00000000">
      <w:pPr>
        <w:pStyle w:val="Bibliography"/>
        <w:rPr>
          <w:rFonts w:ascii="Times New Roman" w:hAnsi="Times New Roman" w:cs="Times New Roman"/>
        </w:rPr>
      </w:pPr>
      <w:bookmarkStart w:id="120" w:name="ref-hallPolicyParadigmsSocial1993"/>
      <w:bookmarkEnd w:id="119"/>
      <w:r w:rsidRPr="00555117">
        <w:rPr>
          <w:rFonts w:ascii="Times New Roman" w:hAnsi="Times New Roman" w:cs="Times New Roman"/>
        </w:rPr>
        <w:t xml:space="preserve">Hall, P. (1993). Policy Paradigms, Social Learning, and the State: The Case of Economic Policymaking in Britain. </w:t>
      </w:r>
      <w:r w:rsidRPr="00555117">
        <w:rPr>
          <w:rFonts w:ascii="Times New Roman" w:hAnsi="Times New Roman" w:cs="Times New Roman"/>
          <w:i/>
          <w:iCs/>
        </w:rPr>
        <w:t>Comparative Politics</w:t>
      </w:r>
      <w:r w:rsidRPr="00555117">
        <w:rPr>
          <w:rFonts w:ascii="Times New Roman" w:hAnsi="Times New Roman" w:cs="Times New Roman"/>
        </w:rPr>
        <w:t xml:space="preserve">, </w:t>
      </w:r>
      <w:r w:rsidRPr="00555117">
        <w:rPr>
          <w:rFonts w:ascii="Times New Roman" w:hAnsi="Times New Roman" w:cs="Times New Roman"/>
          <w:i/>
          <w:iCs/>
        </w:rPr>
        <w:t>25</w:t>
      </w:r>
      <w:r w:rsidRPr="00555117">
        <w:rPr>
          <w:rFonts w:ascii="Times New Roman" w:hAnsi="Times New Roman" w:cs="Times New Roman"/>
        </w:rPr>
        <w:t>(3), 275–296.</w:t>
      </w:r>
    </w:p>
    <w:p w14:paraId="3E200579" w14:textId="77777777" w:rsidR="007E38AB" w:rsidRPr="00555117" w:rsidRDefault="00000000">
      <w:pPr>
        <w:pStyle w:val="Bibliography"/>
        <w:rPr>
          <w:rFonts w:ascii="Times New Roman" w:hAnsi="Times New Roman" w:cs="Times New Roman"/>
        </w:rPr>
      </w:pPr>
      <w:bookmarkStart w:id="121" w:name="ref-hartBoomerangEffectsScience2012"/>
      <w:bookmarkEnd w:id="120"/>
      <w:r w:rsidRPr="00555117">
        <w:rPr>
          <w:rFonts w:ascii="Times New Roman" w:hAnsi="Times New Roman" w:cs="Times New Roman"/>
        </w:rPr>
        <w:lastRenderedPageBreak/>
        <w:t xml:space="preserve">Hart, P. S., &amp; Nisbet, E. C. (2012). Boomerang Effects in Science Communication: How Motivated Reasoning and Identity Cues Amplify Opinion Polarization About Climate Mitigation Policies. </w:t>
      </w:r>
      <w:r w:rsidRPr="00555117">
        <w:rPr>
          <w:rFonts w:ascii="Times New Roman" w:hAnsi="Times New Roman" w:cs="Times New Roman"/>
          <w:i/>
          <w:iCs/>
        </w:rPr>
        <w:t>Communication Research</w:t>
      </w:r>
      <w:r w:rsidRPr="00555117">
        <w:rPr>
          <w:rFonts w:ascii="Times New Roman" w:hAnsi="Times New Roman" w:cs="Times New Roman"/>
        </w:rPr>
        <w:t xml:space="preserve">, </w:t>
      </w:r>
      <w:r w:rsidRPr="00555117">
        <w:rPr>
          <w:rFonts w:ascii="Times New Roman" w:hAnsi="Times New Roman" w:cs="Times New Roman"/>
          <w:i/>
          <w:iCs/>
        </w:rPr>
        <w:t>39</w:t>
      </w:r>
      <w:r w:rsidRPr="00555117">
        <w:rPr>
          <w:rFonts w:ascii="Times New Roman" w:hAnsi="Times New Roman" w:cs="Times New Roman"/>
        </w:rPr>
        <w:t>(6), 701–723.</w:t>
      </w:r>
    </w:p>
    <w:p w14:paraId="3E20057A" w14:textId="77777777" w:rsidR="007E38AB" w:rsidRPr="00555117" w:rsidRDefault="00000000">
      <w:pPr>
        <w:pStyle w:val="Bibliography"/>
        <w:rPr>
          <w:rFonts w:ascii="Times New Roman" w:hAnsi="Times New Roman" w:cs="Times New Roman"/>
        </w:rPr>
      </w:pPr>
      <w:bookmarkStart w:id="122" w:name="ref-hawesClimateSciencePolitics2022"/>
      <w:bookmarkEnd w:id="121"/>
      <w:r w:rsidRPr="00555117">
        <w:rPr>
          <w:rFonts w:ascii="Times New Roman" w:hAnsi="Times New Roman" w:cs="Times New Roman"/>
        </w:rPr>
        <w:t xml:space="preserve">Hawes, R., &amp; Nowlin, M. C. (2022). Climate Science or Politics? Disentangling the Roles of Citizen Beliefs and Support for Energy in the United States. </w:t>
      </w:r>
      <w:r w:rsidRPr="00555117">
        <w:rPr>
          <w:rFonts w:ascii="Times New Roman" w:hAnsi="Times New Roman" w:cs="Times New Roman"/>
          <w:i/>
          <w:iCs/>
        </w:rPr>
        <w:t>Energy Research &amp; Social Science</w:t>
      </w:r>
      <w:r w:rsidRPr="00555117">
        <w:rPr>
          <w:rFonts w:ascii="Times New Roman" w:hAnsi="Times New Roman" w:cs="Times New Roman"/>
        </w:rPr>
        <w:t xml:space="preserve">, </w:t>
      </w:r>
      <w:r w:rsidRPr="00555117">
        <w:rPr>
          <w:rFonts w:ascii="Times New Roman" w:hAnsi="Times New Roman" w:cs="Times New Roman"/>
          <w:i/>
          <w:iCs/>
        </w:rPr>
        <w:t>85</w:t>
      </w:r>
      <w:r w:rsidRPr="00555117">
        <w:rPr>
          <w:rFonts w:ascii="Times New Roman" w:hAnsi="Times New Roman" w:cs="Times New Roman"/>
        </w:rPr>
        <w:t>, 102419. https://doi.org/10.1016/j.erss.2021.102419</w:t>
      </w:r>
    </w:p>
    <w:p w14:paraId="3E20057B" w14:textId="77777777" w:rsidR="007E38AB" w:rsidRPr="00555117" w:rsidRDefault="00000000">
      <w:pPr>
        <w:pStyle w:val="Bibliography"/>
        <w:rPr>
          <w:rFonts w:ascii="Times New Roman" w:hAnsi="Times New Roman" w:cs="Times New Roman"/>
        </w:rPr>
      </w:pPr>
      <w:bookmarkStart w:id="123" w:name="ref-headWickedProblemsImplications2015"/>
      <w:bookmarkEnd w:id="122"/>
      <w:r w:rsidRPr="00555117">
        <w:rPr>
          <w:rFonts w:ascii="Times New Roman" w:hAnsi="Times New Roman" w:cs="Times New Roman"/>
        </w:rPr>
        <w:t xml:space="preserve">Head, B. W., &amp; Alford, J. (2015). Wicked Problems: Implications for Public Policy and Management. </w:t>
      </w:r>
      <w:r w:rsidRPr="00555117">
        <w:rPr>
          <w:rFonts w:ascii="Times New Roman" w:hAnsi="Times New Roman" w:cs="Times New Roman"/>
          <w:i/>
          <w:iCs/>
        </w:rPr>
        <w:t>Administration &amp; Society</w:t>
      </w:r>
      <w:r w:rsidRPr="00555117">
        <w:rPr>
          <w:rFonts w:ascii="Times New Roman" w:hAnsi="Times New Roman" w:cs="Times New Roman"/>
        </w:rPr>
        <w:t xml:space="preserve">, </w:t>
      </w:r>
      <w:r w:rsidRPr="00555117">
        <w:rPr>
          <w:rFonts w:ascii="Times New Roman" w:hAnsi="Times New Roman" w:cs="Times New Roman"/>
          <w:i/>
          <w:iCs/>
        </w:rPr>
        <w:t>47</w:t>
      </w:r>
      <w:r w:rsidRPr="00555117">
        <w:rPr>
          <w:rFonts w:ascii="Times New Roman" w:hAnsi="Times New Roman" w:cs="Times New Roman"/>
        </w:rPr>
        <w:t>(6), 711–739. https://doi.org/10.1177/0095399713481601</w:t>
      </w:r>
    </w:p>
    <w:p w14:paraId="3E20057C" w14:textId="77777777" w:rsidR="007E38AB" w:rsidRPr="00555117" w:rsidRDefault="00000000">
      <w:pPr>
        <w:pStyle w:val="Bibliography"/>
        <w:rPr>
          <w:rFonts w:ascii="Times New Roman" w:hAnsi="Times New Roman" w:cs="Times New Roman"/>
        </w:rPr>
      </w:pPr>
      <w:bookmarkStart w:id="124" w:name="ref-hecloModernSocialPolitics1974"/>
      <w:bookmarkEnd w:id="123"/>
      <w:r w:rsidRPr="00555117">
        <w:rPr>
          <w:rFonts w:ascii="Times New Roman" w:hAnsi="Times New Roman" w:cs="Times New Roman"/>
        </w:rPr>
        <w:t xml:space="preserve">Heclo, H. (1974). </w:t>
      </w:r>
      <w:r w:rsidRPr="00555117">
        <w:rPr>
          <w:rFonts w:ascii="Times New Roman" w:hAnsi="Times New Roman" w:cs="Times New Roman"/>
          <w:i/>
          <w:iCs/>
        </w:rPr>
        <w:t>Modern Social Politics in Britain and Sweden: From Relief to Income Maintenance</w:t>
      </w:r>
      <w:r w:rsidRPr="00555117">
        <w:rPr>
          <w:rFonts w:ascii="Times New Roman" w:hAnsi="Times New Roman" w:cs="Times New Roman"/>
        </w:rPr>
        <w:t>. Yale University Press.</w:t>
      </w:r>
    </w:p>
    <w:p w14:paraId="3E20057D" w14:textId="77777777" w:rsidR="007E38AB" w:rsidRPr="00555117" w:rsidRDefault="00000000">
      <w:pPr>
        <w:pStyle w:val="Bibliography"/>
        <w:rPr>
          <w:rFonts w:ascii="Times New Roman" w:hAnsi="Times New Roman" w:cs="Times New Roman"/>
        </w:rPr>
      </w:pPr>
      <w:bookmarkStart w:id="125" w:name="X89294a74a62f8a5fb882c437af2c14920331749"/>
      <w:bookmarkEnd w:id="124"/>
      <w:r w:rsidRPr="00555117">
        <w:rPr>
          <w:rFonts w:ascii="Times New Roman" w:hAnsi="Times New Roman" w:cs="Times New Roman"/>
        </w:rPr>
        <w:t xml:space="preserve">Heikkila, T., &amp; Gerlak, A. K. (2013). Building a Conceptual Approach to Collective Learning: Lessons for Public Policy Scholars.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41</w:t>
      </w:r>
      <w:r w:rsidRPr="00555117">
        <w:rPr>
          <w:rFonts w:ascii="Times New Roman" w:hAnsi="Times New Roman" w:cs="Times New Roman"/>
        </w:rPr>
        <w:t>(3), 484–512. https://doi.org/10.1111/psj.12026</w:t>
      </w:r>
    </w:p>
    <w:p w14:paraId="3E20057E" w14:textId="77777777" w:rsidR="007E38AB" w:rsidRPr="00555117" w:rsidRDefault="00000000">
      <w:pPr>
        <w:pStyle w:val="Bibliography"/>
        <w:rPr>
          <w:rFonts w:ascii="Times New Roman" w:hAnsi="Times New Roman" w:cs="Times New Roman"/>
        </w:rPr>
      </w:pPr>
      <w:bookmarkStart w:id="126" w:name="X9e51151f82a9bd613d64d1dce5ad29b1dd4c5f0"/>
      <w:bookmarkEnd w:id="125"/>
      <w:r w:rsidRPr="00555117">
        <w:rPr>
          <w:rFonts w:ascii="Times New Roman" w:hAnsi="Times New Roman" w:cs="Times New Roman"/>
        </w:rPr>
        <w:t xml:space="preserve">Heikkila, T., Gerlak, A. K., &amp; Smith, B. (2024). Diagnosing Individual Barriers to Collective Learning: How Governance Contexts Shape Cognitive Biases. </w:t>
      </w:r>
      <w:r w:rsidRPr="00555117">
        <w:rPr>
          <w:rFonts w:ascii="Times New Roman" w:hAnsi="Times New Roman" w:cs="Times New Roman"/>
          <w:i/>
          <w:iCs/>
        </w:rPr>
        <w:t>Journal of European Public Policy</w:t>
      </w:r>
      <w:r w:rsidRPr="00555117">
        <w:rPr>
          <w:rFonts w:ascii="Times New Roman" w:hAnsi="Times New Roman" w:cs="Times New Roman"/>
        </w:rPr>
        <w:t xml:space="preserve">, </w:t>
      </w:r>
      <w:r w:rsidRPr="00555117">
        <w:rPr>
          <w:rFonts w:ascii="Times New Roman" w:hAnsi="Times New Roman" w:cs="Times New Roman"/>
          <w:i/>
          <w:iCs/>
        </w:rPr>
        <w:t>31</w:t>
      </w:r>
      <w:r w:rsidRPr="00555117">
        <w:rPr>
          <w:rFonts w:ascii="Times New Roman" w:hAnsi="Times New Roman" w:cs="Times New Roman"/>
        </w:rPr>
        <w:t>(7), 2026–2049. https://doi.org/10.1080/13501763.2023.2251525</w:t>
      </w:r>
    </w:p>
    <w:p w14:paraId="3E20057F" w14:textId="77777777" w:rsidR="007E38AB" w:rsidRPr="00555117" w:rsidRDefault="00000000">
      <w:pPr>
        <w:pStyle w:val="Bibliography"/>
        <w:rPr>
          <w:rFonts w:ascii="Times New Roman" w:hAnsi="Times New Roman" w:cs="Times New Roman"/>
        </w:rPr>
      </w:pPr>
      <w:bookmarkStart w:id="127" w:name="ref-herronPerceptionsNuclearSecurity2002"/>
      <w:bookmarkEnd w:id="126"/>
      <w:r w:rsidRPr="00555117">
        <w:rPr>
          <w:rFonts w:ascii="Times New Roman" w:hAnsi="Times New Roman" w:cs="Times New Roman"/>
        </w:rPr>
        <w:t xml:space="preserve">Herron, K. G., &amp; Jenkins-Smith, H. C. (2002). U.S. Perceptions of Nuclear Security in the Wake of the Cold War: Comparing Public and Elite Belief Systems. </w:t>
      </w:r>
      <w:r w:rsidRPr="00555117">
        <w:rPr>
          <w:rFonts w:ascii="Times New Roman" w:hAnsi="Times New Roman" w:cs="Times New Roman"/>
          <w:i/>
          <w:iCs/>
        </w:rPr>
        <w:t>International Studies Quarterly</w:t>
      </w:r>
      <w:r w:rsidRPr="00555117">
        <w:rPr>
          <w:rFonts w:ascii="Times New Roman" w:hAnsi="Times New Roman" w:cs="Times New Roman"/>
        </w:rPr>
        <w:t xml:space="preserve">, </w:t>
      </w:r>
      <w:r w:rsidRPr="00555117">
        <w:rPr>
          <w:rFonts w:ascii="Times New Roman" w:hAnsi="Times New Roman" w:cs="Times New Roman"/>
          <w:i/>
          <w:iCs/>
        </w:rPr>
        <w:t>46</w:t>
      </w:r>
      <w:r w:rsidRPr="00555117">
        <w:rPr>
          <w:rFonts w:ascii="Times New Roman" w:hAnsi="Times New Roman" w:cs="Times New Roman"/>
        </w:rPr>
        <w:t>(4), 451–479.</w:t>
      </w:r>
    </w:p>
    <w:p w14:paraId="3E200580" w14:textId="77777777" w:rsidR="007E38AB" w:rsidRPr="00555117" w:rsidRDefault="00000000">
      <w:pPr>
        <w:pStyle w:val="Bibliography"/>
        <w:rPr>
          <w:rFonts w:ascii="Times New Roman" w:hAnsi="Times New Roman" w:cs="Times New Roman"/>
        </w:rPr>
      </w:pPr>
      <w:bookmarkStart w:id="128" w:name="ref-herwegMultipleStreamsFramework2023"/>
      <w:bookmarkEnd w:id="127"/>
      <w:r w:rsidRPr="00555117">
        <w:rPr>
          <w:rFonts w:ascii="Times New Roman" w:hAnsi="Times New Roman" w:cs="Times New Roman"/>
        </w:rPr>
        <w:t xml:space="preserve">Herweg, N., Zahariadis, N., &amp; Zohlnhofer, R. (2023). The Multiple Streams Framework: Foundations, Refinements, and Empirical Applications. In C. M. Weible (Ed.), </w:t>
      </w:r>
      <w:r w:rsidRPr="00555117">
        <w:rPr>
          <w:rFonts w:ascii="Times New Roman" w:hAnsi="Times New Roman" w:cs="Times New Roman"/>
          <w:i/>
          <w:iCs/>
        </w:rPr>
        <w:t>Theories of the Policy Process</w:t>
      </w:r>
      <w:r w:rsidRPr="00555117">
        <w:rPr>
          <w:rFonts w:ascii="Times New Roman" w:hAnsi="Times New Roman" w:cs="Times New Roman"/>
        </w:rPr>
        <w:t xml:space="preserve"> (5th ed., pp. 29–64). Routledge.</w:t>
      </w:r>
    </w:p>
    <w:p w14:paraId="3E200581" w14:textId="77777777" w:rsidR="007E38AB" w:rsidRPr="00555117" w:rsidRDefault="00000000">
      <w:pPr>
        <w:pStyle w:val="Bibliography"/>
        <w:rPr>
          <w:rFonts w:ascii="Times New Roman" w:hAnsi="Times New Roman" w:cs="Times New Roman"/>
        </w:rPr>
      </w:pPr>
      <w:bookmarkStart w:id="129" w:name="ref-howlettPolicyLearningPolicy2017"/>
      <w:bookmarkEnd w:id="128"/>
      <w:r w:rsidRPr="00555117">
        <w:rPr>
          <w:rFonts w:ascii="Times New Roman" w:hAnsi="Times New Roman" w:cs="Times New Roman"/>
        </w:rPr>
        <w:t xml:space="preserve">Howlett, M., Mukherjee, I., &amp; Koppenjan, J. (2017). Policy Learning and Policy Networks in Theory and Practice: The Role of Policy Brokers in the Indonesian Biodiesel Policy Network. </w:t>
      </w:r>
      <w:r w:rsidRPr="00555117">
        <w:rPr>
          <w:rFonts w:ascii="Times New Roman" w:hAnsi="Times New Roman" w:cs="Times New Roman"/>
          <w:i/>
          <w:iCs/>
        </w:rPr>
        <w:t>Policy and Society</w:t>
      </w:r>
      <w:r w:rsidRPr="00555117">
        <w:rPr>
          <w:rFonts w:ascii="Times New Roman" w:hAnsi="Times New Roman" w:cs="Times New Roman"/>
        </w:rPr>
        <w:t xml:space="preserve">, </w:t>
      </w:r>
      <w:r w:rsidRPr="00555117">
        <w:rPr>
          <w:rFonts w:ascii="Times New Roman" w:hAnsi="Times New Roman" w:cs="Times New Roman"/>
          <w:i/>
          <w:iCs/>
        </w:rPr>
        <w:t>36</w:t>
      </w:r>
      <w:r w:rsidRPr="00555117">
        <w:rPr>
          <w:rFonts w:ascii="Times New Roman" w:hAnsi="Times New Roman" w:cs="Times New Roman"/>
        </w:rPr>
        <w:t>(2), 233–250. https://doi.org/10.1080/14494035.2017.1321230</w:t>
      </w:r>
    </w:p>
    <w:p w14:paraId="3E200582" w14:textId="77777777" w:rsidR="007E38AB" w:rsidRPr="00555117" w:rsidRDefault="00000000">
      <w:pPr>
        <w:pStyle w:val="Bibliography"/>
        <w:rPr>
          <w:rFonts w:ascii="Times New Roman" w:hAnsi="Times New Roman" w:cs="Times New Roman"/>
        </w:rPr>
      </w:pPr>
      <w:bookmarkStart w:id="130" w:name="X1edb32262667da800dcd4929245a7609e545999"/>
      <w:bookmarkEnd w:id="129"/>
      <w:r w:rsidRPr="00555117">
        <w:rPr>
          <w:rFonts w:ascii="Times New Roman" w:hAnsi="Times New Roman" w:cs="Times New Roman"/>
        </w:rPr>
        <w:t xml:space="preserve">Jenkins-Smith, H. C. (1988). Analytical Debates and Policy Learning: Analysis and Change in the Federal Bureaucracy. </w:t>
      </w:r>
      <w:r w:rsidRPr="00555117">
        <w:rPr>
          <w:rFonts w:ascii="Times New Roman" w:hAnsi="Times New Roman" w:cs="Times New Roman"/>
          <w:i/>
          <w:iCs/>
        </w:rPr>
        <w:t>Policy Sciences</w:t>
      </w:r>
      <w:r w:rsidRPr="00555117">
        <w:rPr>
          <w:rFonts w:ascii="Times New Roman" w:hAnsi="Times New Roman" w:cs="Times New Roman"/>
        </w:rPr>
        <w:t xml:space="preserve">, </w:t>
      </w:r>
      <w:r w:rsidRPr="00555117">
        <w:rPr>
          <w:rFonts w:ascii="Times New Roman" w:hAnsi="Times New Roman" w:cs="Times New Roman"/>
          <w:i/>
          <w:iCs/>
        </w:rPr>
        <w:t>21</w:t>
      </w:r>
      <w:r w:rsidRPr="00555117">
        <w:rPr>
          <w:rFonts w:ascii="Times New Roman" w:hAnsi="Times New Roman" w:cs="Times New Roman"/>
        </w:rPr>
        <w:t>(2), 169–211.</w:t>
      </w:r>
    </w:p>
    <w:p w14:paraId="3E200583" w14:textId="77777777" w:rsidR="007E38AB" w:rsidRPr="00555117" w:rsidRDefault="00000000">
      <w:pPr>
        <w:pStyle w:val="Bibliography"/>
        <w:rPr>
          <w:rFonts w:ascii="Times New Roman" w:hAnsi="Times New Roman" w:cs="Times New Roman"/>
        </w:rPr>
      </w:pPr>
      <w:bookmarkStart w:id="131" w:name="ref-jenkins-smithRockHardPlace2009"/>
      <w:bookmarkEnd w:id="130"/>
      <w:r w:rsidRPr="00555117">
        <w:rPr>
          <w:rFonts w:ascii="Times New Roman" w:hAnsi="Times New Roman" w:cs="Times New Roman"/>
        </w:rPr>
        <w:t xml:space="preserve">Jenkins-Smith, H. C., &amp; Herron, K. G. (2009). Rock and a Hard Place: Public Willingness to Trade Civil Rights and Liberties for Greater Security. </w:t>
      </w:r>
      <w:r w:rsidRPr="00555117">
        <w:rPr>
          <w:rFonts w:ascii="Times New Roman" w:hAnsi="Times New Roman" w:cs="Times New Roman"/>
          <w:i/>
          <w:iCs/>
        </w:rPr>
        <w:t>Politics &amp; Policy</w:t>
      </w:r>
      <w:r w:rsidRPr="00555117">
        <w:rPr>
          <w:rFonts w:ascii="Times New Roman" w:hAnsi="Times New Roman" w:cs="Times New Roman"/>
        </w:rPr>
        <w:t xml:space="preserve">, </w:t>
      </w:r>
      <w:r w:rsidRPr="00555117">
        <w:rPr>
          <w:rFonts w:ascii="Times New Roman" w:hAnsi="Times New Roman" w:cs="Times New Roman"/>
          <w:i/>
          <w:iCs/>
        </w:rPr>
        <w:t>37</w:t>
      </w:r>
      <w:r w:rsidRPr="00555117">
        <w:rPr>
          <w:rFonts w:ascii="Times New Roman" w:hAnsi="Times New Roman" w:cs="Times New Roman"/>
        </w:rPr>
        <w:t>(5), 1095–1129.</w:t>
      </w:r>
    </w:p>
    <w:p w14:paraId="3E200584" w14:textId="77777777" w:rsidR="007E38AB" w:rsidRPr="00555117" w:rsidRDefault="00000000">
      <w:pPr>
        <w:pStyle w:val="Bibliography"/>
        <w:rPr>
          <w:rFonts w:ascii="Times New Roman" w:hAnsi="Times New Roman" w:cs="Times New Roman"/>
        </w:rPr>
      </w:pPr>
      <w:bookmarkStart w:id="132" w:name="Xfd973a84f6a28ef3b9b437d1c25207150e66847"/>
      <w:bookmarkEnd w:id="131"/>
      <w:r w:rsidRPr="00555117">
        <w:rPr>
          <w:rFonts w:ascii="Times New Roman" w:hAnsi="Times New Roman" w:cs="Times New Roman"/>
        </w:rPr>
        <w:t xml:space="preserve">Jenkins-Smith, H. C., Mitchell, N. J., &amp; Herron, K. G. (2004). Foreign and Domestic Policy Belief Structures in the U.S. And British Publics. </w:t>
      </w:r>
      <w:r w:rsidRPr="00555117">
        <w:rPr>
          <w:rFonts w:ascii="Times New Roman" w:hAnsi="Times New Roman" w:cs="Times New Roman"/>
          <w:i/>
          <w:iCs/>
        </w:rPr>
        <w:t>Journal of Conflict Resolution</w:t>
      </w:r>
      <w:r w:rsidRPr="00555117">
        <w:rPr>
          <w:rFonts w:ascii="Times New Roman" w:hAnsi="Times New Roman" w:cs="Times New Roman"/>
        </w:rPr>
        <w:t xml:space="preserve">, </w:t>
      </w:r>
      <w:r w:rsidRPr="00555117">
        <w:rPr>
          <w:rFonts w:ascii="Times New Roman" w:hAnsi="Times New Roman" w:cs="Times New Roman"/>
          <w:i/>
          <w:iCs/>
        </w:rPr>
        <w:t>48</w:t>
      </w:r>
      <w:r w:rsidRPr="00555117">
        <w:rPr>
          <w:rFonts w:ascii="Times New Roman" w:hAnsi="Times New Roman" w:cs="Times New Roman"/>
        </w:rPr>
        <w:t>(3), 287–309. https://doi.org/10.1177/0022002704264214</w:t>
      </w:r>
    </w:p>
    <w:p w14:paraId="3E200585" w14:textId="77777777" w:rsidR="007E38AB" w:rsidRPr="00555117" w:rsidRDefault="00000000">
      <w:pPr>
        <w:pStyle w:val="Bibliography"/>
        <w:rPr>
          <w:rFonts w:ascii="Times New Roman" w:hAnsi="Times New Roman" w:cs="Times New Roman"/>
        </w:rPr>
      </w:pPr>
      <w:bookmarkStart w:id="133" w:name="Xed412750169b12f13aacf58c2d7382c27ef2fab"/>
      <w:bookmarkEnd w:id="132"/>
      <w:r w:rsidRPr="00555117">
        <w:rPr>
          <w:rFonts w:ascii="Times New Roman" w:hAnsi="Times New Roman" w:cs="Times New Roman"/>
        </w:rPr>
        <w:t xml:space="preserve">Jenkins-Smith, H. C., Nohrstedt, D., Weible, C. M., &amp; Ingold, K. (2018). The Advocacy Coalition Framework: An Overview of the Research Program. In C. M. Weible &amp; P. A. Sabatier (Eds.), </w:t>
      </w:r>
      <w:r w:rsidRPr="00555117">
        <w:rPr>
          <w:rFonts w:ascii="Times New Roman" w:hAnsi="Times New Roman" w:cs="Times New Roman"/>
          <w:i/>
          <w:iCs/>
        </w:rPr>
        <w:t>Theories of the Policy Process</w:t>
      </w:r>
      <w:r w:rsidRPr="00555117">
        <w:rPr>
          <w:rFonts w:ascii="Times New Roman" w:hAnsi="Times New Roman" w:cs="Times New Roman"/>
        </w:rPr>
        <w:t xml:space="preserve"> (4th ed., pp. 135–172). Westview Press.</w:t>
      </w:r>
    </w:p>
    <w:p w14:paraId="3E200586" w14:textId="77777777" w:rsidR="007E38AB" w:rsidRPr="00555117" w:rsidRDefault="00000000">
      <w:pPr>
        <w:pStyle w:val="Bibliography"/>
        <w:rPr>
          <w:rFonts w:ascii="Times New Roman" w:hAnsi="Times New Roman" w:cs="Times New Roman"/>
        </w:rPr>
      </w:pPr>
      <w:bookmarkStart w:id="134" w:name="Xb34d668c4aca2ab4c949fc435e4cb8c47192f3e"/>
      <w:bookmarkEnd w:id="133"/>
      <w:r w:rsidRPr="00555117">
        <w:rPr>
          <w:rFonts w:ascii="Times New Roman" w:hAnsi="Times New Roman" w:cs="Times New Roman"/>
        </w:rPr>
        <w:t xml:space="preserve">Jenkins-Smith, H. C., &amp; Sabatier, P. A. (1993). The Dynamics of Policy-Oriented Learning. In P. A. Sabatier &amp; H. C. Jenkins-Smith (Eds.), </w:t>
      </w:r>
      <w:r w:rsidRPr="00555117">
        <w:rPr>
          <w:rFonts w:ascii="Times New Roman" w:hAnsi="Times New Roman" w:cs="Times New Roman"/>
          <w:i/>
          <w:iCs/>
        </w:rPr>
        <w:t>Policy Change and Learning: An Advocacy Coalition Approach</w:t>
      </w:r>
      <w:r w:rsidRPr="00555117">
        <w:rPr>
          <w:rFonts w:ascii="Times New Roman" w:hAnsi="Times New Roman" w:cs="Times New Roman"/>
        </w:rPr>
        <w:t xml:space="preserve"> (pp. 41–56). Westview Press.</w:t>
      </w:r>
    </w:p>
    <w:p w14:paraId="3E200587" w14:textId="77777777" w:rsidR="007E38AB" w:rsidRPr="00555117" w:rsidRDefault="00000000">
      <w:pPr>
        <w:pStyle w:val="Bibliography"/>
        <w:rPr>
          <w:rFonts w:ascii="Times New Roman" w:hAnsi="Times New Roman" w:cs="Times New Roman"/>
        </w:rPr>
      </w:pPr>
      <w:bookmarkStart w:id="135" w:name="ref-jochimIssuePoliticsPolarized2013"/>
      <w:bookmarkEnd w:id="134"/>
      <w:r w:rsidRPr="00555117">
        <w:rPr>
          <w:rFonts w:ascii="Times New Roman" w:hAnsi="Times New Roman" w:cs="Times New Roman"/>
        </w:rPr>
        <w:t xml:space="preserve">Jochim, A. E., &amp; Jones, B. D. (2013). Issue Politics in a Polarized Congress. </w:t>
      </w:r>
      <w:r w:rsidRPr="00555117">
        <w:rPr>
          <w:rFonts w:ascii="Times New Roman" w:hAnsi="Times New Roman" w:cs="Times New Roman"/>
          <w:i/>
          <w:iCs/>
        </w:rPr>
        <w:t>Political Research Quarterly</w:t>
      </w:r>
      <w:r w:rsidRPr="00555117">
        <w:rPr>
          <w:rFonts w:ascii="Times New Roman" w:hAnsi="Times New Roman" w:cs="Times New Roman"/>
        </w:rPr>
        <w:t xml:space="preserve">, </w:t>
      </w:r>
      <w:r w:rsidRPr="00555117">
        <w:rPr>
          <w:rFonts w:ascii="Times New Roman" w:hAnsi="Times New Roman" w:cs="Times New Roman"/>
          <w:i/>
          <w:iCs/>
        </w:rPr>
        <w:t>66</w:t>
      </w:r>
      <w:r w:rsidRPr="00555117">
        <w:rPr>
          <w:rFonts w:ascii="Times New Roman" w:hAnsi="Times New Roman" w:cs="Times New Roman"/>
        </w:rPr>
        <w:t>(2), 352–369.</w:t>
      </w:r>
    </w:p>
    <w:p w14:paraId="3E200588" w14:textId="77777777" w:rsidR="007E38AB" w:rsidRPr="00555117" w:rsidRDefault="00000000">
      <w:pPr>
        <w:pStyle w:val="Bibliography"/>
        <w:rPr>
          <w:rFonts w:ascii="Times New Roman" w:hAnsi="Times New Roman" w:cs="Times New Roman"/>
        </w:rPr>
      </w:pPr>
      <w:bookmarkStart w:id="136" w:name="X095fdb62ea5a902ab704abd839ff5fc13d713a1"/>
      <w:bookmarkEnd w:id="135"/>
      <w:r w:rsidRPr="00555117">
        <w:rPr>
          <w:rFonts w:ascii="Times New Roman" w:hAnsi="Times New Roman" w:cs="Times New Roman"/>
        </w:rPr>
        <w:lastRenderedPageBreak/>
        <w:t xml:space="preserve">Jones, B. D. (1994). </w:t>
      </w:r>
      <w:r w:rsidRPr="00555117">
        <w:rPr>
          <w:rFonts w:ascii="Times New Roman" w:hAnsi="Times New Roman" w:cs="Times New Roman"/>
          <w:i/>
          <w:iCs/>
        </w:rPr>
        <w:t>Reconceiving Decision-Making in Democratic Politics: Attention, Choice, and Public Policy</w:t>
      </w:r>
      <w:r w:rsidRPr="00555117">
        <w:rPr>
          <w:rFonts w:ascii="Times New Roman" w:hAnsi="Times New Roman" w:cs="Times New Roman"/>
        </w:rPr>
        <w:t>. University of Chicago Press.</w:t>
      </w:r>
    </w:p>
    <w:p w14:paraId="3E200589" w14:textId="77777777" w:rsidR="007E38AB" w:rsidRPr="00555117" w:rsidRDefault="00000000">
      <w:pPr>
        <w:pStyle w:val="Bibliography"/>
        <w:rPr>
          <w:rFonts w:ascii="Times New Roman" w:hAnsi="Times New Roman" w:cs="Times New Roman"/>
        </w:rPr>
      </w:pPr>
      <w:bookmarkStart w:id="137" w:name="ref-jonesPoliticsArchitectureChoice2001"/>
      <w:bookmarkEnd w:id="136"/>
      <w:r w:rsidRPr="00555117">
        <w:rPr>
          <w:rFonts w:ascii="Times New Roman" w:hAnsi="Times New Roman" w:cs="Times New Roman"/>
        </w:rPr>
        <w:t xml:space="preserve">Jones, B. D. (2001). </w:t>
      </w:r>
      <w:r w:rsidRPr="00555117">
        <w:rPr>
          <w:rFonts w:ascii="Times New Roman" w:hAnsi="Times New Roman" w:cs="Times New Roman"/>
          <w:i/>
          <w:iCs/>
        </w:rPr>
        <w:t>Politics and the Architecture of Choice: Bounded Rationality and Governance</w:t>
      </w:r>
      <w:r w:rsidRPr="00555117">
        <w:rPr>
          <w:rFonts w:ascii="Times New Roman" w:hAnsi="Times New Roman" w:cs="Times New Roman"/>
        </w:rPr>
        <w:t>. University Of Chicago Press.</w:t>
      </w:r>
    </w:p>
    <w:p w14:paraId="3E20058A" w14:textId="77777777" w:rsidR="007E38AB" w:rsidRPr="00555117" w:rsidRDefault="00000000">
      <w:pPr>
        <w:pStyle w:val="Bibliography"/>
        <w:rPr>
          <w:rFonts w:ascii="Times New Roman" w:hAnsi="Times New Roman" w:cs="Times New Roman"/>
        </w:rPr>
      </w:pPr>
      <w:bookmarkStart w:id="138" w:name="ref-jonesBoundedRationalityPublic2002"/>
      <w:bookmarkEnd w:id="137"/>
      <w:r w:rsidRPr="00555117">
        <w:rPr>
          <w:rFonts w:ascii="Times New Roman" w:hAnsi="Times New Roman" w:cs="Times New Roman"/>
        </w:rPr>
        <w:t xml:space="preserve">Jones, B. D. (2002). Bounded Rationality and Public Policy: Herbert A. Simon and the Decisional Foundation of Collective Choice. </w:t>
      </w:r>
      <w:r w:rsidRPr="00555117">
        <w:rPr>
          <w:rFonts w:ascii="Times New Roman" w:hAnsi="Times New Roman" w:cs="Times New Roman"/>
          <w:i/>
          <w:iCs/>
        </w:rPr>
        <w:t>Policy Sciences</w:t>
      </w:r>
      <w:r w:rsidRPr="00555117">
        <w:rPr>
          <w:rFonts w:ascii="Times New Roman" w:hAnsi="Times New Roman" w:cs="Times New Roman"/>
        </w:rPr>
        <w:t xml:space="preserve">, </w:t>
      </w:r>
      <w:r w:rsidRPr="00555117">
        <w:rPr>
          <w:rFonts w:ascii="Times New Roman" w:hAnsi="Times New Roman" w:cs="Times New Roman"/>
          <w:i/>
          <w:iCs/>
        </w:rPr>
        <w:t>35</w:t>
      </w:r>
      <w:r w:rsidRPr="00555117">
        <w:rPr>
          <w:rFonts w:ascii="Times New Roman" w:hAnsi="Times New Roman" w:cs="Times New Roman"/>
        </w:rPr>
        <w:t>(3), 269–284.</w:t>
      </w:r>
    </w:p>
    <w:p w14:paraId="3E20058B" w14:textId="77777777" w:rsidR="007E38AB" w:rsidRPr="00555117" w:rsidRDefault="00000000">
      <w:pPr>
        <w:pStyle w:val="Bibliography"/>
        <w:rPr>
          <w:rFonts w:ascii="Times New Roman" w:hAnsi="Times New Roman" w:cs="Times New Roman"/>
        </w:rPr>
      </w:pPr>
      <w:bookmarkStart w:id="139" w:name="X50fb71711d0adac638a833a6de693ee299c9bee"/>
      <w:bookmarkEnd w:id="138"/>
      <w:r w:rsidRPr="00555117">
        <w:rPr>
          <w:rFonts w:ascii="Times New Roman" w:hAnsi="Times New Roman" w:cs="Times New Roman"/>
        </w:rPr>
        <w:t xml:space="preserve">Jones, B. D. (2017). Behavioral Rationality as a Foundation for Public Policy Studies. </w:t>
      </w:r>
      <w:r w:rsidRPr="00555117">
        <w:rPr>
          <w:rFonts w:ascii="Times New Roman" w:hAnsi="Times New Roman" w:cs="Times New Roman"/>
          <w:i/>
          <w:iCs/>
        </w:rPr>
        <w:t>Cognitive Systems Research</w:t>
      </w:r>
      <w:r w:rsidRPr="00555117">
        <w:rPr>
          <w:rFonts w:ascii="Times New Roman" w:hAnsi="Times New Roman" w:cs="Times New Roman"/>
        </w:rPr>
        <w:t xml:space="preserve">, </w:t>
      </w:r>
      <w:r w:rsidRPr="00555117">
        <w:rPr>
          <w:rFonts w:ascii="Times New Roman" w:hAnsi="Times New Roman" w:cs="Times New Roman"/>
          <w:i/>
          <w:iCs/>
        </w:rPr>
        <w:t>43</w:t>
      </w:r>
      <w:r w:rsidRPr="00555117">
        <w:rPr>
          <w:rFonts w:ascii="Times New Roman" w:hAnsi="Times New Roman" w:cs="Times New Roman"/>
        </w:rPr>
        <w:t>, 63–75. https://doi.org/10.1016/j.cogsys.2017.01.003</w:t>
      </w:r>
    </w:p>
    <w:p w14:paraId="3E20058C" w14:textId="77777777" w:rsidR="007E38AB" w:rsidRPr="00555117" w:rsidRDefault="00000000">
      <w:pPr>
        <w:pStyle w:val="Bibliography"/>
        <w:rPr>
          <w:rFonts w:ascii="Times New Roman" w:hAnsi="Times New Roman" w:cs="Times New Roman"/>
        </w:rPr>
      </w:pPr>
      <w:bookmarkStart w:id="140" w:name="ref-jonesModelChoicePublic2005"/>
      <w:bookmarkEnd w:id="139"/>
      <w:r w:rsidRPr="00555117">
        <w:rPr>
          <w:rFonts w:ascii="Times New Roman" w:hAnsi="Times New Roman" w:cs="Times New Roman"/>
        </w:rPr>
        <w:t xml:space="preserve">Jones, B. D., &amp; Baumgartner, F. R. (2005a). A Model of Choice for Public Policy. </w:t>
      </w:r>
      <w:r w:rsidRPr="00555117">
        <w:rPr>
          <w:rFonts w:ascii="Times New Roman" w:hAnsi="Times New Roman" w:cs="Times New Roman"/>
          <w:i/>
          <w:iCs/>
        </w:rPr>
        <w:t>Journal of Public Administration Research and Theory</w:t>
      </w:r>
      <w:r w:rsidRPr="00555117">
        <w:rPr>
          <w:rFonts w:ascii="Times New Roman" w:hAnsi="Times New Roman" w:cs="Times New Roman"/>
        </w:rPr>
        <w:t xml:space="preserve">, </w:t>
      </w:r>
      <w:r w:rsidRPr="00555117">
        <w:rPr>
          <w:rFonts w:ascii="Times New Roman" w:hAnsi="Times New Roman" w:cs="Times New Roman"/>
          <w:i/>
          <w:iCs/>
        </w:rPr>
        <w:t>15</w:t>
      </w:r>
      <w:r w:rsidRPr="00555117">
        <w:rPr>
          <w:rFonts w:ascii="Times New Roman" w:hAnsi="Times New Roman" w:cs="Times New Roman"/>
        </w:rPr>
        <w:t>(3), 325–351.</w:t>
      </w:r>
    </w:p>
    <w:p w14:paraId="3E20058D" w14:textId="77777777" w:rsidR="007E38AB" w:rsidRPr="00555117" w:rsidRDefault="00000000">
      <w:pPr>
        <w:pStyle w:val="Bibliography"/>
        <w:rPr>
          <w:rFonts w:ascii="Times New Roman" w:hAnsi="Times New Roman" w:cs="Times New Roman"/>
        </w:rPr>
      </w:pPr>
      <w:bookmarkStart w:id="141" w:name="ref-jonesPoliticsAttentionHow2005"/>
      <w:bookmarkEnd w:id="140"/>
      <w:r w:rsidRPr="00555117">
        <w:rPr>
          <w:rFonts w:ascii="Times New Roman" w:hAnsi="Times New Roman" w:cs="Times New Roman"/>
        </w:rPr>
        <w:t xml:space="preserve">Jones, B. D., &amp; Baumgartner, F. R. (2005b). </w:t>
      </w:r>
      <w:r w:rsidRPr="00555117">
        <w:rPr>
          <w:rFonts w:ascii="Times New Roman" w:hAnsi="Times New Roman" w:cs="Times New Roman"/>
          <w:i/>
          <w:iCs/>
        </w:rPr>
        <w:t>The Politics of Attention: How Government Prioritizes Problems</w:t>
      </w:r>
      <w:r w:rsidRPr="00555117">
        <w:rPr>
          <w:rFonts w:ascii="Times New Roman" w:hAnsi="Times New Roman" w:cs="Times New Roman"/>
        </w:rPr>
        <w:t>. University Of Chicago Press.</w:t>
      </w:r>
    </w:p>
    <w:p w14:paraId="3E20058E" w14:textId="77777777" w:rsidR="007E38AB" w:rsidRPr="00555117" w:rsidRDefault="00000000">
      <w:pPr>
        <w:pStyle w:val="Bibliography"/>
        <w:rPr>
          <w:rFonts w:ascii="Times New Roman" w:hAnsi="Times New Roman" w:cs="Times New Roman"/>
        </w:rPr>
      </w:pPr>
      <w:bookmarkStart w:id="142" w:name="ref-jonesThereHerePunctuated2012"/>
      <w:bookmarkEnd w:id="141"/>
      <w:r w:rsidRPr="00555117">
        <w:rPr>
          <w:rFonts w:ascii="Times New Roman" w:hAnsi="Times New Roman" w:cs="Times New Roman"/>
        </w:rPr>
        <w:t xml:space="preserve">Jones, B. D., &amp; Baumgartner, F. R. (2012). From There to Here: Punctuated Equilibrium to the General Punctuation Thesis to a Theory of Government Information Processing.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40</w:t>
      </w:r>
      <w:r w:rsidRPr="00555117">
        <w:rPr>
          <w:rFonts w:ascii="Times New Roman" w:hAnsi="Times New Roman" w:cs="Times New Roman"/>
        </w:rPr>
        <w:t>(1), 1–20.</w:t>
      </w:r>
    </w:p>
    <w:p w14:paraId="3E20058F" w14:textId="77777777" w:rsidR="007E38AB" w:rsidRPr="00555117" w:rsidRDefault="00000000">
      <w:pPr>
        <w:pStyle w:val="Bibliography"/>
        <w:rPr>
          <w:rFonts w:ascii="Times New Roman" w:hAnsi="Times New Roman" w:cs="Times New Roman"/>
        </w:rPr>
      </w:pPr>
      <w:bookmarkStart w:id="143" w:name="ref-jonesBoundedRationalityPublic2012"/>
      <w:bookmarkEnd w:id="142"/>
      <w:r w:rsidRPr="00555117">
        <w:rPr>
          <w:rFonts w:ascii="Times New Roman" w:hAnsi="Times New Roman" w:cs="Times New Roman"/>
        </w:rPr>
        <w:t xml:space="preserve">Jones, B. D., &amp; Thomas, H. F. (2012). Bounded Rationality and Public Policy Decision-Making. In </w:t>
      </w:r>
      <w:r w:rsidRPr="00555117">
        <w:rPr>
          <w:rFonts w:ascii="Times New Roman" w:hAnsi="Times New Roman" w:cs="Times New Roman"/>
          <w:i/>
          <w:iCs/>
        </w:rPr>
        <w:t>Routledge Handbook of Public Policy</w:t>
      </w:r>
      <w:r w:rsidRPr="00555117">
        <w:rPr>
          <w:rFonts w:ascii="Times New Roman" w:hAnsi="Times New Roman" w:cs="Times New Roman"/>
        </w:rPr>
        <w:t>. Routledge.</w:t>
      </w:r>
    </w:p>
    <w:p w14:paraId="3E200590" w14:textId="77777777" w:rsidR="007E38AB" w:rsidRPr="00555117" w:rsidRDefault="00000000">
      <w:pPr>
        <w:pStyle w:val="Bibliography"/>
        <w:rPr>
          <w:rFonts w:ascii="Times New Roman" w:hAnsi="Times New Roman" w:cs="Times New Roman"/>
        </w:rPr>
      </w:pPr>
      <w:bookmarkStart w:id="144" w:name="ref-jonesNarrativePolicyFramework2010"/>
      <w:bookmarkEnd w:id="143"/>
      <w:r w:rsidRPr="00555117">
        <w:rPr>
          <w:rFonts w:ascii="Times New Roman" w:hAnsi="Times New Roman" w:cs="Times New Roman"/>
        </w:rPr>
        <w:t xml:space="preserve">Jones, M. D., &amp; McBeth, M. K. (2010). A Narrative Policy Framework: Clear Enough to Be Wrong?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38</w:t>
      </w:r>
      <w:r w:rsidRPr="00555117">
        <w:rPr>
          <w:rFonts w:ascii="Times New Roman" w:hAnsi="Times New Roman" w:cs="Times New Roman"/>
        </w:rPr>
        <w:t>(2), 329–353.</w:t>
      </w:r>
    </w:p>
    <w:p w14:paraId="3E200591" w14:textId="77777777" w:rsidR="007E38AB" w:rsidRPr="00555117" w:rsidRDefault="00000000">
      <w:pPr>
        <w:pStyle w:val="Bibliography"/>
        <w:rPr>
          <w:rFonts w:ascii="Times New Roman" w:hAnsi="Times New Roman" w:cs="Times New Roman"/>
        </w:rPr>
      </w:pPr>
      <w:bookmarkStart w:id="145" w:name="ref-jungSeekingHighGround2024"/>
      <w:bookmarkEnd w:id="144"/>
      <w:r w:rsidRPr="00555117">
        <w:rPr>
          <w:rFonts w:ascii="Times New Roman" w:hAnsi="Times New Roman" w:cs="Times New Roman"/>
        </w:rPr>
        <w:t xml:space="preserve">Jung, Y.-H., &amp; Huang, Z.-X. (2024). Seeking the High Ground: Exploring Advocacy Groups’ Use of Policy Narratives in the Legalization of Same-Sex Marriage in Taiwan.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52</w:t>
      </w:r>
      <w:r w:rsidRPr="00555117">
        <w:rPr>
          <w:rFonts w:ascii="Times New Roman" w:hAnsi="Times New Roman" w:cs="Times New Roman"/>
        </w:rPr>
        <w:t>(3), 671–696. https://doi.org/10.1111/psj.12542</w:t>
      </w:r>
    </w:p>
    <w:p w14:paraId="3E200592" w14:textId="77777777" w:rsidR="007E38AB" w:rsidRPr="00555117" w:rsidRDefault="00000000">
      <w:pPr>
        <w:pStyle w:val="Bibliography"/>
        <w:rPr>
          <w:rFonts w:ascii="Times New Roman" w:hAnsi="Times New Roman" w:cs="Times New Roman"/>
        </w:rPr>
      </w:pPr>
      <w:bookmarkStart w:id="146" w:name="ref-kamkhajiPolicyLearningEuro2022"/>
      <w:bookmarkEnd w:id="145"/>
      <w:r w:rsidRPr="00555117">
        <w:rPr>
          <w:rFonts w:ascii="Times New Roman" w:hAnsi="Times New Roman" w:cs="Times New Roman"/>
        </w:rPr>
        <w:t xml:space="preserve">Kamkhaji, J. C. (2022). </w:t>
      </w:r>
      <w:r w:rsidRPr="00555117">
        <w:rPr>
          <w:rFonts w:ascii="Times New Roman" w:hAnsi="Times New Roman" w:cs="Times New Roman"/>
          <w:i/>
          <w:iCs/>
        </w:rPr>
        <w:t>Policy Learning and the Euro: The EU’s Responses to the Sovereign Debt Crisis</w:t>
      </w:r>
      <w:r w:rsidRPr="00555117">
        <w:rPr>
          <w:rFonts w:ascii="Times New Roman" w:hAnsi="Times New Roman" w:cs="Times New Roman"/>
        </w:rPr>
        <w:t>. Palgrave Macmillan.</w:t>
      </w:r>
    </w:p>
    <w:p w14:paraId="3E200593" w14:textId="77777777" w:rsidR="007E38AB" w:rsidRPr="00555117" w:rsidRDefault="00000000">
      <w:pPr>
        <w:pStyle w:val="Bibliography"/>
        <w:rPr>
          <w:rFonts w:ascii="Times New Roman" w:hAnsi="Times New Roman" w:cs="Times New Roman"/>
        </w:rPr>
      </w:pPr>
      <w:bookmarkStart w:id="147" w:name="ref-kamkhajiCrisisLearningPolicy2017"/>
      <w:bookmarkEnd w:id="146"/>
      <w:r w:rsidRPr="00555117">
        <w:rPr>
          <w:rFonts w:ascii="Times New Roman" w:hAnsi="Times New Roman" w:cs="Times New Roman"/>
        </w:rPr>
        <w:t xml:space="preserve">Kamkhaji, J. C., &amp; Radaelli, C. M. (2017). Crisis, Learning and Policy Change in the European Union. </w:t>
      </w:r>
      <w:r w:rsidRPr="00555117">
        <w:rPr>
          <w:rFonts w:ascii="Times New Roman" w:hAnsi="Times New Roman" w:cs="Times New Roman"/>
          <w:i/>
          <w:iCs/>
        </w:rPr>
        <w:t>Journal of European Public Policy</w:t>
      </w:r>
      <w:r w:rsidRPr="00555117">
        <w:rPr>
          <w:rFonts w:ascii="Times New Roman" w:hAnsi="Times New Roman" w:cs="Times New Roman"/>
        </w:rPr>
        <w:t xml:space="preserve">, </w:t>
      </w:r>
      <w:r w:rsidRPr="00555117">
        <w:rPr>
          <w:rFonts w:ascii="Times New Roman" w:hAnsi="Times New Roman" w:cs="Times New Roman"/>
          <w:i/>
          <w:iCs/>
        </w:rPr>
        <w:t>24</w:t>
      </w:r>
      <w:r w:rsidRPr="00555117">
        <w:rPr>
          <w:rFonts w:ascii="Times New Roman" w:hAnsi="Times New Roman" w:cs="Times New Roman"/>
        </w:rPr>
        <w:t>(5), 714–734. https://doi.org/10.1080/13501763.2016.1164744</w:t>
      </w:r>
    </w:p>
    <w:p w14:paraId="3E200594" w14:textId="77777777" w:rsidR="007E38AB" w:rsidRPr="00555117" w:rsidRDefault="00000000">
      <w:pPr>
        <w:pStyle w:val="Bibliography"/>
        <w:rPr>
          <w:rFonts w:ascii="Times New Roman" w:hAnsi="Times New Roman" w:cs="Times New Roman"/>
        </w:rPr>
      </w:pPr>
      <w:bookmarkStart w:id="148" w:name="ref-karlsenMovingContextBackground2017"/>
      <w:bookmarkEnd w:id="147"/>
      <w:r w:rsidRPr="00555117">
        <w:rPr>
          <w:rFonts w:ascii="Times New Roman" w:hAnsi="Times New Roman" w:cs="Times New Roman"/>
        </w:rPr>
        <w:t xml:space="preserve">Karlsen, J., &amp; Larrea, M. (2017). Moving Context from the Background to the Forefront of Policy Learning: Reflections on a Case in Gipuzkoa, Basque Country. </w:t>
      </w:r>
      <w:r w:rsidRPr="00555117">
        <w:rPr>
          <w:rFonts w:ascii="Times New Roman" w:hAnsi="Times New Roman" w:cs="Times New Roman"/>
          <w:i/>
          <w:iCs/>
        </w:rPr>
        <w:t>Environment and Planning C: Politics and Space</w:t>
      </w:r>
      <w:r w:rsidRPr="00555117">
        <w:rPr>
          <w:rFonts w:ascii="Times New Roman" w:hAnsi="Times New Roman" w:cs="Times New Roman"/>
        </w:rPr>
        <w:t xml:space="preserve">, </w:t>
      </w:r>
      <w:r w:rsidRPr="00555117">
        <w:rPr>
          <w:rFonts w:ascii="Times New Roman" w:hAnsi="Times New Roman" w:cs="Times New Roman"/>
          <w:i/>
          <w:iCs/>
        </w:rPr>
        <w:t>35</w:t>
      </w:r>
      <w:r w:rsidRPr="00555117">
        <w:rPr>
          <w:rFonts w:ascii="Times New Roman" w:hAnsi="Times New Roman" w:cs="Times New Roman"/>
        </w:rPr>
        <w:t>(4), 721–736. https://doi.org/10.1177/0263774X16642442</w:t>
      </w:r>
    </w:p>
    <w:p w14:paraId="3E200595" w14:textId="77777777" w:rsidR="007E38AB" w:rsidRPr="00555117" w:rsidRDefault="00000000">
      <w:pPr>
        <w:pStyle w:val="Bibliography"/>
        <w:rPr>
          <w:rFonts w:ascii="Times New Roman" w:hAnsi="Times New Roman" w:cs="Times New Roman"/>
        </w:rPr>
      </w:pPr>
      <w:bookmarkStart w:id="149" w:name="X240985fa286e7b5f65ab856527a3cc3132c5a45"/>
      <w:bookmarkEnd w:id="148"/>
      <w:r w:rsidRPr="00555117">
        <w:rPr>
          <w:rFonts w:ascii="Times New Roman" w:hAnsi="Times New Roman" w:cs="Times New Roman"/>
        </w:rPr>
        <w:t xml:space="preserve">Kaufman, H. (1969). Administrative Decentralization and Political Power. </w:t>
      </w:r>
      <w:r w:rsidRPr="00555117">
        <w:rPr>
          <w:rFonts w:ascii="Times New Roman" w:hAnsi="Times New Roman" w:cs="Times New Roman"/>
          <w:i/>
          <w:iCs/>
        </w:rPr>
        <w:t>Public Administration Review</w:t>
      </w:r>
      <w:r w:rsidRPr="00555117">
        <w:rPr>
          <w:rFonts w:ascii="Times New Roman" w:hAnsi="Times New Roman" w:cs="Times New Roman"/>
        </w:rPr>
        <w:t xml:space="preserve">, </w:t>
      </w:r>
      <w:r w:rsidRPr="00555117">
        <w:rPr>
          <w:rFonts w:ascii="Times New Roman" w:hAnsi="Times New Roman" w:cs="Times New Roman"/>
          <w:i/>
          <w:iCs/>
        </w:rPr>
        <w:t>29</w:t>
      </w:r>
      <w:r w:rsidRPr="00555117">
        <w:rPr>
          <w:rFonts w:ascii="Times New Roman" w:hAnsi="Times New Roman" w:cs="Times New Roman"/>
        </w:rPr>
        <w:t>(1), 3–15. https://doi.org/10.2307/973980</w:t>
      </w:r>
    </w:p>
    <w:p w14:paraId="3E200596" w14:textId="77777777" w:rsidR="007E38AB" w:rsidRPr="00555117" w:rsidRDefault="00000000">
      <w:pPr>
        <w:pStyle w:val="Bibliography"/>
        <w:rPr>
          <w:rFonts w:ascii="Times New Roman" w:hAnsi="Times New Roman" w:cs="Times New Roman"/>
        </w:rPr>
      </w:pPr>
      <w:bookmarkStart w:id="150" w:name="ref-kerberPolicyLearningEurope2007"/>
      <w:bookmarkEnd w:id="149"/>
      <w:r w:rsidRPr="00555117">
        <w:rPr>
          <w:rFonts w:ascii="Times New Roman" w:hAnsi="Times New Roman" w:cs="Times New Roman"/>
        </w:rPr>
        <w:t xml:space="preserve">Kerber, W., &amp; Eckardt, M. (2007). Policy Learning in Europe: The Open Method of Co-Ordination and Laboratory Federalism. </w:t>
      </w:r>
      <w:r w:rsidRPr="00555117">
        <w:rPr>
          <w:rFonts w:ascii="Times New Roman" w:hAnsi="Times New Roman" w:cs="Times New Roman"/>
          <w:i/>
          <w:iCs/>
        </w:rPr>
        <w:t>Journal of European Public Policy</w:t>
      </w:r>
      <w:r w:rsidRPr="00555117">
        <w:rPr>
          <w:rFonts w:ascii="Times New Roman" w:hAnsi="Times New Roman" w:cs="Times New Roman"/>
        </w:rPr>
        <w:t xml:space="preserve">, </w:t>
      </w:r>
      <w:r w:rsidRPr="00555117">
        <w:rPr>
          <w:rFonts w:ascii="Times New Roman" w:hAnsi="Times New Roman" w:cs="Times New Roman"/>
          <w:i/>
          <w:iCs/>
        </w:rPr>
        <w:t>14</w:t>
      </w:r>
      <w:r w:rsidRPr="00555117">
        <w:rPr>
          <w:rFonts w:ascii="Times New Roman" w:hAnsi="Times New Roman" w:cs="Times New Roman"/>
        </w:rPr>
        <w:t>(2), 227–247. https://doi.org/10.1080/13501760601122480</w:t>
      </w:r>
    </w:p>
    <w:p w14:paraId="3E200597" w14:textId="77777777" w:rsidR="007E38AB" w:rsidRPr="00555117" w:rsidRDefault="00000000">
      <w:pPr>
        <w:pStyle w:val="Bibliography"/>
        <w:rPr>
          <w:rFonts w:ascii="Times New Roman" w:hAnsi="Times New Roman" w:cs="Times New Roman"/>
        </w:rPr>
      </w:pPr>
      <w:bookmarkStart w:id="151" w:name="ref-kingdonAgendasAlternativesPublic1984"/>
      <w:bookmarkEnd w:id="150"/>
      <w:r w:rsidRPr="00555117">
        <w:rPr>
          <w:rFonts w:ascii="Times New Roman" w:hAnsi="Times New Roman" w:cs="Times New Roman"/>
        </w:rPr>
        <w:t xml:space="preserve">Kingdon, J. W. (1984). </w:t>
      </w:r>
      <w:r w:rsidRPr="00555117">
        <w:rPr>
          <w:rFonts w:ascii="Times New Roman" w:hAnsi="Times New Roman" w:cs="Times New Roman"/>
          <w:i/>
          <w:iCs/>
        </w:rPr>
        <w:t>Agendas, Alternatives and Public Policies</w:t>
      </w:r>
      <w:r w:rsidRPr="00555117">
        <w:rPr>
          <w:rFonts w:ascii="Times New Roman" w:hAnsi="Times New Roman" w:cs="Times New Roman"/>
        </w:rPr>
        <w:t>. Longman.</w:t>
      </w:r>
    </w:p>
    <w:p w14:paraId="3E200598" w14:textId="77777777" w:rsidR="007E38AB" w:rsidRPr="00555117" w:rsidRDefault="00000000">
      <w:pPr>
        <w:pStyle w:val="Bibliography"/>
        <w:rPr>
          <w:rFonts w:ascii="Times New Roman" w:hAnsi="Times New Roman" w:cs="Times New Roman"/>
        </w:rPr>
      </w:pPr>
      <w:bookmarkStart w:id="152" w:name="X787e1cd2cafdacd836cede8d1dd248eaac0f425"/>
      <w:bookmarkEnd w:id="151"/>
      <w:r w:rsidRPr="00555117">
        <w:rPr>
          <w:rFonts w:ascii="Times New Roman" w:hAnsi="Times New Roman" w:cs="Times New Roman"/>
        </w:rPr>
        <w:t xml:space="preserve">Krehbiel, K. (1991). </w:t>
      </w:r>
      <w:r w:rsidRPr="00555117">
        <w:rPr>
          <w:rFonts w:ascii="Times New Roman" w:hAnsi="Times New Roman" w:cs="Times New Roman"/>
          <w:i/>
          <w:iCs/>
        </w:rPr>
        <w:t>Information and Legislative Organization</w:t>
      </w:r>
      <w:r w:rsidRPr="00555117">
        <w:rPr>
          <w:rFonts w:ascii="Times New Roman" w:hAnsi="Times New Roman" w:cs="Times New Roman"/>
        </w:rPr>
        <w:t>. The University of Michigan Press.</w:t>
      </w:r>
    </w:p>
    <w:p w14:paraId="3E200599" w14:textId="77777777" w:rsidR="007E38AB" w:rsidRPr="00555117" w:rsidRDefault="00000000">
      <w:pPr>
        <w:pStyle w:val="Bibliography"/>
        <w:rPr>
          <w:rFonts w:ascii="Times New Roman" w:hAnsi="Times New Roman" w:cs="Times New Roman"/>
        </w:rPr>
      </w:pPr>
      <w:bookmarkStart w:id="153" w:name="ref-kuklinskiCitizenKnowledgeChoices1982"/>
      <w:bookmarkEnd w:id="152"/>
      <w:r w:rsidRPr="00555117">
        <w:rPr>
          <w:rFonts w:ascii="Times New Roman" w:hAnsi="Times New Roman" w:cs="Times New Roman"/>
        </w:rPr>
        <w:lastRenderedPageBreak/>
        <w:t xml:space="preserve">Kuklinski, J. H., Metlay, D. S., &amp; Kay, W. D. (1982). Citizen Knowledge and Choices on the Complex Issue of Nuclear Energy. </w:t>
      </w:r>
      <w:r w:rsidRPr="00555117">
        <w:rPr>
          <w:rFonts w:ascii="Times New Roman" w:hAnsi="Times New Roman" w:cs="Times New Roman"/>
          <w:i/>
          <w:iCs/>
        </w:rPr>
        <w:t>American Journal of Political Science</w:t>
      </w:r>
      <w:r w:rsidRPr="00555117">
        <w:rPr>
          <w:rFonts w:ascii="Times New Roman" w:hAnsi="Times New Roman" w:cs="Times New Roman"/>
        </w:rPr>
        <w:t xml:space="preserve">, </w:t>
      </w:r>
      <w:r w:rsidRPr="00555117">
        <w:rPr>
          <w:rFonts w:ascii="Times New Roman" w:hAnsi="Times New Roman" w:cs="Times New Roman"/>
          <w:i/>
          <w:iCs/>
        </w:rPr>
        <w:t>26</w:t>
      </w:r>
      <w:r w:rsidRPr="00555117">
        <w:rPr>
          <w:rFonts w:ascii="Times New Roman" w:hAnsi="Times New Roman" w:cs="Times New Roman"/>
        </w:rPr>
        <w:t>(4), 615–642.</w:t>
      </w:r>
    </w:p>
    <w:p w14:paraId="3E20059A" w14:textId="77777777" w:rsidR="007E38AB" w:rsidRPr="00555117" w:rsidRDefault="00000000">
      <w:pPr>
        <w:pStyle w:val="Bibliography"/>
        <w:rPr>
          <w:rFonts w:ascii="Times New Roman" w:hAnsi="Times New Roman" w:cs="Times New Roman"/>
        </w:rPr>
      </w:pPr>
      <w:bookmarkStart w:id="154" w:name="ref-kundaCaseMotivatedReasoning1990"/>
      <w:bookmarkEnd w:id="153"/>
      <w:r w:rsidRPr="00555117">
        <w:rPr>
          <w:rFonts w:ascii="Times New Roman" w:hAnsi="Times New Roman" w:cs="Times New Roman"/>
        </w:rPr>
        <w:t xml:space="preserve">Kunda, Z. (1990). The Case for Motivated Reasoning. </w:t>
      </w:r>
      <w:r w:rsidRPr="00555117">
        <w:rPr>
          <w:rFonts w:ascii="Times New Roman" w:hAnsi="Times New Roman" w:cs="Times New Roman"/>
          <w:i/>
          <w:iCs/>
        </w:rPr>
        <w:t>Psychological Bulletin</w:t>
      </w:r>
      <w:r w:rsidRPr="00555117">
        <w:rPr>
          <w:rFonts w:ascii="Times New Roman" w:hAnsi="Times New Roman" w:cs="Times New Roman"/>
        </w:rPr>
        <w:t xml:space="preserve">, </w:t>
      </w:r>
      <w:r w:rsidRPr="00555117">
        <w:rPr>
          <w:rFonts w:ascii="Times New Roman" w:hAnsi="Times New Roman" w:cs="Times New Roman"/>
          <w:i/>
          <w:iCs/>
        </w:rPr>
        <w:t>108</w:t>
      </w:r>
      <w:r w:rsidRPr="00555117">
        <w:rPr>
          <w:rFonts w:ascii="Times New Roman" w:hAnsi="Times New Roman" w:cs="Times New Roman"/>
        </w:rPr>
        <w:t>(3), 480–498.</w:t>
      </w:r>
    </w:p>
    <w:p w14:paraId="3E20059B" w14:textId="77777777" w:rsidR="007E38AB" w:rsidRPr="00555117" w:rsidRDefault="00000000">
      <w:pPr>
        <w:pStyle w:val="Bibliography"/>
        <w:rPr>
          <w:rFonts w:ascii="Times New Roman" w:hAnsi="Times New Roman" w:cs="Times New Roman"/>
        </w:rPr>
      </w:pPr>
      <w:bookmarkStart w:id="155" w:name="ref-lachmanLearningProcessImproved1997"/>
      <w:bookmarkEnd w:id="154"/>
      <w:r w:rsidRPr="00555117">
        <w:rPr>
          <w:rFonts w:ascii="Times New Roman" w:hAnsi="Times New Roman" w:cs="Times New Roman"/>
        </w:rPr>
        <w:t xml:space="preserve">Lachman, S. J. (1997). Learning is a Process: Toward an Improved Definition of Learning. </w:t>
      </w:r>
      <w:r w:rsidRPr="00555117">
        <w:rPr>
          <w:rFonts w:ascii="Times New Roman" w:hAnsi="Times New Roman" w:cs="Times New Roman"/>
          <w:i/>
          <w:iCs/>
        </w:rPr>
        <w:t>The Journal of Psychology</w:t>
      </w:r>
      <w:r w:rsidRPr="00555117">
        <w:rPr>
          <w:rFonts w:ascii="Times New Roman" w:hAnsi="Times New Roman" w:cs="Times New Roman"/>
        </w:rPr>
        <w:t xml:space="preserve">, </w:t>
      </w:r>
      <w:r w:rsidRPr="00555117">
        <w:rPr>
          <w:rFonts w:ascii="Times New Roman" w:hAnsi="Times New Roman" w:cs="Times New Roman"/>
          <w:i/>
          <w:iCs/>
        </w:rPr>
        <w:t>131</w:t>
      </w:r>
      <w:r w:rsidRPr="00555117">
        <w:rPr>
          <w:rFonts w:ascii="Times New Roman" w:hAnsi="Times New Roman" w:cs="Times New Roman"/>
        </w:rPr>
        <w:t>(5), 477–480. https://doi.org/10.1080/00223989709603535</w:t>
      </w:r>
    </w:p>
    <w:p w14:paraId="3E20059C" w14:textId="77777777" w:rsidR="007E38AB" w:rsidRPr="00555117" w:rsidRDefault="00000000">
      <w:pPr>
        <w:pStyle w:val="Bibliography"/>
        <w:rPr>
          <w:rFonts w:ascii="Times New Roman" w:hAnsi="Times New Roman" w:cs="Times New Roman"/>
        </w:rPr>
      </w:pPr>
      <w:bookmarkStart w:id="156" w:name="ref-lasswellPolicyOrientation1951"/>
      <w:bookmarkEnd w:id="155"/>
      <w:r w:rsidRPr="00555117">
        <w:rPr>
          <w:rFonts w:ascii="Times New Roman" w:hAnsi="Times New Roman" w:cs="Times New Roman"/>
        </w:rPr>
        <w:t xml:space="preserve">Lasswell, H. D. (1951). The Policy Orientation. In D. Lerner &amp; H. D. Lasswell (Eds.), </w:t>
      </w:r>
      <w:r w:rsidRPr="00555117">
        <w:rPr>
          <w:rFonts w:ascii="Times New Roman" w:hAnsi="Times New Roman" w:cs="Times New Roman"/>
          <w:i/>
          <w:iCs/>
        </w:rPr>
        <w:t>The Policy Sciences: Recent Developments in Scope and Method</w:t>
      </w:r>
      <w:r w:rsidRPr="00555117">
        <w:rPr>
          <w:rFonts w:ascii="Times New Roman" w:hAnsi="Times New Roman" w:cs="Times New Roman"/>
        </w:rPr>
        <w:t>. Stanford University Press.</w:t>
      </w:r>
    </w:p>
    <w:p w14:paraId="3E20059D" w14:textId="77777777" w:rsidR="007E38AB" w:rsidRPr="00555117" w:rsidRDefault="00000000">
      <w:pPr>
        <w:pStyle w:val="Bibliography"/>
        <w:rPr>
          <w:rFonts w:ascii="Times New Roman" w:hAnsi="Times New Roman" w:cs="Times New Roman"/>
        </w:rPr>
      </w:pPr>
      <w:bookmarkStart w:id="157" w:name="ref-lasswellEmergingConceptionPolicy1970"/>
      <w:bookmarkEnd w:id="156"/>
      <w:r w:rsidRPr="00555117">
        <w:rPr>
          <w:rFonts w:ascii="Times New Roman" w:hAnsi="Times New Roman" w:cs="Times New Roman"/>
        </w:rPr>
        <w:t xml:space="preserve">Lasswell, H. D. (1970). The Emerging Conception of the Policy Sciences. </w:t>
      </w:r>
      <w:r w:rsidRPr="00555117">
        <w:rPr>
          <w:rFonts w:ascii="Times New Roman" w:hAnsi="Times New Roman" w:cs="Times New Roman"/>
          <w:i/>
          <w:iCs/>
        </w:rPr>
        <w:t>Policy Sciences</w:t>
      </w:r>
      <w:r w:rsidRPr="00555117">
        <w:rPr>
          <w:rFonts w:ascii="Times New Roman" w:hAnsi="Times New Roman" w:cs="Times New Roman"/>
        </w:rPr>
        <w:t xml:space="preserve">, </w:t>
      </w:r>
      <w:r w:rsidRPr="00555117">
        <w:rPr>
          <w:rFonts w:ascii="Times New Roman" w:hAnsi="Times New Roman" w:cs="Times New Roman"/>
          <w:i/>
          <w:iCs/>
        </w:rPr>
        <w:t>1</w:t>
      </w:r>
      <w:r w:rsidRPr="00555117">
        <w:rPr>
          <w:rFonts w:ascii="Times New Roman" w:hAnsi="Times New Roman" w:cs="Times New Roman"/>
        </w:rPr>
        <w:t>(1), 3–14. https://www.jstor.org/stable/4531369</w:t>
      </w:r>
    </w:p>
    <w:p w14:paraId="3E20059E" w14:textId="77777777" w:rsidR="007E38AB" w:rsidRPr="00555117" w:rsidRDefault="00000000">
      <w:pPr>
        <w:pStyle w:val="Bibliography"/>
        <w:rPr>
          <w:rFonts w:ascii="Times New Roman" w:hAnsi="Times New Roman" w:cs="Times New Roman"/>
        </w:rPr>
      </w:pPr>
      <w:bookmarkStart w:id="158" w:name="ref-leePolicyLearningCrisis2020"/>
      <w:bookmarkEnd w:id="157"/>
      <w:r w:rsidRPr="00555117">
        <w:rPr>
          <w:rFonts w:ascii="Times New Roman" w:hAnsi="Times New Roman" w:cs="Times New Roman"/>
        </w:rPr>
        <w:t xml:space="preserve">Lee, S., Hwang, C., &amp; Moon, M. J. (2020). Policy Learning and Crisis Policy-Making: Quadruple-Loop Learning and COVID-19 Responses in South Korea. </w:t>
      </w:r>
      <w:r w:rsidRPr="00555117">
        <w:rPr>
          <w:rFonts w:ascii="Times New Roman" w:hAnsi="Times New Roman" w:cs="Times New Roman"/>
          <w:i/>
          <w:iCs/>
        </w:rPr>
        <w:t>Policy and Society</w:t>
      </w:r>
      <w:r w:rsidRPr="00555117">
        <w:rPr>
          <w:rFonts w:ascii="Times New Roman" w:hAnsi="Times New Roman" w:cs="Times New Roman"/>
        </w:rPr>
        <w:t xml:space="preserve">, </w:t>
      </w:r>
      <w:r w:rsidRPr="00555117">
        <w:rPr>
          <w:rFonts w:ascii="Times New Roman" w:hAnsi="Times New Roman" w:cs="Times New Roman"/>
          <w:i/>
          <w:iCs/>
        </w:rPr>
        <w:t>39</w:t>
      </w:r>
      <w:r w:rsidRPr="00555117">
        <w:rPr>
          <w:rFonts w:ascii="Times New Roman" w:hAnsi="Times New Roman" w:cs="Times New Roman"/>
        </w:rPr>
        <w:t>(3), 363–381. https://doi.org/10.1080/14494035.2020.1785195</w:t>
      </w:r>
    </w:p>
    <w:p w14:paraId="3E20059F" w14:textId="77777777" w:rsidR="007E38AB" w:rsidRPr="00555117" w:rsidRDefault="00000000">
      <w:pPr>
        <w:pStyle w:val="Bibliography"/>
        <w:rPr>
          <w:rFonts w:ascii="Times New Roman" w:hAnsi="Times New Roman" w:cs="Times New Roman"/>
        </w:rPr>
      </w:pPr>
      <w:bookmarkStart w:id="159" w:name="ref-leeWhoTeachesWho2012"/>
      <w:bookmarkEnd w:id="158"/>
      <w:r w:rsidRPr="00555117">
        <w:rPr>
          <w:rFonts w:ascii="Times New Roman" w:hAnsi="Times New Roman" w:cs="Times New Roman"/>
        </w:rPr>
        <w:t xml:space="preserve">Lee, T., &amp; Meene, S. (2012). Who Teaches and Who Learns? Policy Learning Through the C40 Cities Climate Network. </w:t>
      </w:r>
      <w:r w:rsidRPr="00555117">
        <w:rPr>
          <w:rFonts w:ascii="Times New Roman" w:hAnsi="Times New Roman" w:cs="Times New Roman"/>
          <w:i/>
          <w:iCs/>
        </w:rPr>
        <w:t>Policy Sciences</w:t>
      </w:r>
      <w:r w:rsidRPr="00555117">
        <w:rPr>
          <w:rFonts w:ascii="Times New Roman" w:hAnsi="Times New Roman" w:cs="Times New Roman"/>
        </w:rPr>
        <w:t xml:space="preserve">, </w:t>
      </w:r>
      <w:r w:rsidRPr="00555117">
        <w:rPr>
          <w:rFonts w:ascii="Times New Roman" w:hAnsi="Times New Roman" w:cs="Times New Roman"/>
          <w:i/>
          <w:iCs/>
        </w:rPr>
        <w:t>45</w:t>
      </w:r>
      <w:r w:rsidRPr="00555117">
        <w:rPr>
          <w:rFonts w:ascii="Times New Roman" w:hAnsi="Times New Roman" w:cs="Times New Roman"/>
        </w:rPr>
        <w:t>(3), 199–220.</w:t>
      </w:r>
    </w:p>
    <w:p w14:paraId="3E2005A0" w14:textId="77777777" w:rsidR="007E38AB" w:rsidRPr="00555117" w:rsidRDefault="00000000">
      <w:pPr>
        <w:pStyle w:val="Bibliography"/>
        <w:rPr>
          <w:rFonts w:ascii="Times New Roman" w:hAnsi="Times New Roman" w:cs="Times New Roman"/>
        </w:rPr>
      </w:pPr>
      <w:bookmarkStart w:id="160" w:name="ref-legrandOverseasHerePolicy2012"/>
      <w:bookmarkEnd w:id="159"/>
      <w:r w:rsidRPr="00555117">
        <w:rPr>
          <w:rFonts w:ascii="Times New Roman" w:hAnsi="Times New Roman" w:cs="Times New Roman"/>
        </w:rPr>
        <w:t xml:space="preserve">Legrand, T. (2012). Overseas and Over Here: Policy Transfer and Evidence-Based Policy-Making. </w:t>
      </w:r>
      <w:r w:rsidRPr="00555117">
        <w:rPr>
          <w:rFonts w:ascii="Times New Roman" w:hAnsi="Times New Roman" w:cs="Times New Roman"/>
          <w:i/>
          <w:iCs/>
        </w:rPr>
        <w:t>Policy Studies</w:t>
      </w:r>
      <w:r w:rsidRPr="00555117">
        <w:rPr>
          <w:rFonts w:ascii="Times New Roman" w:hAnsi="Times New Roman" w:cs="Times New Roman"/>
        </w:rPr>
        <w:t xml:space="preserve">, </w:t>
      </w:r>
      <w:r w:rsidRPr="00555117">
        <w:rPr>
          <w:rFonts w:ascii="Times New Roman" w:hAnsi="Times New Roman" w:cs="Times New Roman"/>
          <w:i/>
          <w:iCs/>
        </w:rPr>
        <w:t>33</w:t>
      </w:r>
      <w:r w:rsidRPr="00555117">
        <w:rPr>
          <w:rFonts w:ascii="Times New Roman" w:hAnsi="Times New Roman" w:cs="Times New Roman"/>
        </w:rPr>
        <w:t>(4), 329–348. https://doi.org/10.1080/01442872.2012.695945</w:t>
      </w:r>
    </w:p>
    <w:p w14:paraId="3E2005A1" w14:textId="77777777" w:rsidR="007E38AB" w:rsidRPr="00555117" w:rsidRDefault="00000000">
      <w:pPr>
        <w:pStyle w:val="Bibliography"/>
        <w:rPr>
          <w:rFonts w:ascii="Times New Roman" w:hAnsi="Times New Roman" w:cs="Times New Roman"/>
        </w:rPr>
      </w:pPr>
      <w:bookmarkStart w:id="161" w:name="ref-levyLearningForeignPolicy1994"/>
      <w:bookmarkEnd w:id="160"/>
      <w:r w:rsidRPr="00555117">
        <w:rPr>
          <w:rFonts w:ascii="Times New Roman" w:hAnsi="Times New Roman" w:cs="Times New Roman"/>
        </w:rPr>
        <w:t xml:space="preserve">Levy, J. S. (1994). Learning and Foreign Policy: Sweeping a Conceptual Minefield. </w:t>
      </w:r>
      <w:r w:rsidRPr="00555117">
        <w:rPr>
          <w:rFonts w:ascii="Times New Roman" w:hAnsi="Times New Roman" w:cs="Times New Roman"/>
          <w:i/>
          <w:iCs/>
        </w:rPr>
        <w:t>International Organization</w:t>
      </w:r>
      <w:r w:rsidRPr="00555117">
        <w:rPr>
          <w:rFonts w:ascii="Times New Roman" w:hAnsi="Times New Roman" w:cs="Times New Roman"/>
        </w:rPr>
        <w:t xml:space="preserve">, </w:t>
      </w:r>
      <w:r w:rsidRPr="00555117">
        <w:rPr>
          <w:rFonts w:ascii="Times New Roman" w:hAnsi="Times New Roman" w:cs="Times New Roman"/>
          <w:i/>
          <w:iCs/>
        </w:rPr>
        <w:t>48</w:t>
      </w:r>
      <w:r w:rsidRPr="00555117">
        <w:rPr>
          <w:rFonts w:ascii="Times New Roman" w:hAnsi="Times New Roman" w:cs="Times New Roman"/>
        </w:rPr>
        <w:t>(2), 279–312. https://doi.org/10.1017/S0020818300028198</w:t>
      </w:r>
    </w:p>
    <w:p w14:paraId="3E2005A2" w14:textId="77777777" w:rsidR="007E38AB" w:rsidRPr="00555117" w:rsidRDefault="00000000">
      <w:pPr>
        <w:pStyle w:val="Bibliography"/>
        <w:rPr>
          <w:rFonts w:ascii="Times New Roman" w:hAnsi="Times New Roman" w:cs="Times New Roman"/>
        </w:rPr>
      </w:pPr>
      <w:bookmarkStart w:id="162" w:name="ref-lindblomScienceMuddling1959"/>
      <w:bookmarkEnd w:id="161"/>
      <w:r w:rsidRPr="00555117">
        <w:rPr>
          <w:rFonts w:ascii="Times New Roman" w:hAnsi="Times New Roman" w:cs="Times New Roman"/>
        </w:rPr>
        <w:t xml:space="preserve">Lindblom, C. E. (1959). The Science of "Muddling Through". </w:t>
      </w:r>
      <w:r w:rsidRPr="00555117">
        <w:rPr>
          <w:rFonts w:ascii="Times New Roman" w:hAnsi="Times New Roman" w:cs="Times New Roman"/>
          <w:i/>
          <w:iCs/>
        </w:rPr>
        <w:t>Public Administration Review</w:t>
      </w:r>
      <w:r w:rsidRPr="00555117">
        <w:rPr>
          <w:rFonts w:ascii="Times New Roman" w:hAnsi="Times New Roman" w:cs="Times New Roman"/>
        </w:rPr>
        <w:t xml:space="preserve">, </w:t>
      </w:r>
      <w:r w:rsidRPr="00555117">
        <w:rPr>
          <w:rFonts w:ascii="Times New Roman" w:hAnsi="Times New Roman" w:cs="Times New Roman"/>
          <w:i/>
          <w:iCs/>
        </w:rPr>
        <w:t>19</w:t>
      </w:r>
      <w:r w:rsidRPr="00555117">
        <w:rPr>
          <w:rFonts w:ascii="Times New Roman" w:hAnsi="Times New Roman" w:cs="Times New Roman"/>
        </w:rPr>
        <w:t>(2), 79–88. https://doi.org/10.2307/973677</w:t>
      </w:r>
    </w:p>
    <w:p w14:paraId="3E2005A3" w14:textId="77777777" w:rsidR="007E38AB" w:rsidRPr="00555117" w:rsidRDefault="00000000">
      <w:pPr>
        <w:pStyle w:val="Bibliography"/>
        <w:rPr>
          <w:rFonts w:ascii="Times New Roman" w:hAnsi="Times New Roman" w:cs="Times New Roman"/>
        </w:rPr>
      </w:pPr>
      <w:bookmarkStart w:id="163" w:name="ref-malkamakiAcousticsPolicyLearning2021"/>
      <w:bookmarkEnd w:id="162"/>
      <w:r w:rsidRPr="00555117">
        <w:rPr>
          <w:rFonts w:ascii="Times New Roman" w:hAnsi="Times New Roman" w:cs="Times New Roman"/>
        </w:rPr>
        <w:t xml:space="preserve">Malkamäki, A., Wagner, P. M., Brockhaus, M., Toppinen, A., &amp; Ylä-Anttila, T. (2021). On the Acoustics of Policy Learning: Can Co-Participation in Policy Forums Break Up Echo Chambers?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49</w:t>
      </w:r>
      <w:r w:rsidRPr="00555117">
        <w:rPr>
          <w:rFonts w:ascii="Times New Roman" w:hAnsi="Times New Roman" w:cs="Times New Roman"/>
        </w:rPr>
        <w:t>(2), 431–456. https://doi.org/10.1111/psj.12378</w:t>
      </w:r>
    </w:p>
    <w:p w14:paraId="3E2005A4" w14:textId="77777777" w:rsidR="007E38AB" w:rsidRPr="00555117" w:rsidRDefault="00000000">
      <w:pPr>
        <w:pStyle w:val="Bibliography"/>
        <w:rPr>
          <w:rFonts w:ascii="Times New Roman" w:hAnsi="Times New Roman" w:cs="Times New Roman"/>
        </w:rPr>
      </w:pPr>
      <w:bookmarkStart w:id="164" w:name="ref-marshPolicyDiffusionPolicy2009"/>
      <w:bookmarkEnd w:id="163"/>
      <w:r w:rsidRPr="00555117">
        <w:rPr>
          <w:rFonts w:ascii="Times New Roman" w:hAnsi="Times New Roman" w:cs="Times New Roman"/>
        </w:rPr>
        <w:t xml:space="preserve">Marsh, D., &amp; Sharman, J. C. (2009). Policy Diffusion and Policy Transfer. </w:t>
      </w:r>
      <w:r w:rsidRPr="00555117">
        <w:rPr>
          <w:rFonts w:ascii="Times New Roman" w:hAnsi="Times New Roman" w:cs="Times New Roman"/>
          <w:i/>
          <w:iCs/>
        </w:rPr>
        <w:t>Policy Studies</w:t>
      </w:r>
      <w:r w:rsidRPr="00555117">
        <w:rPr>
          <w:rFonts w:ascii="Times New Roman" w:hAnsi="Times New Roman" w:cs="Times New Roman"/>
        </w:rPr>
        <w:t xml:space="preserve">, </w:t>
      </w:r>
      <w:r w:rsidRPr="00555117">
        <w:rPr>
          <w:rFonts w:ascii="Times New Roman" w:hAnsi="Times New Roman" w:cs="Times New Roman"/>
          <w:i/>
          <w:iCs/>
        </w:rPr>
        <w:t>30</w:t>
      </w:r>
      <w:r w:rsidRPr="00555117">
        <w:rPr>
          <w:rFonts w:ascii="Times New Roman" w:hAnsi="Times New Roman" w:cs="Times New Roman"/>
        </w:rPr>
        <w:t>(3), 269–288. https://doi.org/10.1080/01442870902863851</w:t>
      </w:r>
    </w:p>
    <w:p w14:paraId="3E2005A5" w14:textId="77777777" w:rsidR="007E38AB" w:rsidRPr="00555117" w:rsidRDefault="00000000">
      <w:pPr>
        <w:pStyle w:val="Bibliography"/>
        <w:rPr>
          <w:rFonts w:ascii="Times New Roman" w:hAnsi="Times New Roman" w:cs="Times New Roman"/>
        </w:rPr>
      </w:pPr>
      <w:bookmarkStart w:id="165" w:name="X1d6793f0012d2c72015446b8acf7ac53ad319d4"/>
      <w:bookmarkEnd w:id="164"/>
      <w:r w:rsidRPr="00555117">
        <w:rPr>
          <w:rFonts w:ascii="Times New Roman" w:hAnsi="Times New Roman" w:cs="Times New Roman"/>
        </w:rPr>
        <w:t xml:space="preserve">Marshall, A., &amp; Béland, D. (2019). Street-Level Bureaucrats, Policy Learning, and Refugee Resettlement: The Case of Syrian Refugees in Saskatoon, Canada. </w:t>
      </w:r>
      <w:r w:rsidRPr="00555117">
        <w:rPr>
          <w:rFonts w:ascii="Times New Roman" w:hAnsi="Times New Roman" w:cs="Times New Roman"/>
          <w:i/>
          <w:iCs/>
        </w:rPr>
        <w:t>Canadian Public Administration</w:t>
      </w:r>
      <w:r w:rsidRPr="00555117">
        <w:rPr>
          <w:rFonts w:ascii="Times New Roman" w:hAnsi="Times New Roman" w:cs="Times New Roman"/>
        </w:rPr>
        <w:t xml:space="preserve">, </w:t>
      </w:r>
      <w:r w:rsidRPr="00555117">
        <w:rPr>
          <w:rFonts w:ascii="Times New Roman" w:hAnsi="Times New Roman" w:cs="Times New Roman"/>
          <w:i/>
          <w:iCs/>
        </w:rPr>
        <w:t>62</w:t>
      </w:r>
      <w:r w:rsidRPr="00555117">
        <w:rPr>
          <w:rFonts w:ascii="Times New Roman" w:hAnsi="Times New Roman" w:cs="Times New Roman"/>
        </w:rPr>
        <w:t>(3), 393–412. https://doi.org/10.1111/capa.12339</w:t>
      </w:r>
    </w:p>
    <w:p w14:paraId="3E2005A6" w14:textId="77777777" w:rsidR="007E38AB" w:rsidRPr="00555117" w:rsidRDefault="00000000">
      <w:pPr>
        <w:pStyle w:val="Bibliography"/>
        <w:rPr>
          <w:rFonts w:ascii="Times New Roman" w:hAnsi="Times New Roman" w:cs="Times New Roman"/>
        </w:rPr>
      </w:pPr>
      <w:bookmarkStart w:id="166" w:name="ref-mavrotTaskforcesCureAll2024"/>
      <w:bookmarkEnd w:id="165"/>
      <w:r w:rsidRPr="00555117">
        <w:rPr>
          <w:rFonts w:ascii="Times New Roman" w:hAnsi="Times New Roman" w:cs="Times New Roman"/>
        </w:rPr>
        <w:t xml:space="preserve">Mavrot, C., Schlaufer, C., Hornung, J., Sager, F., Hirschi, C., &amp; Jaton, D. (2024). Taskforces: A Cure for All Ills? Policy Advisory Systems in Times of Polycrises. </w:t>
      </w:r>
      <w:r w:rsidRPr="00555117">
        <w:rPr>
          <w:rFonts w:ascii="Times New Roman" w:hAnsi="Times New Roman" w:cs="Times New Roman"/>
          <w:i/>
          <w:iCs/>
        </w:rPr>
        <w:t>Policy Design and Practice</w:t>
      </w:r>
      <w:r w:rsidRPr="00555117">
        <w:rPr>
          <w:rFonts w:ascii="Times New Roman" w:hAnsi="Times New Roman" w:cs="Times New Roman"/>
        </w:rPr>
        <w:t xml:space="preserve">, </w:t>
      </w:r>
      <w:r w:rsidRPr="00555117">
        <w:rPr>
          <w:rFonts w:ascii="Times New Roman" w:hAnsi="Times New Roman" w:cs="Times New Roman"/>
          <w:i/>
          <w:iCs/>
        </w:rPr>
        <w:t>7</w:t>
      </w:r>
      <w:r w:rsidRPr="00555117">
        <w:rPr>
          <w:rFonts w:ascii="Times New Roman" w:hAnsi="Times New Roman" w:cs="Times New Roman"/>
        </w:rPr>
        <w:t>(4), 442–455. https://doi.org/10.1080/25741292.2024.2432114</w:t>
      </w:r>
    </w:p>
    <w:p w14:paraId="3E2005A7" w14:textId="77777777" w:rsidR="007E38AB" w:rsidRPr="00555117" w:rsidRDefault="00000000">
      <w:pPr>
        <w:pStyle w:val="Bibliography"/>
        <w:rPr>
          <w:rFonts w:ascii="Times New Roman" w:hAnsi="Times New Roman" w:cs="Times New Roman"/>
        </w:rPr>
      </w:pPr>
      <w:bookmarkStart w:id="167" w:name="ref-mayPolicyLearningFailure1992"/>
      <w:bookmarkEnd w:id="166"/>
      <w:r w:rsidRPr="00555117">
        <w:rPr>
          <w:rFonts w:ascii="Times New Roman" w:hAnsi="Times New Roman" w:cs="Times New Roman"/>
        </w:rPr>
        <w:t xml:space="preserve">May, P. J. (1992). Policy Learning and Failure. </w:t>
      </w:r>
      <w:r w:rsidRPr="00555117">
        <w:rPr>
          <w:rFonts w:ascii="Times New Roman" w:hAnsi="Times New Roman" w:cs="Times New Roman"/>
          <w:i/>
          <w:iCs/>
        </w:rPr>
        <w:t>Journal of Public Policy</w:t>
      </w:r>
      <w:r w:rsidRPr="00555117">
        <w:rPr>
          <w:rFonts w:ascii="Times New Roman" w:hAnsi="Times New Roman" w:cs="Times New Roman"/>
        </w:rPr>
        <w:t xml:space="preserve">, </w:t>
      </w:r>
      <w:r w:rsidRPr="00555117">
        <w:rPr>
          <w:rFonts w:ascii="Times New Roman" w:hAnsi="Times New Roman" w:cs="Times New Roman"/>
          <w:i/>
          <w:iCs/>
        </w:rPr>
        <w:t>12</w:t>
      </w:r>
      <w:r w:rsidRPr="00555117">
        <w:rPr>
          <w:rFonts w:ascii="Times New Roman" w:hAnsi="Times New Roman" w:cs="Times New Roman"/>
        </w:rPr>
        <w:t>(4), 331–354.</w:t>
      </w:r>
    </w:p>
    <w:p w14:paraId="3E2005A8" w14:textId="77777777" w:rsidR="007E38AB" w:rsidRPr="00555117" w:rsidRDefault="00000000">
      <w:pPr>
        <w:pStyle w:val="Bibliography"/>
        <w:rPr>
          <w:rFonts w:ascii="Times New Roman" w:hAnsi="Times New Roman" w:cs="Times New Roman"/>
        </w:rPr>
      </w:pPr>
      <w:bookmarkStart w:id="168" w:name="ref-mcbethPoliticalIdeologyNuclear2023"/>
      <w:bookmarkEnd w:id="167"/>
      <w:r w:rsidRPr="00555117">
        <w:rPr>
          <w:rFonts w:ascii="Times New Roman" w:hAnsi="Times New Roman" w:cs="Times New Roman"/>
        </w:rPr>
        <w:t xml:space="preserve">McBeth, M. K., Warnement Wrobel, M., &amp; van Woerden, I. (2023). Political Ideology and Nuclear Energy: Perception, Proximity, and Trust. </w:t>
      </w:r>
      <w:r w:rsidRPr="00555117">
        <w:rPr>
          <w:rFonts w:ascii="Times New Roman" w:hAnsi="Times New Roman" w:cs="Times New Roman"/>
          <w:i/>
          <w:iCs/>
        </w:rPr>
        <w:t>Review of Policy Research</w:t>
      </w:r>
      <w:r w:rsidRPr="00555117">
        <w:rPr>
          <w:rFonts w:ascii="Times New Roman" w:hAnsi="Times New Roman" w:cs="Times New Roman"/>
        </w:rPr>
        <w:t xml:space="preserve">, </w:t>
      </w:r>
      <w:r w:rsidRPr="00555117">
        <w:rPr>
          <w:rFonts w:ascii="Times New Roman" w:hAnsi="Times New Roman" w:cs="Times New Roman"/>
          <w:i/>
          <w:iCs/>
        </w:rPr>
        <w:t>40</w:t>
      </w:r>
      <w:r w:rsidRPr="00555117">
        <w:rPr>
          <w:rFonts w:ascii="Times New Roman" w:hAnsi="Times New Roman" w:cs="Times New Roman"/>
        </w:rPr>
        <w:t>(1), 88–118. https://doi.org/10.1111/ropr.12489</w:t>
      </w:r>
    </w:p>
    <w:p w14:paraId="3E2005A9" w14:textId="77777777" w:rsidR="007E38AB" w:rsidRPr="00555117" w:rsidRDefault="00000000">
      <w:pPr>
        <w:pStyle w:val="Bibliography"/>
        <w:rPr>
          <w:rFonts w:ascii="Times New Roman" w:hAnsi="Times New Roman" w:cs="Times New Roman"/>
        </w:rPr>
      </w:pPr>
      <w:bookmarkStart w:id="169" w:name="ref-meseguerWhatRoleLearning2004a"/>
      <w:bookmarkEnd w:id="168"/>
      <w:r w:rsidRPr="00555117">
        <w:rPr>
          <w:rFonts w:ascii="Times New Roman" w:hAnsi="Times New Roman" w:cs="Times New Roman"/>
        </w:rPr>
        <w:t xml:space="preserve">Meseguer, C. (2004). What Role for Learning? The Diffusion of Privatisation in OECD and Latin American Countries. </w:t>
      </w:r>
      <w:r w:rsidRPr="00555117">
        <w:rPr>
          <w:rFonts w:ascii="Times New Roman" w:hAnsi="Times New Roman" w:cs="Times New Roman"/>
          <w:i/>
          <w:iCs/>
        </w:rPr>
        <w:t>Journal of Public Policy</w:t>
      </w:r>
      <w:r w:rsidRPr="00555117">
        <w:rPr>
          <w:rFonts w:ascii="Times New Roman" w:hAnsi="Times New Roman" w:cs="Times New Roman"/>
        </w:rPr>
        <w:t xml:space="preserve">, </w:t>
      </w:r>
      <w:r w:rsidRPr="00555117">
        <w:rPr>
          <w:rFonts w:ascii="Times New Roman" w:hAnsi="Times New Roman" w:cs="Times New Roman"/>
          <w:i/>
          <w:iCs/>
        </w:rPr>
        <w:t>24</w:t>
      </w:r>
      <w:r w:rsidRPr="00555117">
        <w:rPr>
          <w:rFonts w:ascii="Times New Roman" w:hAnsi="Times New Roman" w:cs="Times New Roman"/>
        </w:rPr>
        <w:t>(3), 299–325. https://doi.org/10.1017/S0143814X04000182</w:t>
      </w:r>
    </w:p>
    <w:p w14:paraId="3E2005AA" w14:textId="77777777" w:rsidR="007E38AB" w:rsidRPr="00555117" w:rsidRDefault="00000000">
      <w:pPr>
        <w:pStyle w:val="Bibliography"/>
        <w:rPr>
          <w:rFonts w:ascii="Times New Roman" w:hAnsi="Times New Roman" w:cs="Times New Roman"/>
        </w:rPr>
      </w:pPr>
      <w:bookmarkStart w:id="170" w:name="ref-meseguerPolicyLearningPolicy2005"/>
      <w:bookmarkEnd w:id="169"/>
      <w:r w:rsidRPr="00555117">
        <w:rPr>
          <w:rFonts w:ascii="Times New Roman" w:hAnsi="Times New Roman" w:cs="Times New Roman"/>
        </w:rPr>
        <w:lastRenderedPageBreak/>
        <w:t xml:space="preserve">Meseguer, C. (2005). Policy Learning, Policy Diffusion, and the Making of a New Order. </w:t>
      </w:r>
      <w:r w:rsidRPr="00555117">
        <w:rPr>
          <w:rFonts w:ascii="Times New Roman" w:hAnsi="Times New Roman" w:cs="Times New Roman"/>
          <w:i/>
          <w:iCs/>
        </w:rPr>
        <w:t>The ANNALS of the American Academy of Political and Social Science</w:t>
      </w:r>
      <w:r w:rsidRPr="00555117">
        <w:rPr>
          <w:rFonts w:ascii="Times New Roman" w:hAnsi="Times New Roman" w:cs="Times New Roman"/>
        </w:rPr>
        <w:t xml:space="preserve">, </w:t>
      </w:r>
      <w:r w:rsidRPr="00555117">
        <w:rPr>
          <w:rFonts w:ascii="Times New Roman" w:hAnsi="Times New Roman" w:cs="Times New Roman"/>
          <w:i/>
          <w:iCs/>
        </w:rPr>
        <w:t>598</w:t>
      </w:r>
      <w:r w:rsidRPr="00555117">
        <w:rPr>
          <w:rFonts w:ascii="Times New Roman" w:hAnsi="Times New Roman" w:cs="Times New Roman"/>
        </w:rPr>
        <w:t>(1), 67–82. https://doi.org/10.1177/0002716204272372</w:t>
      </w:r>
    </w:p>
    <w:p w14:paraId="3E2005AB" w14:textId="77777777" w:rsidR="007E38AB" w:rsidRPr="00555117" w:rsidRDefault="00000000">
      <w:pPr>
        <w:pStyle w:val="Bibliography"/>
        <w:rPr>
          <w:rFonts w:ascii="Times New Roman" w:hAnsi="Times New Roman" w:cs="Times New Roman"/>
        </w:rPr>
      </w:pPr>
      <w:bookmarkStart w:id="171" w:name="Xecf3c9f527dae2ce18df03b1945578cd9af4e06"/>
      <w:bookmarkEnd w:id="170"/>
      <w:r w:rsidRPr="00555117">
        <w:rPr>
          <w:rFonts w:ascii="Times New Roman" w:hAnsi="Times New Roman" w:cs="Times New Roman"/>
        </w:rPr>
        <w:t xml:space="preserve">Migone, A., Howlett, M., &amp; Howlett, A. (2024). Paradigmatic Stability, Ideational Robustness, and Policy Persistence: Exploring the Impact of Policy Ideas on Policy-Making. </w:t>
      </w:r>
      <w:r w:rsidRPr="00555117">
        <w:rPr>
          <w:rFonts w:ascii="Times New Roman" w:hAnsi="Times New Roman" w:cs="Times New Roman"/>
          <w:i/>
          <w:iCs/>
        </w:rPr>
        <w:t>Policy and Society</w:t>
      </w:r>
      <w:r w:rsidRPr="00555117">
        <w:rPr>
          <w:rFonts w:ascii="Times New Roman" w:hAnsi="Times New Roman" w:cs="Times New Roman"/>
        </w:rPr>
        <w:t xml:space="preserve">, </w:t>
      </w:r>
      <w:r w:rsidRPr="00555117">
        <w:rPr>
          <w:rFonts w:ascii="Times New Roman" w:hAnsi="Times New Roman" w:cs="Times New Roman"/>
          <w:i/>
          <w:iCs/>
        </w:rPr>
        <w:t>43</w:t>
      </w:r>
      <w:r w:rsidRPr="00555117">
        <w:rPr>
          <w:rFonts w:ascii="Times New Roman" w:hAnsi="Times New Roman" w:cs="Times New Roman"/>
        </w:rPr>
        <w:t>(2), 189–203. https://doi.org/10.1093/polsoc/puae004</w:t>
      </w:r>
    </w:p>
    <w:p w14:paraId="3E2005AC" w14:textId="77777777" w:rsidR="007E38AB" w:rsidRPr="00555117" w:rsidRDefault="00000000">
      <w:pPr>
        <w:pStyle w:val="Bibliography"/>
        <w:rPr>
          <w:rFonts w:ascii="Times New Roman" w:hAnsi="Times New Roman" w:cs="Times New Roman"/>
        </w:rPr>
      </w:pPr>
      <w:bookmarkStart w:id="172" w:name="ref-mockPolicyLearningFace2024"/>
      <w:bookmarkEnd w:id="171"/>
      <w:r w:rsidRPr="00555117">
        <w:rPr>
          <w:rFonts w:ascii="Times New Roman" w:hAnsi="Times New Roman" w:cs="Times New Roman"/>
        </w:rPr>
        <w:t xml:space="preserve">Möck, M., &amp; Feindt, P. H. (2024). Policy Learning in the Face of Ambiguity: Puzzling and Powering in Multiple Streams. </w:t>
      </w:r>
      <w:r w:rsidRPr="00555117">
        <w:rPr>
          <w:rFonts w:ascii="Times New Roman" w:hAnsi="Times New Roman" w:cs="Times New Roman"/>
          <w:i/>
          <w:iCs/>
        </w:rPr>
        <w:t>International Review of Public Policy</w:t>
      </w:r>
      <w:r w:rsidRPr="00555117">
        <w:rPr>
          <w:rFonts w:ascii="Times New Roman" w:hAnsi="Times New Roman" w:cs="Times New Roman"/>
        </w:rPr>
        <w:t xml:space="preserve">, </w:t>
      </w:r>
      <w:r w:rsidRPr="00555117">
        <w:rPr>
          <w:rFonts w:ascii="Times New Roman" w:hAnsi="Times New Roman" w:cs="Times New Roman"/>
          <w:i/>
          <w:iCs/>
        </w:rPr>
        <w:t>6</w:t>
      </w:r>
      <w:r w:rsidRPr="00555117">
        <w:rPr>
          <w:rFonts w:ascii="Times New Roman" w:hAnsi="Times New Roman" w:cs="Times New Roman"/>
        </w:rPr>
        <w:t>(2). https://doi.org/10.4000/130zk</w:t>
      </w:r>
    </w:p>
    <w:p w14:paraId="3E2005AD" w14:textId="77777777" w:rsidR="007E38AB" w:rsidRPr="00555117" w:rsidRDefault="00000000">
      <w:pPr>
        <w:pStyle w:val="Bibliography"/>
        <w:rPr>
          <w:rFonts w:ascii="Times New Roman" w:hAnsi="Times New Roman" w:cs="Times New Roman"/>
        </w:rPr>
      </w:pPr>
      <w:bookmarkStart w:id="173" w:name="Xf934e9cd72efa5d5444ac11b59840ba32108912"/>
      <w:bookmarkEnd w:id="172"/>
      <w:r w:rsidRPr="00555117">
        <w:rPr>
          <w:rFonts w:ascii="Times New Roman" w:hAnsi="Times New Roman" w:cs="Times New Roman"/>
        </w:rPr>
        <w:t xml:space="preserve">Motta, M. J. (2018). Policy Diffusion and Directionality: Tracing Early Adoption of Offshore Wind Policy. </w:t>
      </w:r>
      <w:r w:rsidRPr="00555117">
        <w:rPr>
          <w:rFonts w:ascii="Times New Roman" w:hAnsi="Times New Roman" w:cs="Times New Roman"/>
          <w:i/>
          <w:iCs/>
        </w:rPr>
        <w:t>Review of Policy Research</w:t>
      </w:r>
      <w:r w:rsidRPr="00555117">
        <w:rPr>
          <w:rFonts w:ascii="Times New Roman" w:hAnsi="Times New Roman" w:cs="Times New Roman"/>
        </w:rPr>
        <w:t xml:space="preserve">, </w:t>
      </w:r>
      <w:r w:rsidRPr="00555117">
        <w:rPr>
          <w:rFonts w:ascii="Times New Roman" w:hAnsi="Times New Roman" w:cs="Times New Roman"/>
          <w:i/>
          <w:iCs/>
        </w:rPr>
        <w:t>35</w:t>
      </w:r>
      <w:r w:rsidRPr="00555117">
        <w:rPr>
          <w:rFonts w:ascii="Times New Roman" w:hAnsi="Times New Roman" w:cs="Times New Roman"/>
        </w:rPr>
        <w:t>(3), 398–421. https://doi.org/10.1111/ropr.12281</w:t>
      </w:r>
    </w:p>
    <w:p w14:paraId="3E2005AE" w14:textId="77777777" w:rsidR="007E38AB" w:rsidRPr="00555117" w:rsidRDefault="00000000">
      <w:pPr>
        <w:pStyle w:val="Bibliography"/>
        <w:rPr>
          <w:rFonts w:ascii="Times New Roman" w:hAnsi="Times New Roman" w:cs="Times New Roman"/>
        </w:rPr>
      </w:pPr>
      <w:bookmarkStart w:id="174" w:name="ref-moysonCognitionPolicyChange2017"/>
      <w:bookmarkEnd w:id="173"/>
      <w:r w:rsidRPr="00555117">
        <w:rPr>
          <w:rFonts w:ascii="Times New Roman" w:hAnsi="Times New Roman" w:cs="Times New Roman"/>
        </w:rPr>
        <w:t xml:space="preserve">Moyson, S. (2017). Cognition and Policy Change: The Consistency of Policy Learning in the Advocacy Coalition Framework. </w:t>
      </w:r>
      <w:r w:rsidRPr="00555117">
        <w:rPr>
          <w:rFonts w:ascii="Times New Roman" w:hAnsi="Times New Roman" w:cs="Times New Roman"/>
          <w:i/>
          <w:iCs/>
        </w:rPr>
        <w:t>Policy and Society</w:t>
      </w:r>
      <w:r w:rsidRPr="00555117">
        <w:rPr>
          <w:rFonts w:ascii="Times New Roman" w:hAnsi="Times New Roman" w:cs="Times New Roman"/>
        </w:rPr>
        <w:t xml:space="preserve">, </w:t>
      </w:r>
      <w:r w:rsidRPr="00555117">
        <w:rPr>
          <w:rFonts w:ascii="Times New Roman" w:hAnsi="Times New Roman" w:cs="Times New Roman"/>
          <w:i/>
          <w:iCs/>
        </w:rPr>
        <w:t>36</w:t>
      </w:r>
      <w:r w:rsidRPr="00555117">
        <w:rPr>
          <w:rFonts w:ascii="Times New Roman" w:hAnsi="Times New Roman" w:cs="Times New Roman"/>
        </w:rPr>
        <w:t>(2), 320–344. https://doi.org/10.1080/14494035.2017.1322259</w:t>
      </w:r>
    </w:p>
    <w:p w14:paraId="3E2005AF" w14:textId="77777777" w:rsidR="007E38AB" w:rsidRPr="00555117" w:rsidRDefault="00000000">
      <w:pPr>
        <w:pStyle w:val="Bibliography"/>
        <w:rPr>
          <w:rFonts w:ascii="Times New Roman" w:hAnsi="Times New Roman" w:cs="Times New Roman"/>
        </w:rPr>
      </w:pPr>
      <w:bookmarkStart w:id="175" w:name="ref-moysonPolicyLearningDecade2018"/>
      <w:bookmarkEnd w:id="174"/>
      <w:r w:rsidRPr="00555117">
        <w:rPr>
          <w:rFonts w:ascii="Times New Roman" w:hAnsi="Times New Roman" w:cs="Times New Roman"/>
        </w:rPr>
        <w:t xml:space="preserve">Moyson, S. (2018). Policy Learning Over a Decade or More and the Role of Interests Therein: The European Liberalization Policy Process of Belgian Network Industries. </w:t>
      </w:r>
      <w:r w:rsidRPr="00555117">
        <w:rPr>
          <w:rFonts w:ascii="Times New Roman" w:hAnsi="Times New Roman" w:cs="Times New Roman"/>
          <w:i/>
          <w:iCs/>
        </w:rPr>
        <w:t>Public Policy and Administration</w:t>
      </w:r>
      <w:r w:rsidRPr="00555117">
        <w:rPr>
          <w:rFonts w:ascii="Times New Roman" w:hAnsi="Times New Roman" w:cs="Times New Roman"/>
        </w:rPr>
        <w:t xml:space="preserve">, </w:t>
      </w:r>
      <w:r w:rsidRPr="00555117">
        <w:rPr>
          <w:rFonts w:ascii="Times New Roman" w:hAnsi="Times New Roman" w:cs="Times New Roman"/>
          <w:i/>
          <w:iCs/>
        </w:rPr>
        <w:t>33</w:t>
      </w:r>
      <w:r w:rsidRPr="00555117">
        <w:rPr>
          <w:rFonts w:ascii="Times New Roman" w:hAnsi="Times New Roman" w:cs="Times New Roman"/>
        </w:rPr>
        <w:t>(1), 88–117. https://doi.org/10.1177/0952076716681206</w:t>
      </w:r>
    </w:p>
    <w:p w14:paraId="3E2005B0" w14:textId="77777777" w:rsidR="007E38AB" w:rsidRPr="00555117" w:rsidRDefault="00000000">
      <w:pPr>
        <w:pStyle w:val="Bibliography"/>
        <w:rPr>
          <w:rFonts w:ascii="Times New Roman" w:hAnsi="Times New Roman" w:cs="Times New Roman"/>
        </w:rPr>
      </w:pPr>
      <w:bookmarkStart w:id="176" w:name="ref-moysonPolicyLearningPolicy2017"/>
      <w:bookmarkEnd w:id="175"/>
      <w:r w:rsidRPr="00555117">
        <w:rPr>
          <w:rFonts w:ascii="Times New Roman" w:hAnsi="Times New Roman" w:cs="Times New Roman"/>
        </w:rPr>
        <w:t xml:space="preserve">Moyson, S., Scholten, P., &amp; Weible, C. M. (2017). Policy Learning and Policy Change: Theorizing Their Relations from Different Perspectives. </w:t>
      </w:r>
      <w:r w:rsidRPr="00555117">
        <w:rPr>
          <w:rFonts w:ascii="Times New Roman" w:hAnsi="Times New Roman" w:cs="Times New Roman"/>
          <w:i/>
          <w:iCs/>
        </w:rPr>
        <w:t>Policy and Society</w:t>
      </w:r>
      <w:r w:rsidRPr="00555117">
        <w:rPr>
          <w:rFonts w:ascii="Times New Roman" w:hAnsi="Times New Roman" w:cs="Times New Roman"/>
        </w:rPr>
        <w:t xml:space="preserve">, </w:t>
      </w:r>
      <w:r w:rsidRPr="00555117">
        <w:rPr>
          <w:rFonts w:ascii="Times New Roman" w:hAnsi="Times New Roman" w:cs="Times New Roman"/>
          <w:i/>
          <w:iCs/>
        </w:rPr>
        <w:t>36</w:t>
      </w:r>
      <w:r w:rsidRPr="00555117">
        <w:rPr>
          <w:rFonts w:ascii="Times New Roman" w:hAnsi="Times New Roman" w:cs="Times New Roman"/>
        </w:rPr>
        <w:t>(2), 161–177. https://doi.org/10.1080/14494035.2017.1331879</w:t>
      </w:r>
    </w:p>
    <w:p w14:paraId="3E2005B1" w14:textId="77777777" w:rsidR="007E38AB" w:rsidRPr="00555117" w:rsidRDefault="00000000">
      <w:pPr>
        <w:pStyle w:val="Bibliography"/>
        <w:rPr>
          <w:rFonts w:ascii="Times New Roman" w:hAnsi="Times New Roman" w:cs="Times New Roman"/>
        </w:rPr>
      </w:pPr>
      <w:bookmarkStart w:id="177" w:name="ref-nairHowGovernmentsLearn2024"/>
      <w:bookmarkEnd w:id="176"/>
      <w:r w:rsidRPr="00555117">
        <w:rPr>
          <w:rFonts w:ascii="Times New Roman" w:hAnsi="Times New Roman" w:cs="Times New Roman"/>
        </w:rPr>
        <w:t xml:space="preserve">Nair, S., &amp; Garg, A. (2024). How Do Governments Learn from Ad Hoc Groups During Crises? From SARS to COVID-19. </w:t>
      </w:r>
      <w:r w:rsidRPr="00555117">
        <w:rPr>
          <w:rFonts w:ascii="Times New Roman" w:hAnsi="Times New Roman" w:cs="Times New Roman"/>
          <w:i/>
          <w:iCs/>
        </w:rPr>
        <w:t>Policy &amp; Politics</w:t>
      </w:r>
      <w:r w:rsidRPr="00555117">
        <w:rPr>
          <w:rFonts w:ascii="Times New Roman" w:hAnsi="Times New Roman" w:cs="Times New Roman"/>
        </w:rPr>
        <w:t xml:space="preserve">, </w:t>
      </w:r>
      <w:r w:rsidRPr="00555117">
        <w:rPr>
          <w:rFonts w:ascii="Times New Roman" w:hAnsi="Times New Roman" w:cs="Times New Roman"/>
          <w:i/>
          <w:iCs/>
        </w:rPr>
        <w:t>52</w:t>
      </w:r>
      <w:r w:rsidRPr="00555117">
        <w:rPr>
          <w:rFonts w:ascii="Times New Roman" w:hAnsi="Times New Roman" w:cs="Times New Roman"/>
        </w:rPr>
        <w:t>(4), 625–647. https://doi.org/10.1332/03055736Y2023D000000011</w:t>
      </w:r>
    </w:p>
    <w:p w14:paraId="3E2005B2" w14:textId="77777777" w:rsidR="007E38AB" w:rsidRPr="00555117" w:rsidRDefault="00000000">
      <w:pPr>
        <w:pStyle w:val="Bibliography"/>
        <w:rPr>
          <w:rFonts w:ascii="Times New Roman" w:hAnsi="Times New Roman" w:cs="Times New Roman"/>
        </w:rPr>
      </w:pPr>
      <w:bookmarkStart w:id="178" w:name="ref-newmanBritishColumbiasFast2017"/>
      <w:bookmarkEnd w:id="177"/>
      <w:r w:rsidRPr="00555117">
        <w:rPr>
          <w:rFonts w:ascii="Times New Roman" w:hAnsi="Times New Roman" w:cs="Times New Roman"/>
        </w:rPr>
        <w:t xml:space="preserve">Newman, J., &amp; Bird, M. G. (2017). British Columbia’s Fast Ferries and Sydney’s Airport Link: Partisan Barriers to Learning from Policy Failure. </w:t>
      </w:r>
      <w:r w:rsidRPr="00555117">
        <w:rPr>
          <w:rFonts w:ascii="Times New Roman" w:hAnsi="Times New Roman" w:cs="Times New Roman"/>
          <w:i/>
          <w:iCs/>
        </w:rPr>
        <w:t>Policy &amp; Politics</w:t>
      </w:r>
      <w:r w:rsidRPr="00555117">
        <w:rPr>
          <w:rFonts w:ascii="Times New Roman" w:hAnsi="Times New Roman" w:cs="Times New Roman"/>
        </w:rPr>
        <w:t xml:space="preserve">, </w:t>
      </w:r>
      <w:r w:rsidRPr="00555117">
        <w:rPr>
          <w:rFonts w:ascii="Times New Roman" w:hAnsi="Times New Roman" w:cs="Times New Roman"/>
          <w:i/>
          <w:iCs/>
        </w:rPr>
        <w:t>45</w:t>
      </w:r>
      <w:r w:rsidRPr="00555117">
        <w:rPr>
          <w:rFonts w:ascii="Times New Roman" w:hAnsi="Times New Roman" w:cs="Times New Roman"/>
        </w:rPr>
        <w:t>(1), 71–85. https://doi.org/10.1332/030557316X14748942689774</w:t>
      </w:r>
    </w:p>
    <w:p w14:paraId="3E2005B3" w14:textId="77777777" w:rsidR="007E38AB" w:rsidRPr="00555117" w:rsidRDefault="00000000">
      <w:pPr>
        <w:pStyle w:val="Bibliography"/>
        <w:rPr>
          <w:rFonts w:ascii="Times New Roman" w:hAnsi="Times New Roman" w:cs="Times New Roman"/>
        </w:rPr>
      </w:pPr>
      <w:bookmarkStart w:id="179" w:name="X089de35a9783751684dbcba69f485659363266c"/>
      <w:bookmarkEnd w:id="178"/>
      <w:r w:rsidRPr="00555117">
        <w:rPr>
          <w:rFonts w:ascii="Times New Roman" w:hAnsi="Times New Roman" w:cs="Times New Roman"/>
        </w:rPr>
        <w:t xml:space="preserve">Niskanen, W. A. (1971). </w:t>
      </w:r>
      <w:r w:rsidRPr="00555117">
        <w:rPr>
          <w:rFonts w:ascii="Times New Roman" w:hAnsi="Times New Roman" w:cs="Times New Roman"/>
          <w:i/>
          <w:iCs/>
        </w:rPr>
        <w:t>Bureaucracy and Representative Government</w:t>
      </w:r>
      <w:r w:rsidRPr="00555117">
        <w:rPr>
          <w:rFonts w:ascii="Times New Roman" w:hAnsi="Times New Roman" w:cs="Times New Roman"/>
        </w:rPr>
        <w:t>. Aldine Atherton.</w:t>
      </w:r>
    </w:p>
    <w:p w14:paraId="3E2005B4" w14:textId="77777777" w:rsidR="007E38AB" w:rsidRPr="00555117" w:rsidRDefault="00000000">
      <w:pPr>
        <w:pStyle w:val="Bibliography"/>
        <w:rPr>
          <w:rFonts w:ascii="Times New Roman" w:hAnsi="Times New Roman" w:cs="Times New Roman"/>
        </w:rPr>
      </w:pPr>
      <w:bookmarkStart w:id="180" w:name="X3b158972cbdaa45d56667a7f2c1f74a2ffefad4"/>
      <w:bookmarkEnd w:id="179"/>
      <w:r w:rsidRPr="00555117">
        <w:rPr>
          <w:rFonts w:ascii="Times New Roman" w:hAnsi="Times New Roman" w:cs="Times New Roman"/>
        </w:rPr>
        <w:t xml:space="preserve">Nohrstedt, D., Ingold, K., Weible, C. M., Koebele, E. A., Olofsson, K. L., Satoh, K., &amp; Jenkins-Smith, H. C. (2023). The Advocacy Coalition Framework: Progress and Emerging Areas. In C. M. Weible (Ed.), </w:t>
      </w:r>
      <w:r w:rsidRPr="00555117">
        <w:rPr>
          <w:rFonts w:ascii="Times New Roman" w:hAnsi="Times New Roman" w:cs="Times New Roman"/>
          <w:i/>
          <w:iCs/>
        </w:rPr>
        <w:t>Theories Of The Policy Process</w:t>
      </w:r>
      <w:r w:rsidRPr="00555117">
        <w:rPr>
          <w:rFonts w:ascii="Times New Roman" w:hAnsi="Times New Roman" w:cs="Times New Roman"/>
        </w:rPr>
        <w:t xml:space="preserve"> (5th ed., pp. 130–160). Routledge.</w:t>
      </w:r>
    </w:p>
    <w:p w14:paraId="3E2005B5" w14:textId="77777777" w:rsidR="007E38AB" w:rsidRPr="00555117" w:rsidRDefault="00000000">
      <w:pPr>
        <w:pStyle w:val="Bibliography"/>
        <w:rPr>
          <w:rFonts w:ascii="Times New Roman" w:hAnsi="Times New Roman" w:cs="Times New Roman"/>
        </w:rPr>
      </w:pPr>
      <w:bookmarkStart w:id="181" w:name="ref-nohrstedtLogicPolicyChange2010"/>
      <w:bookmarkEnd w:id="180"/>
      <w:r w:rsidRPr="00555117">
        <w:rPr>
          <w:rFonts w:ascii="Times New Roman" w:hAnsi="Times New Roman" w:cs="Times New Roman"/>
        </w:rPr>
        <w:t xml:space="preserve">Nohrstedt, D., &amp; Weible, C. M. (2010). The Logic of Policy Change after Crisis: Proximity and Subsystem Interaction. </w:t>
      </w:r>
      <w:r w:rsidRPr="00555117">
        <w:rPr>
          <w:rFonts w:ascii="Times New Roman" w:hAnsi="Times New Roman" w:cs="Times New Roman"/>
          <w:i/>
          <w:iCs/>
        </w:rPr>
        <w:t>Risk, Hazards &amp; Crisis in Public Policy</w:t>
      </w:r>
      <w:r w:rsidRPr="00555117">
        <w:rPr>
          <w:rFonts w:ascii="Times New Roman" w:hAnsi="Times New Roman" w:cs="Times New Roman"/>
        </w:rPr>
        <w:t xml:space="preserve">, </w:t>
      </w:r>
      <w:r w:rsidRPr="00555117">
        <w:rPr>
          <w:rFonts w:ascii="Times New Roman" w:hAnsi="Times New Roman" w:cs="Times New Roman"/>
          <w:i/>
          <w:iCs/>
        </w:rPr>
        <w:t>1</w:t>
      </w:r>
      <w:r w:rsidRPr="00555117">
        <w:rPr>
          <w:rFonts w:ascii="Times New Roman" w:hAnsi="Times New Roman" w:cs="Times New Roman"/>
        </w:rPr>
        <w:t>(2).</w:t>
      </w:r>
    </w:p>
    <w:p w14:paraId="3E2005B6" w14:textId="77777777" w:rsidR="007E38AB" w:rsidRPr="00555117" w:rsidRDefault="00000000">
      <w:pPr>
        <w:pStyle w:val="Bibliography"/>
        <w:rPr>
          <w:rFonts w:ascii="Times New Roman" w:hAnsi="Times New Roman" w:cs="Times New Roman"/>
        </w:rPr>
      </w:pPr>
      <w:bookmarkStart w:id="182" w:name="ref-nowlinModelingIssueDefinitions2016"/>
      <w:bookmarkEnd w:id="181"/>
      <w:r w:rsidRPr="00555117">
        <w:rPr>
          <w:rFonts w:ascii="Times New Roman" w:hAnsi="Times New Roman" w:cs="Times New Roman"/>
        </w:rPr>
        <w:t xml:space="preserve">Nowlin, M. C. (2016). Modeling Issue Definitions Using Quantitative Text Analysis.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44</w:t>
      </w:r>
      <w:r w:rsidRPr="00555117">
        <w:rPr>
          <w:rFonts w:ascii="Times New Roman" w:hAnsi="Times New Roman" w:cs="Times New Roman"/>
        </w:rPr>
        <w:t>(3), 309–331.</w:t>
      </w:r>
    </w:p>
    <w:p w14:paraId="3E2005B7" w14:textId="77777777" w:rsidR="007E38AB" w:rsidRPr="00555117" w:rsidRDefault="00000000">
      <w:pPr>
        <w:pStyle w:val="Bibliography"/>
        <w:rPr>
          <w:rFonts w:ascii="Times New Roman" w:hAnsi="Times New Roman" w:cs="Times New Roman"/>
        </w:rPr>
      </w:pPr>
      <w:bookmarkStart w:id="183" w:name="Xb4c99a0be57d39ff98fa8a07a8fe8d8503fbbac"/>
      <w:bookmarkEnd w:id="182"/>
      <w:r w:rsidRPr="00555117">
        <w:rPr>
          <w:rFonts w:ascii="Times New Roman" w:hAnsi="Times New Roman" w:cs="Times New Roman"/>
        </w:rPr>
        <w:t xml:space="preserve">Nowlin, M. C. (2019). </w:t>
      </w:r>
      <w:r w:rsidRPr="00555117">
        <w:rPr>
          <w:rFonts w:ascii="Times New Roman" w:hAnsi="Times New Roman" w:cs="Times New Roman"/>
          <w:i/>
          <w:iCs/>
        </w:rPr>
        <w:t>Environmental Policymaking in an Era of Climate Change</w:t>
      </w:r>
      <w:r w:rsidRPr="00555117">
        <w:rPr>
          <w:rFonts w:ascii="Times New Roman" w:hAnsi="Times New Roman" w:cs="Times New Roman"/>
        </w:rPr>
        <w:t>. Routledge.</w:t>
      </w:r>
    </w:p>
    <w:p w14:paraId="3E2005B8" w14:textId="77777777" w:rsidR="007E38AB" w:rsidRPr="00555117" w:rsidRDefault="00000000">
      <w:pPr>
        <w:pStyle w:val="Bibliography"/>
        <w:rPr>
          <w:rFonts w:ascii="Times New Roman" w:hAnsi="Times New Roman" w:cs="Times New Roman"/>
        </w:rPr>
      </w:pPr>
      <w:bookmarkStart w:id="184" w:name="ref-nowlinPolicyLearningInformation2021"/>
      <w:bookmarkEnd w:id="183"/>
      <w:r w:rsidRPr="00555117">
        <w:rPr>
          <w:rFonts w:ascii="Times New Roman" w:hAnsi="Times New Roman" w:cs="Times New Roman"/>
        </w:rPr>
        <w:t xml:space="preserve">Nowlin, M. C. (2021). Policy Learning and Information Processing.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49</w:t>
      </w:r>
      <w:r w:rsidRPr="00555117">
        <w:rPr>
          <w:rFonts w:ascii="Times New Roman" w:hAnsi="Times New Roman" w:cs="Times New Roman"/>
        </w:rPr>
        <w:t>(4), 1019–1039. https://doi.org/10.1111/psj.12397</w:t>
      </w:r>
    </w:p>
    <w:p w14:paraId="3E2005B9" w14:textId="77777777" w:rsidR="007E38AB" w:rsidRPr="00555117" w:rsidRDefault="00000000">
      <w:pPr>
        <w:pStyle w:val="Bibliography"/>
        <w:rPr>
          <w:rFonts w:ascii="Times New Roman" w:hAnsi="Times New Roman" w:cs="Times New Roman"/>
        </w:rPr>
      </w:pPr>
      <w:bookmarkStart w:id="185" w:name="ref-nowlinPolicyBeliefsBelief2024"/>
      <w:bookmarkEnd w:id="184"/>
      <w:r w:rsidRPr="00555117">
        <w:rPr>
          <w:rFonts w:ascii="Times New Roman" w:hAnsi="Times New Roman" w:cs="Times New Roman"/>
        </w:rPr>
        <w:lastRenderedPageBreak/>
        <w:t xml:space="preserve">Nowlin, M. C. (2024). Policy Beliefs, Belief Uncertainty, and Policy Learning Through the Lens of the Advocacy Coalition Framework. </w:t>
      </w:r>
      <w:r w:rsidRPr="00555117">
        <w:rPr>
          <w:rFonts w:ascii="Times New Roman" w:hAnsi="Times New Roman" w:cs="Times New Roman"/>
          <w:i/>
          <w:iCs/>
        </w:rPr>
        <w:t>Policy &amp; Politics</w:t>
      </w:r>
      <w:r w:rsidRPr="00555117">
        <w:rPr>
          <w:rFonts w:ascii="Times New Roman" w:hAnsi="Times New Roman" w:cs="Times New Roman"/>
        </w:rPr>
        <w:t xml:space="preserve">, </w:t>
      </w:r>
      <w:r w:rsidRPr="00555117">
        <w:rPr>
          <w:rFonts w:ascii="Times New Roman" w:hAnsi="Times New Roman" w:cs="Times New Roman"/>
          <w:i/>
          <w:iCs/>
        </w:rPr>
        <w:t>52</w:t>
      </w:r>
      <w:r w:rsidRPr="00555117">
        <w:rPr>
          <w:rFonts w:ascii="Times New Roman" w:hAnsi="Times New Roman" w:cs="Times New Roman"/>
        </w:rPr>
        <w:t>(4), 675–695. https://doi.org/10.1332/03055736Y2023D000000002</w:t>
      </w:r>
    </w:p>
    <w:p w14:paraId="3E2005BA" w14:textId="77777777" w:rsidR="007E38AB" w:rsidRPr="00555117" w:rsidRDefault="00000000">
      <w:pPr>
        <w:pStyle w:val="Bibliography"/>
        <w:rPr>
          <w:rFonts w:ascii="Times New Roman" w:hAnsi="Times New Roman" w:cs="Times New Roman"/>
        </w:rPr>
      </w:pPr>
      <w:bookmarkStart w:id="186" w:name="Xd08e98322d0202bf7d45d7b1493048f549cc490"/>
      <w:bookmarkEnd w:id="185"/>
      <w:r w:rsidRPr="00555117">
        <w:rPr>
          <w:rFonts w:ascii="Times New Roman" w:hAnsi="Times New Roman" w:cs="Times New Roman"/>
        </w:rPr>
        <w:t xml:space="preserve">Nowlin, M. C. (2025). Learning and Uncertainty: Information Environments and Policy-Oriented Learning. In H. C. Jenkins-Smith &amp; C. M. Weible (Eds.), </w:t>
      </w:r>
      <w:r w:rsidRPr="00555117">
        <w:rPr>
          <w:rFonts w:ascii="Times New Roman" w:hAnsi="Times New Roman" w:cs="Times New Roman"/>
          <w:i/>
          <w:iCs/>
        </w:rPr>
        <w:t>The Advocacy Coalition Framework</w:t>
      </w:r>
      <w:r w:rsidRPr="00555117">
        <w:rPr>
          <w:rFonts w:ascii="Times New Roman" w:hAnsi="Times New Roman" w:cs="Times New Roman"/>
        </w:rPr>
        <w:t xml:space="preserve"> (pp. 155–183). Springer Nature Switzerland. https://doi.org/10.1007/978-3-031-85554-2_7</w:t>
      </w:r>
    </w:p>
    <w:p w14:paraId="3E2005BB" w14:textId="77777777" w:rsidR="007E38AB" w:rsidRPr="00555117" w:rsidRDefault="00000000">
      <w:pPr>
        <w:pStyle w:val="Bibliography"/>
        <w:rPr>
          <w:rFonts w:ascii="Times New Roman" w:hAnsi="Times New Roman" w:cs="Times New Roman"/>
        </w:rPr>
      </w:pPr>
      <w:bookmarkStart w:id="187" w:name="X32002765c3c0d17f7d4ac960994bb7a73e1a9af"/>
      <w:bookmarkEnd w:id="186"/>
      <w:r w:rsidRPr="00555117">
        <w:rPr>
          <w:rFonts w:ascii="Times New Roman" w:hAnsi="Times New Roman" w:cs="Times New Roman"/>
        </w:rPr>
        <w:t xml:space="preserve">Nowlin, M. C., Trochmann, M., &amp; Rabovsky, T. M. (2022). Advocacy Coalitions and Political Control. </w:t>
      </w:r>
      <w:r w:rsidRPr="00555117">
        <w:rPr>
          <w:rFonts w:ascii="Times New Roman" w:hAnsi="Times New Roman" w:cs="Times New Roman"/>
          <w:i/>
          <w:iCs/>
        </w:rPr>
        <w:t>Politics &amp; Policy</w:t>
      </w:r>
      <w:r w:rsidRPr="00555117">
        <w:rPr>
          <w:rFonts w:ascii="Times New Roman" w:hAnsi="Times New Roman" w:cs="Times New Roman"/>
        </w:rPr>
        <w:t xml:space="preserve">, </w:t>
      </w:r>
      <w:r w:rsidRPr="00555117">
        <w:rPr>
          <w:rFonts w:ascii="Times New Roman" w:hAnsi="Times New Roman" w:cs="Times New Roman"/>
          <w:i/>
          <w:iCs/>
        </w:rPr>
        <w:t>50</w:t>
      </w:r>
      <w:r w:rsidRPr="00555117">
        <w:rPr>
          <w:rFonts w:ascii="Times New Roman" w:hAnsi="Times New Roman" w:cs="Times New Roman"/>
        </w:rPr>
        <w:t>(2), 201–224. https://doi.org/10.1111/polp.12458</w:t>
      </w:r>
    </w:p>
    <w:p w14:paraId="3E2005BC" w14:textId="77777777" w:rsidR="007E38AB" w:rsidRPr="00555117" w:rsidRDefault="00000000">
      <w:pPr>
        <w:pStyle w:val="Bibliography"/>
        <w:rPr>
          <w:rFonts w:ascii="Times New Roman" w:hAnsi="Times New Roman" w:cs="Times New Roman"/>
        </w:rPr>
      </w:pPr>
      <w:bookmarkStart w:id="188" w:name="ref-offer-westortWhichFrameFits2026"/>
      <w:bookmarkEnd w:id="187"/>
      <w:r w:rsidRPr="00555117">
        <w:rPr>
          <w:rFonts w:ascii="Times New Roman" w:hAnsi="Times New Roman" w:cs="Times New Roman"/>
        </w:rPr>
        <w:t xml:space="preserve">Offer-Westort, M., Gruen, W., Herron, C., Hyatt, K., Buford, M., Davis, K., Fonseca, D., Gurevich, M., Huang, T., Jerez, R., Liu, Q., Obetta, O., Orellana, M., Passmore, J., Qiu, J., Rapaport, J., Sanchez-Asiain Domenech, I., Sandoval, F., Tandoc, J. A., &amp; Yalamanchili, R. (2026). Which Frame Fits? Policy Learning with Framing for Climate Change Policy Attitudes. </w:t>
      </w:r>
      <w:r w:rsidRPr="00555117">
        <w:rPr>
          <w:rFonts w:ascii="Times New Roman" w:hAnsi="Times New Roman" w:cs="Times New Roman"/>
          <w:i/>
          <w:iCs/>
        </w:rPr>
        <w:t>Research &amp; Politics</w:t>
      </w:r>
      <w:r w:rsidRPr="00555117">
        <w:rPr>
          <w:rFonts w:ascii="Times New Roman" w:hAnsi="Times New Roman" w:cs="Times New Roman"/>
        </w:rPr>
        <w:t xml:space="preserve">, </w:t>
      </w:r>
      <w:r w:rsidRPr="00555117">
        <w:rPr>
          <w:rFonts w:ascii="Times New Roman" w:hAnsi="Times New Roman" w:cs="Times New Roman"/>
          <w:i/>
          <w:iCs/>
        </w:rPr>
        <w:t>13</w:t>
      </w:r>
      <w:r w:rsidRPr="00555117">
        <w:rPr>
          <w:rFonts w:ascii="Times New Roman" w:hAnsi="Times New Roman" w:cs="Times New Roman"/>
        </w:rPr>
        <w:t>(1), 20531680251414927. https://doi.org/10.1177/20531680251414927</w:t>
      </w:r>
    </w:p>
    <w:p w14:paraId="3E2005BD" w14:textId="77777777" w:rsidR="007E38AB" w:rsidRPr="00555117" w:rsidRDefault="00000000">
      <w:pPr>
        <w:pStyle w:val="Bibliography"/>
        <w:rPr>
          <w:rFonts w:ascii="Times New Roman" w:hAnsi="Times New Roman" w:cs="Times New Roman"/>
        </w:rPr>
      </w:pPr>
      <w:bookmarkStart w:id="189" w:name="ref-oliverLearningChange20thCentury2004"/>
      <w:bookmarkEnd w:id="188"/>
      <w:r w:rsidRPr="00555117">
        <w:rPr>
          <w:rFonts w:ascii="Times New Roman" w:hAnsi="Times New Roman" w:cs="Times New Roman"/>
        </w:rPr>
        <w:t xml:space="preserve">Oliver, M. J., &amp; Pemberton, H. (2004). Learning and Change in 20th-Century British Economic Policy. </w:t>
      </w:r>
      <w:r w:rsidRPr="00555117">
        <w:rPr>
          <w:rFonts w:ascii="Times New Roman" w:hAnsi="Times New Roman" w:cs="Times New Roman"/>
          <w:i/>
          <w:iCs/>
        </w:rPr>
        <w:t>Governance</w:t>
      </w:r>
      <w:r w:rsidRPr="00555117">
        <w:rPr>
          <w:rFonts w:ascii="Times New Roman" w:hAnsi="Times New Roman" w:cs="Times New Roman"/>
        </w:rPr>
        <w:t xml:space="preserve">, </w:t>
      </w:r>
      <w:r w:rsidRPr="00555117">
        <w:rPr>
          <w:rFonts w:ascii="Times New Roman" w:hAnsi="Times New Roman" w:cs="Times New Roman"/>
          <w:i/>
          <w:iCs/>
        </w:rPr>
        <w:t>17</w:t>
      </w:r>
      <w:r w:rsidRPr="00555117">
        <w:rPr>
          <w:rFonts w:ascii="Times New Roman" w:hAnsi="Times New Roman" w:cs="Times New Roman"/>
        </w:rPr>
        <w:t>(3), 415–441. https://doi.org/10.1111/j.0952-1895.2004.00252.x</w:t>
      </w:r>
    </w:p>
    <w:p w14:paraId="3E2005BE" w14:textId="77777777" w:rsidR="007E38AB" w:rsidRPr="00555117" w:rsidRDefault="00000000">
      <w:pPr>
        <w:pStyle w:val="Bibliography"/>
        <w:rPr>
          <w:rFonts w:ascii="Times New Roman" w:hAnsi="Times New Roman" w:cs="Times New Roman"/>
        </w:rPr>
      </w:pPr>
      <w:bookmarkStart w:id="190" w:name="ref-ormrodHumanLearning2019"/>
      <w:bookmarkEnd w:id="189"/>
      <w:r w:rsidRPr="00555117">
        <w:rPr>
          <w:rFonts w:ascii="Times New Roman" w:hAnsi="Times New Roman" w:cs="Times New Roman"/>
        </w:rPr>
        <w:t xml:space="preserve">Ormrod, J. E. (2019). </w:t>
      </w:r>
      <w:r w:rsidRPr="00555117">
        <w:rPr>
          <w:rFonts w:ascii="Times New Roman" w:hAnsi="Times New Roman" w:cs="Times New Roman"/>
          <w:i/>
          <w:iCs/>
        </w:rPr>
        <w:t>Human Learning</w:t>
      </w:r>
      <w:r w:rsidRPr="00555117">
        <w:rPr>
          <w:rFonts w:ascii="Times New Roman" w:hAnsi="Times New Roman" w:cs="Times New Roman"/>
        </w:rPr>
        <w:t xml:space="preserve"> (8th edition). Pearson.</w:t>
      </w:r>
    </w:p>
    <w:p w14:paraId="3E2005BF" w14:textId="77777777" w:rsidR="007E38AB" w:rsidRPr="00555117" w:rsidRDefault="00000000">
      <w:pPr>
        <w:pStyle w:val="Bibliography"/>
        <w:rPr>
          <w:rFonts w:ascii="Times New Roman" w:hAnsi="Times New Roman" w:cs="Times New Roman"/>
        </w:rPr>
      </w:pPr>
      <w:bookmarkStart w:id="191" w:name="ref-ostromGoverningCommonsEvolution1990"/>
      <w:bookmarkEnd w:id="190"/>
      <w:r w:rsidRPr="00555117">
        <w:rPr>
          <w:rFonts w:ascii="Times New Roman" w:hAnsi="Times New Roman" w:cs="Times New Roman"/>
        </w:rPr>
        <w:t xml:space="preserve">Ostrom, E. (1990). </w:t>
      </w:r>
      <w:r w:rsidRPr="00555117">
        <w:rPr>
          <w:rFonts w:ascii="Times New Roman" w:hAnsi="Times New Roman" w:cs="Times New Roman"/>
          <w:i/>
          <w:iCs/>
        </w:rPr>
        <w:t>Governing the Commons: The Evolution of Institutions for Collective Action</w:t>
      </w:r>
      <w:r w:rsidRPr="00555117">
        <w:rPr>
          <w:rFonts w:ascii="Times New Roman" w:hAnsi="Times New Roman" w:cs="Times New Roman"/>
        </w:rPr>
        <w:t>. Cambridge University Press.</w:t>
      </w:r>
    </w:p>
    <w:p w14:paraId="3E2005C0" w14:textId="77777777" w:rsidR="007E38AB" w:rsidRPr="00555117" w:rsidRDefault="00000000">
      <w:pPr>
        <w:pStyle w:val="Bibliography"/>
        <w:rPr>
          <w:rFonts w:ascii="Times New Roman" w:hAnsi="Times New Roman" w:cs="Times New Roman"/>
        </w:rPr>
      </w:pPr>
      <w:bookmarkStart w:id="192" w:name="ref-pattisonFactorsShapingPolicy2018"/>
      <w:bookmarkEnd w:id="191"/>
      <w:r w:rsidRPr="00555117">
        <w:rPr>
          <w:rFonts w:ascii="Times New Roman" w:hAnsi="Times New Roman" w:cs="Times New Roman"/>
        </w:rPr>
        <w:t xml:space="preserve">Pattison, A. (2018). Factors Shaping Policy Learning: A Study of Policy Actors in Subnational Climate and Energy Issues. </w:t>
      </w:r>
      <w:r w:rsidRPr="00555117">
        <w:rPr>
          <w:rFonts w:ascii="Times New Roman" w:hAnsi="Times New Roman" w:cs="Times New Roman"/>
          <w:i/>
          <w:iCs/>
        </w:rPr>
        <w:t>Review of Policy Research</w:t>
      </w:r>
      <w:r w:rsidRPr="00555117">
        <w:rPr>
          <w:rFonts w:ascii="Times New Roman" w:hAnsi="Times New Roman" w:cs="Times New Roman"/>
        </w:rPr>
        <w:t xml:space="preserve">, </w:t>
      </w:r>
      <w:r w:rsidRPr="00555117">
        <w:rPr>
          <w:rFonts w:ascii="Times New Roman" w:hAnsi="Times New Roman" w:cs="Times New Roman"/>
          <w:i/>
          <w:iCs/>
        </w:rPr>
        <w:t>35</w:t>
      </w:r>
      <w:r w:rsidRPr="00555117">
        <w:rPr>
          <w:rFonts w:ascii="Times New Roman" w:hAnsi="Times New Roman" w:cs="Times New Roman"/>
        </w:rPr>
        <w:t>(4), 535–563. https://doi.org/10.1111/ropr.12303</w:t>
      </w:r>
    </w:p>
    <w:p w14:paraId="3E2005C1" w14:textId="77777777" w:rsidR="007E38AB" w:rsidRPr="00555117" w:rsidRDefault="00000000">
      <w:pPr>
        <w:pStyle w:val="Bibliography"/>
        <w:rPr>
          <w:rFonts w:ascii="Times New Roman" w:hAnsi="Times New Roman" w:cs="Times New Roman"/>
        </w:rPr>
      </w:pPr>
      <w:bookmarkStart w:id="193" w:name="ref-piercePolicyChangeAdvocacy2020"/>
      <w:bookmarkEnd w:id="192"/>
      <w:r w:rsidRPr="00555117">
        <w:rPr>
          <w:rFonts w:ascii="Times New Roman" w:hAnsi="Times New Roman" w:cs="Times New Roman"/>
        </w:rPr>
        <w:t xml:space="preserve">Pierce, J. J., Peterson, H. L., &amp; Hicks, K. C. (2020). Policy Change: An Advocacy Coalition Framework Perspective.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48</w:t>
      </w:r>
      <w:r w:rsidRPr="00555117">
        <w:rPr>
          <w:rFonts w:ascii="Times New Roman" w:hAnsi="Times New Roman" w:cs="Times New Roman"/>
        </w:rPr>
        <w:t>(1), 64–86. https://doi.org/10.1111/psj.12223</w:t>
      </w:r>
    </w:p>
    <w:p w14:paraId="3E2005C2" w14:textId="77777777" w:rsidR="007E38AB" w:rsidRPr="00555117" w:rsidRDefault="00000000">
      <w:pPr>
        <w:pStyle w:val="Bibliography"/>
        <w:rPr>
          <w:rFonts w:ascii="Times New Roman" w:hAnsi="Times New Roman" w:cs="Times New Roman"/>
        </w:rPr>
      </w:pPr>
      <w:bookmarkStart w:id="194" w:name="ref-plumerWhenDoesPolicy2024"/>
      <w:bookmarkEnd w:id="193"/>
      <w:r w:rsidRPr="00555117">
        <w:rPr>
          <w:rFonts w:ascii="Times New Roman" w:hAnsi="Times New Roman" w:cs="Times New Roman"/>
        </w:rPr>
        <w:t xml:space="preserve">Plümer, S. (2024). When Does Policy Learning Lead to Policy Change? Exploring the Causal Chain from Learning to Change. </w:t>
      </w:r>
      <w:r w:rsidRPr="00555117">
        <w:rPr>
          <w:rFonts w:ascii="Times New Roman" w:hAnsi="Times New Roman" w:cs="Times New Roman"/>
          <w:i/>
          <w:iCs/>
        </w:rPr>
        <w:t>International Review of Public Policy</w:t>
      </w:r>
      <w:r w:rsidRPr="00555117">
        <w:rPr>
          <w:rFonts w:ascii="Times New Roman" w:hAnsi="Times New Roman" w:cs="Times New Roman"/>
        </w:rPr>
        <w:t xml:space="preserve">, </w:t>
      </w:r>
      <w:r w:rsidRPr="00555117">
        <w:rPr>
          <w:rFonts w:ascii="Times New Roman" w:hAnsi="Times New Roman" w:cs="Times New Roman"/>
          <w:i/>
          <w:iCs/>
        </w:rPr>
        <w:t>6</w:t>
      </w:r>
      <w:r w:rsidRPr="00555117">
        <w:rPr>
          <w:rFonts w:ascii="Times New Roman" w:hAnsi="Times New Roman" w:cs="Times New Roman"/>
        </w:rPr>
        <w:t>(2). https://doi.org/10.4000/12vzw</w:t>
      </w:r>
    </w:p>
    <w:p w14:paraId="3E2005C3" w14:textId="77777777" w:rsidR="007E38AB" w:rsidRPr="00555117" w:rsidRDefault="00000000">
      <w:pPr>
        <w:pStyle w:val="Bibliography"/>
        <w:rPr>
          <w:rFonts w:ascii="Times New Roman" w:hAnsi="Times New Roman" w:cs="Times New Roman"/>
        </w:rPr>
      </w:pPr>
      <w:bookmarkStart w:id="195" w:name="ref-radaelliPolicyLearningEuropean2022"/>
      <w:bookmarkEnd w:id="194"/>
      <w:r w:rsidRPr="00555117">
        <w:rPr>
          <w:rFonts w:ascii="Times New Roman" w:hAnsi="Times New Roman" w:cs="Times New Roman"/>
        </w:rPr>
        <w:t xml:space="preserve">Radaelli, C. M. (2022). Policy Learning and European Integration. </w:t>
      </w:r>
      <w:r w:rsidRPr="00555117">
        <w:rPr>
          <w:rFonts w:ascii="Times New Roman" w:hAnsi="Times New Roman" w:cs="Times New Roman"/>
          <w:i/>
          <w:iCs/>
        </w:rPr>
        <w:t>Journal of Common Market Studies</w:t>
      </w:r>
      <w:r w:rsidRPr="00555117">
        <w:rPr>
          <w:rFonts w:ascii="Times New Roman" w:hAnsi="Times New Roman" w:cs="Times New Roman"/>
        </w:rPr>
        <w:t>. https://doi.org/10.1111/jcms.13432</w:t>
      </w:r>
    </w:p>
    <w:p w14:paraId="3E2005C4" w14:textId="77777777" w:rsidR="007E38AB" w:rsidRPr="00555117" w:rsidRDefault="00000000">
      <w:pPr>
        <w:pStyle w:val="Bibliography"/>
        <w:rPr>
          <w:rFonts w:ascii="Times New Roman" w:hAnsi="Times New Roman" w:cs="Times New Roman"/>
        </w:rPr>
      </w:pPr>
      <w:bookmarkStart w:id="196" w:name="ref-rietigLeveragingPowerLearning2019"/>
      <w:bookmarkEnd w:id="195"/>
      <w:r w:rsidRPr="00555117">
        <w:rPr>
          <w:rFonts w:ascii="Times New Roman" w:hAnsi="Times New Roman" w:cs="Times New Roman"/>
        </w:rPr>
        <w:t xml:space="preserve">Rietig, K. (2019). Leveraging the Power of Learning to Overcome Negotiation Deadlocks in Global Climate Governance and Low Carbon Transitions. </w:t>
      </w:r>
      <w:r w:rsidRPr="00555117">
        <w:rPr>
          <w:rFonts w:ascii="Times New Roman" w:hAnsi="Times New Roman" w:cs="Times New Roman"/>
          <w:i/>
          <w:iCs/>
        </w:rPr>
        <w:t>Journal of Environmental Policy &amp; Planning</w:t>
      </w:r>
      <w:r w:rsidRPr="00555117">
        <w:rPr>
          <w:rFonts w:ascii="Times New Roman" w:hAnsi="Times New Roman" w:cs="Times New Roman"/>
        </w:rPr>
        <w:t xml:space="preserve">, </w:t>
      </w:r>
      <w:r w:rsidRPr="00555117">
        <w:rPr>
          <w:rFonts w:ascii="Times New Roman" w:hAnsi="Times New Roman" w:cs="Times New Roman"/>
          <w:i/>
          <w:iCs/>
        </w:rPr>
        <w:t>21</w:t>
      </w:r>
      <w:r w:rsidRPr="00555117">
        <w:rPr>
          <w:rFonts w:ascii="Times New Roman" w:hAnsi="Times New Roman" w:cs="Times New Roman"/>
        </w:rPr>
        <w:t>(3), 228–241. https://doi.org/10.1080/1523908X.2019.1632698</w:t>
      </w:r>
    </w:p>
    <w:p w14:paraId="3E2005C5" w14:textId="77777777" w:rsidR="007E38AB" w:rsidRPr="00555117" w:rsidRDefault="00000000">
      <w:pPr>
        <w:pStyle w:val="Bibliography"/>
        <w:rPr>
          <w:rFonts w:ascii="Times New Roman" w:hAnsi="Times New Roman" w:cs="Times New Roman"/>
        </w:rPr>
      </w:pPr>
      <w:bookmarkStart w:id="197" w:name="ref-rietigDoesLearningMatter2018"/>
      <w:bookmarkEnd w:id="196"/>
      <w:r w:rsidRPr="00555117">
        <w:rPr>
          <w:rFonts w:ascii="Times New Roman" w:hAnsi="Times New Roman" w:cs="Times New Roman"/>
        </w:rPr>
        <w:t xml:space="preserve">Rietig, K., &amp; Perkins, R. (2018). Does Learning Matter for Policy Outcomes? The Case of Integrating Climate Finance into the EU Budget. </w:t>
      </w:r>
      <w:r w:rsidRPr="00555117">
        <w:rPr>
          <w:rFonts w:ascii="Times New Roman" w:hAnsi="Times New Roman" w:cs="Times New Roman"/>
          <w:i/>
          <w:iCs/>
        </w:rPr>
        <w:t>Journal of European Public Policy</w:t>
      </w:r>
      <w:r w:rsidRPr="00555117">
        <w:rPr>
          <w:rFonts w:ascii="Times New Roman" w:hAnsi="Times New Roman" w:cs="Times New Roman"/>
        </w:rPr>
        <w:t xml:space="preserve">, </w:t>
      </w:r>
      <w:r w:rsidRPr="00555117">
        <w:rPr>
          <w:rFonts w:ascii="Times New Roman" w:hAnsi="Times New Roman" w:cs="Times New Roman"/>
          <w:i/>
          <w:iCs/>
        </w:rPr>
        <w:t>25</w:t>
      </w:r>
      <w:r w:rsidRPr="00555117">
        <w:rPr>
          <w:rFonts w:ascii="Times New Roman" w:hAnsi="Times New Roman" w:cs="Times New Roman"/>
        </w:rPr>
        <w:t>(4), 487–505. https://doi.org/10.1080/13501763.2016.1270345</w:t>
      </w:r>
    </w:p>
    <w:p w14:paraId="3E2005C6" w14:textId="77777777" w:rsidR="007E38AB" w:rsidRPr="00555117" w:rsidRDefault="00000000">
      <w:pPr>
        <w:pStyle w:val="Bibliography"/>
        <w:rPr>
          <w:rFonts w:ascii="Times New Roman" w:hAnsi="Times New Roman" w:cs="Times New Roman"/>
        </w:rPr>
      </w:pPr>
      <w:bookmarkStart w:id="198" w:name="X5ac8eb1d1356972d917d5777697e9a83fe58bbc"/>
      <w:bookmarkEnd w:id="197"/>
      <w:r w:rsidRPr="00555117">
        <w:rPr>
          <w:rFonts w:ascii="Times New Roman" w:hAnsi="Times New Roman" w:cs="Times New Roman"/>
        </w:rPr>
        <w:t xml:space="preserve">Ripberger, J. T., Gupta, K., Silva, C. L., &amp; Jenkins-Smith, H. C. (2014). Cultural Theory and the Measurement of Deep Core Beliefs Within the Advocacy Coalition Framework.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42</w:t>
      </w:r>
      <w:r w:rsidRPr="00555117">
        <w:rPr>
          <w:rFonts w:ascii="Times New Roman" w:hAnsi="Times New Roman" w:cs="Times New Roman"/>
        </w:rPr>
        <w:t>(4), 509–527.</w:t>
      </w:r>
    </w:p>
    <w:p w14:paraId="3E2005C7" w14:textId="77777777" w:rsidR="007E38AB" w:rsidRPr="00555117" w:rsidRDefault="00000000">
      <w:pPr>
        <w:pStyle w:val="Bibliography"/>
        <w:rPr>
          <w:rFonts w:ascii="Times New Roman" w:hAnsi="Times New Roman" w:cs="Times New Roman"/>
        </w:rPr>
      </w:pPr>
      <w:bookmarkStart w:id="199" w:name="ref-rittelDilemmasGeneralTheory1973"/>
      <w:bookmarkEnd w:id="198"/>
      <w:r w:rsidRPr="00555117">
        <w:rPr>
          <w:rFonts w:ascii="Times New Roman" w:hAnsi="Times New Roman" w:cs="Times New Roman"/>
        </w:rPr>
        <w:t xml:space="preserve">Rittel, H. W. J., &amp; Webber, M. W. (1973). Dilemmas in a General Theory of Planning. </w:t>
      </w:r>
      <w:r w:rsidRPr="00555117">
        <w:rPr>
          <w:rFonts w:ascii="Times New Roman" w:hAnsi="Times New Roman" w:cs="Times New Roman"/>
          <w:i/>
          <w:iCs/>
        </w:rPr>
        <w:t>Policy Sciences</w:t>
      </w:r>
      <w:r w:rsidRPr="00555117">
        <w:rPr>
          <w:rFonts w:ascii="Times New Roman" w:hAnsi="Times New Roman" w:cs="Times New Roman"/>
        </w:rPr>
        <w:t xml:space="preserve">, </w:t>
      </w:r>
      <w:r w:rsidRPr="00555117">
        <w:rPr>
          <w:rFonts w:ascii="Times New Roman" w:hAnsi="Times New Roman" w:cs="Times New Roman"/>
          <w:i/>
          <w:iCs/>
        </w:rPr>
        <w:t>4</w:t>
      </w:r>
      <w:r w:rsidRPr="00555117">
        <w:rPr>
          <w:rFonts w:ascii="Times New Roman" w:hAnsi="Times New Roman" w:cs="Times New Roman"/>
        </w:rPr>
        <w:t>(2), 155–169.</w:t>
      </w:r>
    </w:p>
    <w:p w14:paraId="3E2005C8" w14:textId="77777777" w:rsidR="007E38AB" w:rsidRPr="00555117" w:rsidRDefault="00000000">
      <w:pPr>
        <w:pStyle w:val="Bibliography"/>
        <w:rPr>
          <w:rFonts w:ascii="Times New Roman" w:hAnsi="Times New Roman" w:cs="Times New Roman"/>
        </w:rPr>
      </w:pPr>
      <w:bookmarkStart w:id="200" w:name="ref-roseWhatLessonDrawing1991"/>
      <w:bookmarkEnd w:id="199"/>
      <w:r w:rsidRPr="00555117">
        <w:rPr>
          <w:rFonts w:ascii="Times New Roman" w:hAnsi="Times New Roman" w:cs="Times New Roman"/>
        </w:rPr>
        <w:lastRenderedPageBreak/>
        <w:t xml:space="preserve">Rose, R. (1991). What is Lesson-Drawing? </w:t>
      </w:r>
      <w:r w:rsidRPr="00555117">
        <w:rPr>
          <w:rFonts w:ascii="Times New Roman" w:hAnsi="Times New Roman" w:cs="Times New Roman"/>
          <w:i/>
          <w:iCs/>
        </w:rPr>
        <w:t>Journal of Public Policy</w:t>
      </w:r>
      <w:r w:rsidRPr="00555117">
        <w:rPr>
          <w:rFonts w:ascii="Times New Roman" w:hAnsi="Times New Roman" w:cs="Times New Roman"/>
        </w:rPr>
        <w:t xml:space="preserve">, </w:t>
      </w:r>
      <w:r w:rsidRPr="00555117">
        <w:rPr>
          <w:rFonts w:ascii="Times New Roman" w:hAnsi="Times New Roman" w:cs="Times New Roman"/>
          <w:i/>
          <w:iCs/>
        </w:rPr>
        <w:t>11</w:t>
      </w:r>
      <w:r w:rsidRPr="00555117">
        <w:rPr>
          <w:rFonts w:ascii="Times New Roman" w:hAnsi="Times New Roman" w:cs="Times New Roman"/>
        </w:rPr>
        <w:t>(1), 3–30. https://doi.org/10.1017/S0143814X00004918</w:t>
      </w:r>
    </w:p>
    <w:p w14:paraId="3E2005C9" w14:textId="77777777" w:rsidR="007E38AB" w:rsidRPr="00555117" w:rsidRDefault="00000000">
      <w:pPr>
        <w:pStyle w:val="Bibliography"/>
        <w:rPr>
          <w:rFonts w:ascii="Times New Roman" w:hAnsi="Times New Roman" w:cs="Times New Roman"/>
        </w:rPr>
      </w:pPr>
      <w:bookmarkStart w:id="201" w:name="ref-sabatierPolicyChangeLearning1993"/>
      <w:bookmarkEnd w:id="200"/>
      <w:r w:rsidRPr="00555117">
        <w:rPr>
          <w:rFonts w:ascii="Times New Roman" w:hAnsi="Times New Roman" w:cs="Times New Roman"/>
        </w:rPr>
        <w:t xml:space="preserve">Sabatier, P. A., &amp; Jenkins-Smith, H. C. (1993). </w:t>
      </w:r>
      <w:r w:rsidRPr="00555117">
        <w:rPr>
          <w:rFonts w:ascii="Times New Roman" w:hAnsi="Times New Roman" w:cs="Times New Roman"/>
          <w:i/>
          <w:iCs/>
        </w:rPr>
        <w:t>Policy Change and Learning: An Advocacy Coalition Approach</w:t>
      </w:r>
      <w:r w:rsidRPr="00555117">
        <w:rPr>
          <w:rFonts w:ascii="Times New Roman" w:hAnsi="Times New Roman" w:cs="Times New Roman"/>
        </w:rPr>
        <w:t>. Westview Press.</w:t>
      </w:r>
    </w:p>
    <w:p w14:paraId="3E2005CA" w14:textId="77777777" w:rsidR="007E38AB" w:rsidRPr="00555117" w:rsidRDefault="00000000">
      <w:pPr>
        <w:pStyle w:val="Bibliography"/>
        <w:rPr>
          <w:rFonts w:ascii="Times New Roman" w:hAnsi="Times New Roman" w:cs="Times New Roman"/>
        </w:rPr>
      </w:pPr>
      <w:bookmarkStart w:id="202" w:name="X321cc6717f14df8a00aeb803388bd7f692251d4"/>
      <w:bookmarkEnd w:id="201"/>
      <w:r w:rsidRPr="00555117">
        <w:rPr>
          <w:rFonts w:ascii="Times New Roman" w:hAnsi="Times New Roman" w:cs="Times New Roman"/>
        </w:rPr>
        <w:t xml:space="preserve">Sabatier, P. A., &amp; Jenkins-Smith, H. C. (1999). The Advocacy Coalition Framework: An Assessment. In P. A. Sabatier (Ed.), </w:t>
      </w:r>
      <w:r w:rsidRPr="00555117">
        <w:rPr>
          <w:rFonts w:ascii="Times New Roman" w:hAnsi="Times New Roman" w:cs="Times New Roman"/>
          <w:i/>
          <w:iCs/>
        </w:rPr>
        <w:t>Theories of the Policy Process</w:t>
      </w:r>
      <w:r w:rsidRPr="00555117">
        <w:rPr>
          <w:rFonts w:ascii="Times New Roman" w:hAnsi="Times New Roman" w:cs="Times New Roman"/>
        </w:rPr>
        <w:t xml:space="preserve"> (pp. 117–166). Westview.</w:t>
      </w:r>
    </w:p>
    <w:p w14:paraId="3E2005CB" w14:textId="77777777" w:rsidR="007E38AB" w:rsidRPr="00555117" w:rsidRDefault="00000000">
      <w:pPr>
        <w:pStyle w:val="Bibliography"/>
        <w:rPr>
          <w:rFonts w:ascii="Times New Roman" w:hAnsi="Times New Roman" w:cs="Times New Roman"/>
        </w:rPr>
      </w:pPr>
      <w:bookmarkStart w:id="203" w:name="X022ff9c9053661afc0c0422d6d39bb96f4b5e93"/>
      <w:bookmarkEnd w:id="202"/>
      <w:r w:rsidRPr="00555117">
        <w:rPr>
          <w:rFonts w:ascii="Times New Roman" w:hAnsi="Times New Roman" w:cs="Times New Roman"/>
        </w:rPr>
        <w:t xml:space="preserve">Sabatier, P. A., &amp; Weible, C. M. (2007). The Advocacy Coalition Framework: Innovations and Clarifications. In P. A. Sabatier (Ed.), </w:t>
      </w:r>
      <w:r w:rsidRPr="00555117">
        <w:rPr>
          <w:rFonts w:ascii="Times New Roman" w:hAnsi="Times New Roman" w:cs="Times New Roman"/>
          <w:i/>
          <w:iCs/>
        </w:rPr>
        <w:t>Theories of the Policy Process</w:t>
      </w:r>
      <w:r w:rsidRPr="00555117">
        <w:rPr>
          <w:rFonts w:ascii="Times New Roman" w:hAnsi="Times New Roman" w:cs="Times New Roman"/>
        </w:rPr>
        <w:t xml:space="preserve"> (Vol. 2nd, pp. 189–222). Westview Press.</w:t>
      </w:r>
    </w:p>
    <w:p w14:paraId="3E2005CC" w14:textId="77777777" w:rsidR="007E38AB" w:rsidRPr="00555117" w:rsidRDefault="00000000">
      <w:pPr>
        <w:pStyle w:val="Bibliography"/>
        <w:rPr>
          <w:rFonts w:ascii="Times New Roman" w:hAnsi="Times New Roman" w:cs="Times New Roman"/>
        </w:rPr>
      </w:pPr>
      <w:bookmarkStart w:id="204" w:name="ref-sandersonIntelligentPolicyMaking2009"/>
      <w:bookmarkEnd w:id="203"/>
      <w:r w:rsidRPr="00555117">
        <w:rPr>
          <w:rFonts w:ascii="Times New Roman" w:hAnsi="Times New Roman" w:cs="Times New Roman"/>
        </w:rPr>
        <w:t xml:space="preserve">Sanderson, I. (2009). Intelligent Policy Making for a Complex World: Pragmatism, Evidence and Learning. </w:t>
      </w:r>
      <w:r w:rsidRPr="00555117">
        <w:rPr>
          <w:rFonts w:ascii="Times New Roman" w:hAnsi="Times New Roman" w:cs="Times New Roman"/>
          <w:i/>
          <w:iCs/>
        </w:rPr>
        <w:t>Political Studies</w:t>
      </w:r>
      <w:r w:rsidRPr="00555117">
        <w:rPr>
          <w:rFonts w:ascii="Times New Roman" w:hAnsi="Times New Roman" w:cs="Times New Roman"/>
        </w:rPr>
        <w:t xml:space="preserve">, </w:t>
      </w:r>
      <w:r w:rsidRPr="00555117">
        <w:rPr>
          <w:rFonts w:ascii="Times New Roman" w:hAnsi="Times New Roman" w:cs="Times New Roman"/>
          <w:i/>
          <w:iCs/>
        </w:rPr>
        <w:t>57</w:t>
      </w:r>
      <w:r w:rsidRPr="00555117">
        <w:rPr>
          <w:rFonts w:ascii="Times New Roman" w:hAnsi="Times New Roman" w:cs="Times New Roman"/>
        </w:rPr>
        <w:t>(4), 699–719. https://doi.org/10.1111/j.1467-9248.2009.00791.x</w:t>
      </w:r>
    </w:p>
    <w:p w14:paraId="3E2005CD" w14:textId="77777777" w:rsidR="007E38AB" w:rsidRPr="00555117" w:rsidRDefault="00000000">
      <w:pPr>
        <w:pStyle w:val="Bibliography"/>
        <w:rPr>
          <w:rFonts w:ascii="Times New Roman" w:hAnsi="Times New Roman" w:cs="Times New Roman"/>
        </w:rPr>
      </w:pPr>
      <w:bookmarkStart w:id="205" w:name="ref-schoutOrganizationalLearningEUs2010"/>
      <w:bookmarkEnd w:id="204"/>
      <w:r w:rsidRPr="00555117">
        <w:rPr>
          <w:rFonts w:ascii="Times New Roman" w:hAnsi="Times New Roman" w:cs="Times New Roman"/>
        </w:rPr>
        <w:t xml:space="preserve">Schout, A. (2010). Organizational Learning in the EU’s Multi-Level Governance System. In A. Zito (Ed.), </w:t>
      </w:r>
      <w:r w:rsidRPr="00555117">
        <w:rPr>
          <w:rFonts w:ascii="Times New Roman" w:hAnsi="Times New Roman" w:cs="Times New Roman"/>
          <w:i/>
          <w:iCs/>
        </w:rPr>
        <w:t>Learning and Governance in the EU Policy Making Process</w:t>
      </w:r>
      <w:r w:rsidRPr="00555117">
        <w:rPr>
          <w:rFonts w:ascii="Times New Roman" w:hAnsi="Times New Roman" w:cs="Times New Roman"/>
        </w:rPr>
        <w:t>. Routledge.</w:t>
      </w:r>
    </w:p>
    <w:p w14:paraId="3E2005CE" w14:textId="77777777" w:rsidR="007E38AB" w:rsidRPr="00555117" w:rsidRDefault="00000000">
      <w:pPr>
        <w:pStyle w:val="Bibliography"/>
        <w:rPr>
          <w:rFonts w:ascii="Times New Roman" w:hAnsi="Times New Roman" w:cs="Times New Roman"/>
        </w:rPr>
      </w:pPr>
      <w:bookmarkStart w:id="206" w:name="ref-shanahanNarrativePolicyFramework2018"/>
      <w:bookmarkEnd w:id="205"/>
      <w:r w:rsidRPr="00555117">
        <w:rPr>
          <w:rFonts w:ascii="Times New Roman" w:hAnsi="Times New Roman" w:cs="Times New Roman"/>
        </w:rPr>
        <w:t xml:space="preserve">Shanahan, E. A., Jones, M. D., McBeth, M. K., &amp; Radaelli, C. M. (2018). The Narrative Policy Framework. In </w:t>
      </w:r>
      <w:r w:rsidRPr="00555117">
        <w:rPr>
          <w:rFonts w:ascii="Times New Roman" w:hAnsi="Times New Roman" w:cs="Times New Roman"/>
          <w:i/>
          <w:iCs/>
        </w:rPr>
        <w:t>Theories of the Policy Process</w:t>
      </w:r>
      <w:r w:rsidRPr="00555117">
        <w:rPr>
          <w:rFonts w:ascii="Times New Roman" w:hAnsi="Times New Roman" w:cs="Times New Roman"/>
        </w:rPr>
        <w:t xml:space="preserve"> (4th ed., pp. 173–214). Westview Press.</w:t>
      </w:r>
    </w:p>
    <w:p w14:paraId="3E2005CF" w14:textId="77777777" w:rsidR="007E38AB" w:rsidRPr="00555117" w:rsidRDefault="00000000">
      <w:pPr>
        <w:pStyle w:val="Bibliography"/>
        <w:rPr>
          <w:rFonts w:ascii="Times New Roman" w:hAnsi="Times New Roman" w:cs="Times New Roman"/>
        </w:rPr>
      </w:pPr>
      <w:bookmarkStart w:id="207" w:name="ref-shanahanNarrativePolicyFramework2011"/>
      <w:bookmarkEnd w:id="206"/>
      <w:r w:rsidRPr="00555117">
        <w:rPr>
          <w:rFonts w:ascii="Times New Roman" w:hAnsi="Times New Roman" w:cs="Times New Roman"/>
        </w:rPr>
        <w:t xml:space="preserve">Shanahan, E. A., Mcbeth, M. K., &amp; Hathaway, P. L. (2011). Narrative Policy Framework: The Influence of Media Policy Narratives on Public Opinion. </w:t>
      </w:r>
      <w:r w:rsidRPr="00555117">
        <w:rPr>
          <w:rFonts w:ascii="Times New Roman" w:hAnsi="Times New Roman" w:cs="Times New Roman"/>
          <w:i/>
          <w:iCs/>
        </w:rPr>
        <w:t>Politics &amp; Policy</w:t>
      </w:r>
      <w:r w:rsidRPr="00555117">
        <w:rPr>
          <w:rFonts w:ascii="Times New Roman" w:hAnsi="Times New Roman" w:cs="Times New Roman"/>
        </w:rPr>
        <w:t xml:space="preserve">, </w:t>
      </w:r>
      <w:r w:rsidRPr="00555117">
        <w:rPr>
          <w:rFonts w:ascii="Times New Roman" w:hAnsi="Times New Roman" w:cs="Times New Roman"/>
          <w:i/>
          <w:iCs/>
        </w:rPr>
        <w:t>39</w:t>
      </w:r>
      <w:r w:rsidRPr="00555117">
        <w:rPr>
          <w:rFonts w:ascii="Times New Roman" w:hAnsi="Times New Roman" w:cs="Times New Roman"/>
        </w:rPr>
        <w:t>(3), 373–400. https://doi.org/10.1111/j.1747-1346.2011.00295.x</w:t>
      </w:r>
    </w:p>
    <w:p w14:paraId="3E2005D0" w14:textId="77777777" w:rsidR="007E38AB" w:rsidRPr="00555117" w:rsidRDefault="00000000">
      <w:pPr>
        <w:pStyle w:val="Bibliography"/>
        <w:rPr>
          <w:rFonts w:ascii="Times New Roman" w:hAnsi="Times New Roman" w:cs="Times New Roman"/>
        </w:rPr>
      </w:pPr>
      <w:bookmarkStart w:id="208" w:name="ref-shiSocialPolicyLearning2012"/>
      <w:bookmarkEnd w:id="207"/>
      <w:r w:rsidRPr="00555117">
        <w:rPr>
          <w:rFonts w:ascii="Times New Roman" w:hAnsi="Times New Roman" w:cs="Times New Roman"/>
        </w:rPr>
        <w:t xml:space="preserve">Shi, S.-J. (2012). Social Policy Learning and Diffusion in China: The Rise of Welfare Regions? </w:t>
      </w:r>
      <w:r w:rsidRPr="00555117">
        <w:rPr>
          <w:rFonts w:ascii="Times New Roman" w:hAnsi="Times New Roman" w:cs="Times New Roman"/>
          <w:i/>
          <w:iCs/>
        </w:rPr>
        <w:t>Policy &amp; Politics</w:t>
      </w:r>
      <w:r w:rsidRPr="00555117">
        <w:rPr>
          <w:rFonts w:ascii="Times New Roman" w:hAnsi="Times New Roman" w:cs="Times New Roman"/>
        </w:rPr>
        <w:t xml:space="preserve">, </w:t>
      </w:r>
      <w:r w:rsidRPr="00555117">
        <w:rPr>
          <w:rFonts w:ascii="Times New Roman" w:hAnsi="Times New Roman" w:cs="Times New Roman"/>
          <w:i/>
          <w:iCs/>
        </w:rPr>
        <w:t>40</w:t>
      </w:r>
      <w:r w:rsidRPr="00555117">
        <w:rPr>
          <w:rFonts w:ascii="Times New Roman" w:hAnsi="Times New Roman" w:cs="Times New Roman"/>
        </w:rPr>
        <w:t>(3), 367–385. https://doi.org/10.1332/147084411X581899</w:t>
      </w:r>
    </w:p>
    <w:p w14:paraId="3E2005D1" w14:textId="77777777" w:rsidR="007E38AB" w:rsidRPr="00555117" w:rsidRDefault="00000000">
      <w:pPr>
        <w:pStyle w:val="Bibliography"/>
        <w:rPr>
          <w:rFonts w:ascii="Times New Roman" w:hAnsi="Times New Roman" w:cs="Times New Roman"/>
        </w:rPr>
      </w:pPr>
      <w:bookmarkStart w:id="209" w:name="ref-shipanMechanismsPolicyDiffusion2008"/>
      <w:bookmarkEnd w:id="208"/>
      <w:r w:rsidRPr="00555117">
        <w:rPr>
          <w:rFonts w:ascii="Times New Roman" w:hAnsi="Times New Roman" w:cs="Times New Roman"/>
        </w:rPr>
        <w:t xml:space="preserve">Shipan, C. R., &amp; Volden, C. (2008). The Mechanisms of Policy Diffusion. </w:t>
      </w:r>
      <w:r w:rsidRPr="00555117">
        <w:rPr>
          <w:rFonts w:ascii="Times New Roman" w:hAnsi="Times New Roman" w:cs="Times New Roman"/>
          <w:i/>
          <w:iCs/>
        </w:rPr>
        <w:t>American Journal of Political Science</w:t>
      </w:r>
      <w:r w:rsidRPr="00555117">
        <w:rPr>
          <w:rFonts w:ascii="Times New Roman" w:hAnsi="Times New Roman" w:cs="Times New Roman"/>
        </w:rPr>
        <w:t xml:space="preserve">, </w:t>
      </w:r>
      <w:r w:rsidRPr="00555117">
        <w:rPr>
          <w:rFonts w:ascii="Times New Roman" w:hAnsi="Times New Roman" w:cs="Times New Roman"/>
          <w:i/>
          <w:iCs/>
        </w:rPr>
        <w:t>52</w:t>
      </w:r>
      <w:r w:rsidRPr="00555117">
        <w:rPr>
          <w:rFonts w:ascii="Times New Roman" w:hAnsi="Times New Roman" w:cs="Times New Roman"/>
        </w:rPr>
        <w:t>(4), 840–857. https://doi.org/http://dx.doi.org/10.1111/j.1540-5907.2008.00346.x</w:t>
      </w:r>
    </w:p>
    <w:p w14:paraId="3E2005D2" w14:textId="77777777" w:rsidR="007E38AB" w:rsidRPr="00555117" w:rsidRDefault="00000000">
      <w:pPr>
        <w:pStyle w:val="Bibliography"/>
        <w:rPr>
          <w:rFonts w:ascii="Times New Roman" w:hAnsi="Times New Roman" w:cs="Times New Roman"/>
        </w:rPr>
      </w:pPr>
      <w:bookmarkStart w:id="210" w:name="ref-shipanPolicyDiffusionSeven2012"/>
      <w:bookmarkEnd w:id="209"/>
      <w:r w:rsidRPr="00555117">
        <w:rPr>
          <w:rFonts w:ascii="Times New Roman" w:hAnsi="Times New Roman" w:cs="Times New Roman"/>
        </w:rPr>
        <w:t xml:space="preserve">Shipan, C. R., &amp; Volden, C. (2012). Policy Diffusion: Seven Lessons for Scholars and Practitioners. </w:t>
      </w:r>
      <w:r w:rsidRPr="00555117">
        <w:rPr>
          <w:rFonts w:ascii="Times New Roman" w:hAnsi="Times New Roman" w:cs="Times New Roman"/>
          <w:i/>
          <w:iCs/>
        </w:rPr>
        <w:t>Public Administration Review</w:t>
      </w:r>
      <w:r w:rsidRPr="00555117">
        <w:rPr>
          <w:rFonts w:ascii="Times New Roman" w:hAnsi="Times New Roman" w:cs="Times New Roman"/>
        </w:rPr>
        <w:t xml:space="preserve">, </w:t>
      </w:r>
      <w:r w:rsidRPr="00555117">
        <w:rPr>
          <w:rFonts w:ascii="Times New Roman" w:hAnsi="Times New Roman" w:cs="Times New Roman"/>
          <w:i/>
          <w:iCs/>
        </w:rPr>
        <w:t>72</w:t>
      </w:r>
      <w:r w:rsidRPr="00555117">
        <w:rPr>
          <w:rFonts w:ascii="Times New Roman" w:hAnsi="Times New Roman" w:cs="Times New Roman"/>
        </w:rPr>
        <w:t>(6), 788–796.</w:t>
      </w:r>
    </w:p>
    <w:p w14:paraId="3E2005D3" w14:textId="77777777" w:rsidR="007E38AB" w:rsidRPr="00555117" w:rsidRDefault="00000000">
      <w:pPr>
        <w:pStyle w:val="Bibliography"/>
        <w:rPr>
          <w:rFonts w:ascii="Times New Roman" w:hAnsi="Times New Roman" w:cs="Times New Roman"/>
        </w:rPr>
      </w:pPr>
      <w:bookmarkStart w:id="211" w:name="ref-simonBehavioralModelRational1955"/>
      <w:bookmarkEnd w:id="210"/>
      <w:r w:rsidRPr="00555117">
        <w:rPr>
          <w:rFonts w:ascii="Times New Roman" w:hAnsi="Times New Roman" w:cs="Times New Roman"/>
        </w:rPr>
        <w:t xml:space="preserve">Simon, H. A. (1955). A Behavioral Model of Rational Choice. </w:t>
      </w:r>
      <w:r w:rsidRPr="00555117">
        <w:rPr>
          <w:rFonts w:ascii="Times New Roman" w:hAnsi="Times New Roman" w:cs="Times New Roman"/>
          <w:i/>
          <w:iCs/>
        </w:rPr>
        <w:t>The Quarterly Journal of Economics</w:t>
      </w:r>
      <w:r w:rsidRPr="00555117">
        <w:rPr>
          <w:rFonts w:ascii="Times New Roman" w:hAnsi="Times New Roman" w:cs="Times New Roman"/>
        </w:rPr>
        <w:t xml:space="preserve">, </w:t>
      </w:r>
      <w:r w:rsidRPr="00555117">
        <w:rPr>
          <w:rFonts w:ascii="Times New Roman" w:hAnsi="Times New Roman" w:cs="Times New Roman"/>
          <w:i/>
          <w:iCs/>
        </w:rPr>
        <w:t>69</w:t>
      </w:r>
      <w:r w:rsidRPr="00555117">
        <w:rPr>
          <w:rFonts w:ascii="Times New Roman" w:hAnsi="Times New Roman" w:cs="Times New Roman"/>
        </w:rPr>
        <w:t>(1), 99–118.</w:t>
      </w:r>
    </w:p>
    <w:p w14:paraId="3E2005D4" w14:textId="77777777" w:rsidR="007E38AB" w:rsidRPr="00555117" w:rsidRDefault="00000000">
      <w:pPr>
        <w:pStyle w:val="Bibliography"/>
        <w:rPr>
          <w:rFonts w:ascii="Times New Roman" w:hAnsi="Times New Roman" w:cs="Times New Roman"/>
        </w:rPr>
      </w:pPr>
      <w:bookmarkStart w:id="212" w:name="ref-simonAdministrativeBehaviorStudy1997"/>
      <w:bookmarkEnd w:id="211"/>
      <w:r w:rsidRPr="00555117">
        <w:rPr>
          <w:rFonts w:ascii="Times New Roman" w:hAnsi="Times New Roman" w:cs="Times New Roman"/>
        </w:rPr>
        <w:t xml:space="preserve">Simon, H. A. (1997). </w:t>
      </w:r>
      <w:r w:rsidRPr="00555117">
        <w:rPr>
          <w:rFonts w:ascii="Times New Roman" w:hAnsi="Times New Roman" w:cs="Times New Roman"/>
          <w:i/>
          <w:iCs/>
        </w:rPr>
        <w:t>Administrative Behavior: A Study of Decision-Making Processes in Administrative Organizations</w:t>
      </w:r>
      <w:r w:rsidRPr="00555117">
        <w:rPr>
          <w:rFonts w:ascii="Times New Roman" w:hAnsi="Times New Roman" w:cs="Times New Roman"/>
        </w:rPr>
        <w:t xml:space="preserve"> (4th ed.). Free Press.</w:t>
      </w:r>
    </w:p>
    <w:p w14:paraId="3E2005D5" w14:textId="77777777" w:rsidR="007E38AB" w:rsidRPr="00555117" w:rsidRDefault="00000000">
      <w:pPr>
        <w:pStyle w:val="Bibliography"/>
        <w:rPr>
          <w:rFonts w:ascii="Times New Roman" w:hAnsi="Times New Roman" w:cs="Times New Roman"/>
        </w:rPr>
      </w:pPr>
      <w:bookmarkStart w:id="213" w:name="ref-taylorExerciseDisasterDoes2022"/>
      <w:bookmarkEnd w:id="212"/>
      <w:r w:rsidRPr="00555117">
        <w:rPr>
          <w:rFonts w:ascii="Times New Roman" w:hAnsi="Times New Roman" w:cs="Times New Roman"/>
        </w:rPr>
        <w:t xml:space="preserve">Taylor, K., Zarb, S., Jeschke, N., Sobeck, J., Smith, R., Seeger, M., &amp; McElmurry, S. P. (2022). An Exercise in Disaster: Does Policy Learning Occur After a Tabletop Crisis Scenario? </w:t>
      </w:r>
      <w:r w:rsidRPr="00555117">
        <w:rPr>
          <w:rFonts w:ascii="Times New Roman" w:hAnsi="Times New Roman" w:cs="Times New Roman"/>
          <w:i/>
          <w:iCs/>
        </w:rPr>
        <w:t>Risk, Hazards &amp; Crisis in Public Policy</w:t>
      </w:r>
      <w:r w:rsidRPr="00555117">
        <w:rPr>
          <w:rFonts w:ascii="Times New Roman" w:hAnsi="Times New Roman" w:cs="Times New Roman"/>
        </w:rPr>
        <w:t>. https://doi.org/10.1002/rhc3.12256</w:t>
      </w:r>
    </w:p>
    <w:p w14:paraId="3E2005D6" w14:textId="77777777" w:rsidR="007E38AB" w:rsidRPr="00555117" w:rsidRDefault="00000000">
      <w:pPr>
        <w:pStyle w:val="Bibliography"/>
        <w:rPr>
          <w:rFonts w:ascii="Times New Roman" w:hAnsi="Times New Roman" w:cs="Times New Roman"/>
        </w:rPr>
      </w:pPr>
      <w:bookmarkStart w:id="214" w:name="ref-treinLearningHeuristicsIssue2022"/>
      <w:bookmarkEnd w:id="213"/>
      <w:r w:rsidRPr="00555117">
        <w:rPr>
          <w:rFonts w:ascii="Times New Roman" w:hAnsi="Times New Roman" w:cs="Times New Roman"/>
        </w:rPr>
        <w:t xml:space="preserve">Trein, P., &amp; Vagionaki, T. (2022). Learning Heuristics, Issue Salience and Polarization in the Policy Process. </w:t>
      </w:r>
      <w:r w:rsidRPr="00555117">
        <w:rPr>
          <w:rFonts w:ascii="Times New Roman" w:hAnsi="Times New Roman" w:cs="Times New Roman"/>
          <w:i/>
          <w:iCs/>
        </w:rPr>
        <w:t>West European Politics</w:t>
      </w:r>
      <w:r w:rsidRPr="00555117">
        <w:rPr>
          <w:rFonts w:ascii="Times New Roman" w:hAnsi="Times New Roman" w:cs="Times New Roman"/>
        </w:rPr>
        <w:t xml:space="preserve">, </w:t>
      </w:r>
      <w:r w:rsidRPr="00555117">
        <w:rPr>
          <w:rFonts w:ascii="Times New Roman" w:hAnsi="Times New Roman" w:cs="Times New Roman"/>
          <w:i/>
          <w:iCs/>
        </w:rPr>
        <w:t>45</w:t>
      </w:r>
      <w:r w:rsidRPr="00555117">
        <w:rPr>
          <w:rFonts w:ascii="Times New Roman" w:hAnsi="Times New Roman" w:cs="Times New Roman"/>
        </w:rPr>
        <w:t>(4), 906–929. https://doi.org/10.1080/01402382.2021.1878667</w:t>
      </w:r>
    </w:p>
    <w:p w14:paraId="3E2005D7" w14:textId="77777777" w:rsidR="007E38AB" w:rsidRPr="00555117" w:rsidRDefault="00000000">
      <w:pPr>
        <w:pStyle w:val="Bibliography"/>
        <w:rPr>
          <w:rFonts w:ascii="Times New Roman" w:hAnsi="Times New Roman" w:cs="Times New Roman"/>
        </w:rPr>
      </w:pPr>
      <w:bookmarkStart w:id="215" w:name="ref-tsebelisVetoPlayersHow2002"/>
      <w:bookmarkEnd w:id="214"/>
      <w:r w:rsidRPr="00555117">
        <w:rPr>
          <w:rFonts w:ascii="Times New Roman" w:hAnsi="Times New Roman" w:cs="Times New Roman"/>
        </w:rPr>
        <w:t xml:space="preserve">Tsebelis, G. (2002). </w:t>
      </w:r>
      <w:r w:rsidRPr="00555117">
        <w:rPr>
          <w:rFonts w:ascii="Times New Roman" w:hAnsi="Times New Roman" w:cs="Times New Roman"/>
          <w:i/>
          <w:iCs/>
        </w:rPr>
        <w:t>Veto Players: How Political Institutions Work</w:t>
      </w:r>
      <w:r w:rsidRPr="00555117">
        <w:rPr>
          <w:rFonts w:ascii="Times New Roman" w:hAnsi="Times New Roman" w:cs="Times New Roman"/>
        </w:rPr>
        <w:t>. Princeton University Press.</w:t>
      </w:r>
    </w:p>
    <w:p w14:paraId="3E2005D8" w14:textId="77777777" w:rsidR="007E38AB" w:rsidRPr="00555117" w:rsidRDefault="00000000">
      <w:pPr>
        <w:pStyle w:val="Bibliography"/>
        <w:rPr>
          <w:rFonts w:ascii="Times New Roman" w:hAnsi="Times New Roman" w:cs="Times New Roman"/>
        </w:rPr>
      </w:pPr>
      <w:bookmarkStart w:id="216" w:name="ref-tumlisonCulturalValuesTrust2019"/>
      <w:bookmarkEnd w:id="215"/>
      <w:r w:rsidRPr="00555117">
        <w:rPr>
          <w:rFonts w:ascii="Times New Roman" w:hAnsi="Times New Roman" w:cs="Times New Roman"/>
        </w:rPr>
        <w:t xml:space="preserve">Tumlison, C., &amp; Song, G. (2019). Cultural Values, Trust, and Benefit-Risk Perceptions of Hydraulic Fracturing: A Comparative Analysis of Policy Elites and the General Public. </w:t>
      </w:r>
      <w:r w:rsidRPr="00555117">
        <w:rPr>
          <w:rFonts w:ascii="Times New Roman" w:hAnsi="Times New Roman" w:cs="Times New Roman"/>
          <w:i/>
          <w:iCs/>
        </w:rPr>
        <w:t>Risk Analysis</w:t>
      </w:r>
      <w:r w:rsidRPr="00555117">
        <w:rPr>
          <w:rFonts w:ascii="Times New Roman" w:hAnsi="Times New Roman" w:cs="Times New Roman"/>
        </w:rPr>
        <w:t xml:space="preserve">, </w:t>
      </w:r>
      <w:r w:rsidRPr="00555117">
        <w:rPr>
          <w:rFonts w:ascii="Times New Roman" w:hAnsi="Times New Roman" w:cs="Times New Roman"/>
          <w:i/>
          <w:iCs/>
        </w:rPr>
        <w:t>39</w:t>
      </w:r>
      <w:r w:rsidRPr="00555117">
        <w:rPr>
          <w:rFonts w:ascii="Times New Roman" w:hAnsi="Times New Roman" w:cs="Times New Roman"/>
        </w:rPr>
        <w:t>(3), 511–534. https://doi.org/10.1111/risa.13197</w:t>
      </w:r>
    </w:p>
    <w:p w14:paraId="3E2005D9" w14:textId="77777777" w:rsidR="007E38AB" w:rsidRPr="00555117" w:rsidRDefault="00000000">
      <w:pPr>
        <w:pStyle w:val="Bibliography"/>
        <w:rPr>
          <w:rFonts w:ascii="Times New Roman" w:hAnsi="Times New Roman" w:cs="Times New Roman"/>
        </w:rPr>
      </w:pPr>
      <w:bookmarkStart w:id="217" w:name="ref-voldenFormalModelLearning2008"/>
      <w:bookmarkEnd w:id="216"/>
      <w:r w:rsidRPr="00555117">
        <w:rPr>
          <w:rFonts w:ascii="Times New Roman" w:hAnsi="Times New Roman" w:cs="Times New Roman"/>
        </w:rPr>
        <w:lastRenderedPageBreak/>
        <w:t xml:space="preserve">Volden, C., Ting, M. M., &amp; Carpenter, D. P. (2008). A Formal Model of Learning and Policy Diffusion. </w:t>
      </w:r>
      <w:r w:rsidRPr="00555117">
        <w:rPr>
          <w:rFonts w:ascii="Times New Roman" w:hAnsi="Times New Roman" w:cs="Times New Roman"/>
          <w:i/>
          <w:iCs/>
        </w:rPr>
        <w:t>American Political Science Review</w:t>
      </w:r>
      <w:r w:rsidRPr="00555117">
        <w:rPr>
          <w:rFonts w:ascii="Times New Roman" w:hAnsi="Times New Roman" w:cs="Times New Roman"/>
        </w:rPr>
        <w:t xml:space="preserve">, </w:t>
      </w:r>
      <w:r w:rsidRPr="00555117">
        <w:rPr>
          <w:rFonts w:ascii="Times New Roman" w:hAnsi="Times New Roman" w:cs="Times New Roman"/>
          <w:i/>
          <w:iCs/>
        </w:rPr>
        <w:t>102</w:t>
      </w:r>
      <w:r w:rsidRPr="00555117">
        <w:rPr>
          <w:rFonts w:ascii="Times New Roman" w:hAnsi="Times New Roman" w:cs="Times New Roman"/>
        </w:rPr>
        <w:t>(03), 319–332. https://doi.org/10.1017/S0003055408080271</w:t>
      </w:r>
    </w:p>
    <w:p w14:paraId="3E2005DA" w14:textId="77777777" w:rsidR="007E38AB" w:rsidRPr="00555117" w:rsidRDefault="00000000">
      <w:pPr>
        <w:pStyle w:val="Bibliography"/>
        <w:rPr>
          <w:rFonts w:ascii="Times New Roman" w:hAnsi="Times New Roman" w:cs="Times New Roman"/>
        </w:rPr>
      </w:pPr>
      <w:bookmarkStart w:id="218" w:name="ref-wagnerCanPolicyForums2020"/>
      <w:bookmarkEnd w:id="217"/>
      <w:r w:rsidRPr="00555117">
        <w:rPr>
          <w:rFonts w:ascii="Times New Roman" w:hAnsi="Times New Roman" w:cs="Times New Roman"/>
        </w:rPr>
        <w:t xml:space="preserve">Wagner, P. M., &amp; Ylä-Anttila, T. (2020). Can Policy Forums Overcome Echo Chamber Effects by Enabling Policy Learning? Evidence from the Irish Climate Change Policy Network. </w:t>
      </w:r>
      <w:r w:rsidRPr="00555117">
        <w:rPr>
          <w:rFonts w:ascii="Times New Roman" w:hAnsi="Times New Roman" w:cs="Times New Roman"/>
          <w:i/>
          <w:iCs/>
        </w:rPr>
        <w:t>Journal of Public Policy</w:t>
      </w:r>
      <w:r w:rsidRPr="00555117">
        <w:rPr>
          <w:rFonts w:ascii="Times New Roman" w:hAnsi="Times New Roman" w:cs="Times New Roman"/>
        </w:rPr>
        <w:t xml:space="preserve">, </w:t>
      </w:r>
      <w:r w:rsidRPr="00555117">
        <w:rPr>
          <w:rFonts w:ascii="Times New Roman" w:hAnsi="Times New Roman" w:cs="Times New Roman"/>
          <w:i/>
          <w:iCs/>
        </w:rPr>
        <w:t>40</w:t>
      </w:r>
      <w:r w:rsidRPr="00555117">
        <w:rPr>
          <w:rFonts w:ascii="Times New Roman" w:hAnsi="Times New Roman" w:cs="Times New Roman"/>
        </w:rPr>
        <w:t>(2), 194–211. https://doi.org/10.1017/S0143814X18000314</w:t>
      </w:r>
    </w:p>
    <w:p w14:paraId="3E2005DB" w14:textId="77777777" w:rsidR="007E38AB" w:rsidRPr="00555117" w:rsidRDefault="00000000">
      <w:pPr>
        <w:pStyle w:val="Bibliography"/>
        <w:rPr>
          <w:rFonts w:ascii="Times New Roman" w:hAnsi="Times New Roman" w:cs="Times New Roman"/>
        </w:rPr>
      </w:pPr>
      <w:bookmarkStart w:id="219" w:name="X51f0c7bcf4d0593ab4c8477a2148030dd0321e7"/>
      <w:bookmarkEnd w:id="218"/>
      <w:r w:rsidRPr="00555117">
        <w:rPr>
          <w:rFonts w:ascii="Times New Roman" w:hAnsi="Times New Roman" w:cs="Times New Roman"/>
        </w:rPr>
        <w:t xml:space="preserve">Walgrave, S., &amp; Dejaeghere, Y. (2016). Surviving Information Overload: How Elite Politicians Select Information. </w:t>
      </w:r>
      <w:r w:rsidRPr="00555117">
        <w:rPr>
          <w:rFonts w:ascii="Times New Roman" w:hAnsi="Times New Roman" w:cs="Times New Roman"/>
          <w:i/>
          <w:iCs/>
        </w:rPr>
        <w:t>Governance</w:t>
      </w:r>
      <w:r w:rsidRPr="00555117">
        <w:rPr>
          <w:rFonts w:ascii="Times New Roman" w:hAnsi="Times New Roman" w:cs="Times New Roman"/>
        </w:rPr>
        <w:t>, n/a–n/a. https://doi.org/10.1111/gove.12209</w:t>
      </w:r>
    </w:p>
    <w:p w14:paraId="3E2005DC" w14:textId="77777777" w:rsidR="007E38AB" w:rsidRPr="00555117" w:rsidRDefault="00000000">
      <w:pPr>
        <w:pStyle w:val="Bibliography"/>
        <w:rPr>
          <w:rFonts w:ascii="Times New Roman" w:hAnsi="Times New Roman" w:cs="Times New Roman"/>
        </w:rPr>
      </w:pPr>
      <w:bookmarkStart w:id="220" w:name="X1d787a805b061ce55e53f81ef0b0797f3381166"/>
      <w:bookmarkEnd w:id="219"/>
      <w:r w:rsidRPr="00555117">
        <w:rPr>
          <w:rFonts w:ascii="Times New Roman" w:hAnsi="Times New Roman" w:cs="Times New Roman"/>
        </w:rPr>
        <w:t xml:space="preserve">Weible, C. M. (2008). Expert-Based Information and Policy Subsystems: A Review and Synthesis.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36</w:t>
      </w:r>
      <w:r w:rsidRPr="00555117">
        <w:rPr>
          <w:rFonts w:ascii="Times New Roman" w:hAnsi="Times New Roman" w:cs="Times New Roman"/>
        </w:rPr>
        <w:t>(4), 615–635.</w:t>
      </w:r>
    </w:p>
    <w:p w14:paraId="3E2005DD" w14:textId="77777777" w:rsidR="007E38AB" w:rsidRPr="00555117" w:rsidRDefault="00000000">
      <w:pPr>
        <w:pStyle w:val="Bibliography"/>
        <w:rPr>
          <w:rFonts w:ascii="Times New Roman" w:hAnsi="Times New Roman" w:cs="Times New Roman"/>
        </w:rPr>
      </w:pPr>
      <w:bookmarkStart w:id="221" w:name="ref-weibleAdvocacyCoalitionsBeliefs2022"/>
      <w:bookmarkEnd w:id="220"/>
      <w:r w:rsidRPr="00555117">
        <w:rPr>
          <w:rFonts w:ascii="Times New Roman" w:hAnsi="Times New Roman" w:cs="Times New Roman"/>
        </w:rPr>
        <w:t xml:space="preserve">Weible, C. M., Olofsson, K. L., &amp; Heikkila, T. (2023). Advocacy Coalitions, Beliefs, and Learning: An Analysis of Stability, Change, and Reinforcement.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51</w:t>
      </w:r>
      <w:r w:rsidRPr="00555117">
        <w:rPr>
          <w:rFonts w:ascii="Times New Roman" w:hAnsi="Times New Roman" w:cs="Times New Roman"/>
        </w:rPr>
        <w:t>(1), 209–229. https://doi.org/10.1111/psj.12458</w:t>
      </w:r>
    </w:p>
    <w:p w14:paraId="3E2005DE" w14:textId="77777777" w:rsidR="007E38AB" w:rsidRPr="00555117" w:rsidRDefault="00000000">
      <w:pPr>
        <w:pStyle w:val="Bibliography"/>
        <w:rPr>
          <w:rFonts w:ascii="Times New Roman" w:hAnsi="Times New Roman" w:cs="Times New Roman"/>
        </w:rPr>
      </w:pPr>
      <w:bookmarkStart w:id="222" w:name="ref-weissResearchPolicyMakingLimited1986"/>
      <w:bookmarkEnd w:id="221"/>
      <w:r w:rsidRPr="00555117">
        <w:rPr>
          <w:rFonts w:ascii="Times New Roman" w:hAnsi="Times New Roman" w:cs="Times New Roman"/>
        </w:rPr>
        <w:t xml:space="preserve">Weiss, C. H. (1986). Research and Policy-Making: A Limited Partnership. In F. Heller (Ed.), </w:t>
      </w:r>
      <w:r w:rsidRPr="00555117">
        <w:rPr>
          <w:rFonts w:ascii="Times New Roman" w:hAnsi="Times New Roman" w:cs="Times New Roman"/>
          <w:i/>
          <w:iCs/>
        </w:rPr>
        <w:t>The Use and Abuse of Social Science</w:t>
      </w:r>
      <w:r w:rsidRPr="00555117">
        <w:rPr>
          <w:rFonts w:ascii="Times New Roman" w:hAnsi="Times New Roman" w:cs="Times New Roman"/>
        </w:rPr>
        <w:t xml:space="preserve"> (pp. 214–235). Sage.</w:t>
      </w:r>
    </w:p>
    <w:p w14:paraId="3E2005DF" w14:textId="77777777" w:rsidR="007E38AB" w:rsidRPr="00555117" w:rsidRDefault="00000000">
      <w:pPr>
        <w:pStyle w:val="Bibliography"/>
        <w:rPr>
          <w:rFonts w:ascii="Times New Roman" w:hAnsi="Times New Roman" w:cs="Times New Roman"/>
        </w:rPr>
      </w:pPr>
      <w:bookmarkStart w:id="223" w:name="ref-workmanDynamicsBureaucracyUS2015"/>
      <w:bookmarkEnd w:id="222"/>
      <w:r w:rsidRPr="00555117">
        <w:rPr>
          <w:rFonts w:ascii="Times New Roman" w:hAnsi="Times New Roman" w:cs="Times New Roman"/>
        </w:rPr>
        <w:t xml:space="preserve">Workman, S. (2015). </w:t>
      </w:r>
      <w:r w:rsidRPr="00555117">
        <w:rPr>
          <w:rFonts w:ascii="Times New Roman" w:hAnsi="Times New Roman" w:cs="Times New Roman"/>
          <w:i/>
          <w:iCs/>
        </w:rPr>
        <w:t>The Dynamics of Bureaucracy in the US Government: How Congress and Federal Agencies Process Information and Solve Problems</w:t>
      </w:r>
      <w:r w:rsidRPr="00555117">
        <w:rPr>
          <w:rFonts w:ascii="Times New Roman" w:hAnsi="Times New Roman" w:cs="Times New Roman"/>
        </w:rPr>
        <w:t>. Cambridge University Press.</w:t>
      </w:r>
    </w:p>
    <w:p w14:paraId="3E2005E0" w14:textId="77777777" w:rsidR="007E38AB" w:rsidRPr="00555117" w:rsidRDefault="00000000">
      <w:pPr>
        <w:pStyle w:val="Bibliography"/>
        <w:rPr>
          <w:rFonts w:ascii="Times New Roman" w:hAnsi="Times New Roman" w:cs="Times New Roman"/>
        </w:rPr>
      </w:pPr>
      <w:bookmarkStart w:id="224" w:name="X13b994182b1b2272470c3b64a9b2227f4c0d43c"/>
      <w:bookmarkEnd w:id="223"/>
      <w:r w:rsidRPr="00555117">
        <w:rPr>
          <w:rFonts w:ascii="Times New Roman" w:hAnsi="Times New Roman" w:cs="Times New Roman"/>
        </w:rPr>
        <w:t xml:space="preserve">Workman, S., Jones, B. D., &amp; Jochim, A. E. (2009). Information Processing and Policy Dynamics.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37</w:t>
      </w:r>
      <w:r w:rsidRPr="00555117">
        <w:rPr>
          <w:rFonts w:ascii="Times New Roman" w:hAnsi="Times New Roman" w:cs="Times New Roman"/>
        </w:rPr>
        <w:t>(1), 75–92.</w:t>
      </w:r>
    </w:p>
    <w:p w14:paraId="3E2005E1" w14:textId="77777777" w:rsidR="007E38AB" w:rsidRPr="00555117" w:rsidRDefault="00000000">
      <w:pPr>
        <w:pStyle w:val="Bibliography"/>
        <w:rPr>
          <w:rFonts w:ascii="Times New Roman" w:hAnsi="Times New Roman" w:cs="Times New Roman"/>
        </w:rPr>
      </w:pPr>
      <w:bookmarkStart w:id="225" w:name="ref-zakiHelloDarknessMy2024"/>
      <w:bookmarkEnd w:id="224"/>
      <w:r w:rsidRPr="00555117">
        <w:rPr>
          <w:rFonts w:ascii="Times New Roman" w:hAnsi="Times New Roman" w:cs="Times New Roman"/>
        </w:rPr>
        <w:t xml:space="preserve">Zaki, B. L. (2024a). Hello Darkness My Old Friend: How Policy Learning Can Contribute to Value Destruction. </w:t>
      </w:r>
      <w:r w:rsidRPr="00555117">
        <w:rPr>
          <w:rFonts w:ascii="Times New Roman" w:hAnsi="Times New Roman" w:cs="Times New Roman"/>
          <w:i/>
          <w:iCs/>
        </w:rPr>
        <w:t>Policy Studies Journal</w:t>
      </w:r>
      <w:r w:rsidRPr="00555117">
        <w:rPr>
          <w:rFonts w:ascii="Times New Roman" w:hAnsi="Times New Roman" w:cs="Times New Roman"/>
        </w:rPr>
        <w:t xml:space="preserve">, </w:t>
      </w:r>
      <w:r w:rsidRPr="00555117">
        <w:rPr>
          <w:rFonts w:ascii="Times New Roman" w:hAnsi="Times New Roman" w:cs="Times New Roman"/>
          <w:i/>
          <w:iCs/>
        </w:rPr>
        <w:t>52</w:t>
      </w:r>
      <w:r w:rsidRPr="00555117">
        <w:rPr>
          <w:rFonts w:ascii="Times New Roman" w:hAnsi="Times New Roman" w:cs="Times New Roman"/>
        </w:rPr>
        <w:t>(4), 907–924. https://doi.org/10.1111/psj.12566</w:t>
      </w:r>
    </w:p>
    <w:p w14:paraId="3E2005E2" w14:textId="77777777" w:rsidR="007E38AB" w:rsidRPr="00555117" w:rsidRDefault="00000000">
      <w:pPr>
        <w:pStyle w:val="Bibliography"/>
        <w:rPr>
          <w:rFonts w:ascii="Times New Roman" w:hAnsi="Times New Roman" w:cs="Times New Roman"/>
        </w:rPr>
      </w:pPr>
      <w:bookmarkStart w:id="226" w:name="ref-zakiPolicyLearningGovernance2024"/>
      <w:bookmarkEnd w:id="225"/>
      <w:r w:rsidRPr="00555117">
        <w:rPr>
          <w:rFonts w:ascii="Times New Roman" w:hAnsi="Times New Roman" w:cs="Times New Roman"/>
        </w:rPr>
        <w:t xml:space="preserve">Zaki, B. L. (2024b). Policy Learning Governance: A New Perspective on Agency Across Policy Learning Theories. </w:t>
      </w:r>
      <w:r w:rsidRPr="00555117">
        <w:rPr>
          <w:rFonts w:ascii="Times New Roman" w:hAnsi="Times New Roman" w:cs="Times New Roman"/>
          <w:i/>
          <w:iCs/>
        </w:rPr>
        <w:t>Policy &amp; Politics</w:t>
      </w:r>
      <w:r w:rsidRPr="00555117">
        <w:rPr>
          <w:rFonts w:ascii="Times New Roman" w:hAnsi="Times New Roman" w:cs="Times New Roman"/>
        </w:rPr>
        <w:t xml:space="preserve">, </w:t>
      </w:r>
      <w:r w:rsidRPr="00555117">
        <w:rPr>
          <w:rFonts w:ascii="Times New Roman" w:hAnsi="Times New Roman" w:cs="Times New Roman"/>
          <w:i/>
          <w:iCs/>
        </w:rPr>
        <w:t>52</w:t>
      </w:r>
      <w:r w:rsidRPr="00555117">
        <w:rPr>
          <w:rFonts w:ascii="Times New Roman" w:hAnsi="Times New Roman" w:cs="Times New Roman"/>
        </w:rPr>
        <w:t>(3), 412–429. https://doi.org/10.1332/03055736Y2023D000000018</w:t>
      </w:r>
    </w:p>
    <w:p w14:paraId="3E2005E3" w14:textId="77777777" w:rsidR="007E38AB" w:rsidRPr="00555117" w:rsidRDefault="00000000">
      <w:pPr>
        <w:pStyle w:val="Bibliography"/>
        <w:rPr>
          <w:rFonts w:ascii="Times New Roman" w:hAnsi="Times New Roman" w:cs="Times New Roman"/>
        </w:rPr>
      </w:pPr>
      <w:bookmarkStart w:id="227" w:name="ref-zakiPracticingPolicyLearning2024"/>
      <w:bookmarkEnd w:id="226"/>
      <w:r w:rsidRPr="00555117">
        <w:rPr>
          <w:rFonts w:ascii="Times New Roman" w:hAnsi="Times New Roman" w:cs="Times New Roman"/>
        </w:rPr>
        <w:t xml:space="preserve">Zaki, B. L. (2024c). Practicing Policy Learning During Creeping Crises: Key Principles and Considerations from the COVID-19 Crisis. </w:t>
      </w:r>
      <w:r w:rsidRPr="00555117">
        <w:rPr>
          <w:rFonts w:ascii="Times New Roman" w:hAnsi="Times New Roman" w:cs="Times New Roman"/>
          <w:i/>
          <w:iCs/>
        </w:rPr>
        <w:t>Policy Design and Practice</w:t>
      </w:r>
      <w:r w:rsidRPr="00555117">
        <w:rPr>
          <w:rFonts w:ascii="Times New Roman" w:hAnsi="Times New Roman" w:cs="Times New Roman"/>
        </w:rPr>
        <w:t xml:space="preserve">, </w:t>
      </w:r>
      <w:r w:rsidRPr="00555117">
        <w:rPr>
          <w:rFonts w:ascii="Times New Roman" w:hAnsi="Times New Roman" w:cs="Times New Roman"/>
          <w:i/>
          <w:iCs/>
        </w:rPr>
        <w:t>7</w:t>
      </w:r>
      <w:r w:rsidRPr="00555117">
        <w:rPr>
          <w:rFonts w:ascii="Times New Roman" w:hAnsi="Times New Roman" w:cs="Times New Roman"/>
        </w:rPr>
        <w:t>(1), 87–104. https://doi.org/10.1080/25741292.2023.2237648</w:t>
      </w:r>
    </w:p>
    <w:p w14:paraId="3E2005E4" w14:textId="77777777" w:rsidR="007E38AB" w:rsidRPr="00555117" w:rsidRDefault="00000000">
      <w:pPr>
        <w:pStyle w:val="Bibliography"/>
        <w:rPr>
          <w:rFonts w:ascii="Times New Roman" w:hAnsi="Times New Roman" w:cs="Times New Roman"/>
        </w:rPr>
      </w:pPr>
      <w:bookmarkStart w:id="228" w:name="ref-zakiPolicyLearningPolicy2026"/>
      <w:bookmarkEnd w:id="227"/>
      <w:r w:rsidRPr="00555117">
        <w:rPr>
          <w:rFonts w:ascii="Times New Roman" w:hAnsi="Times New Roman" w:cs="Times New Roman"/>
        </w:rPr>
        <w:t xml:space="preserve">Zaki, B. L. (2026). Policy Learning and Policy Analysis Within European Union Institutions: A Systematic Review and Research Agenda. </w:t>
      </w:r>
      <w:r w:rsidRPr="00555117">
        <w:rPr>
          <w:rFonts w:ascii="Times New Roman" w:hAnsi="Times New Roman" w:cs="Times New Roman"/>
          <w:i/>
          <w:iCs/>
        </w:rPr>
        <w:t>European Policy Analysis</w:t>
      </w:r>
      <w:r w:rsidRPr="00555117">
        <w:rPr>
          <w:rFonts w:ascii="Times New Roman" w:hAnsi="Times New Roman" w:cs="Times New Roman"/>
        </w:rPr>
        <w:t xml:space="preserve">, </w:t>
      </w:r>
      <w:r w:rsidRPr="00555117">
        <w:rPr>
          <w:rFonts w:ascii="Times New Roman" w:hAnsi="Times New Roman" w:cs="Times New Roman"/>
          <w:i/>
          <w:iCs/>
        </w:rPr>
        <w:t>n/a</w:t>
      </w:r>
      <w:r w:rsidRPr="00555117">
        <w:rPr>
          <w:rFonts w:ascii="Times New Roman" w:hAnsi="Times New Roman" w:cs="Times New Roman"/>
        </w:rPr>
        <w:t>(n/a). https://doi.org/10.1002/epa2.70036</w:t>
      </w:r>
    </w:p>
    <w:p w14:paraId="3E2005E5" w14:textId="77777777" w:rsidR="007E38AB" w:rsidRPr="00555117" w:rsidRDefault="00000000">
      <w:pPr>
        <w:pStyle w:val="Bibliography"/>
        <w:rPr>
          <w:rFonts w:ascii="Times New Roman" w:hAnsi="Times New Roman" w:cs="Times New Roman"/>
        </w:rPr>
      </w:pPr>
      <w:bookmarkStart w:id="229" w:name="Xe56c91e5a6e11de021ff33022420311399f0cc6"/>
      <w:bookmarkEnd w:id="228"/>
      <w:r w:rsidRPr="00555117">
        <w:rPr>
          <w:rFonts w:ascii="Times New Roman" w:hAnsi="Times New Roman" w:cs="Times New Roman"/>
        </w:rPr>
        <w:t xml:space="preserve">Zaki, B. L., &amp; Dupont, C. (2024). Understanding Political Learning by Scientific Experts: A Case of EU Climate Policy. </w:t>
      </w:r>
      <w:r w:rsidRPr="00555117">
        <w:rPr>
          <w:rFonts w:ascii="Times New Roman" w:hAnsi="Times New Roman" w:cs="Times New Roman"/>
          <w:i/>
          <w:iCs/>
        </w:rPr>
        <w:t>Journal of European Public Policy</w:t>
      </w:r>
      <w:r w:rsidRPr="00555117">
        <w:rPr>
          <w:rFonts w:ascii="Times New Roman" w:hAnsi="Times New Roman" w:cs="Times New Roman"/>
        </w:rPr>
        <w:t xml:space="preserve">, </w:t>
      </w:r>
      <w:r w:rsidRPr="00555117">
        <w:rPr>
          <w:rFonts w:ascii="Times New Roman" w:hAnsi="Times New Roman" w:cs="Times New Roman"/>
          <w:i/>
          <w:iCs/>
        </w:rPr>
        <w:t>31</w:t>
      </w:r>
      <w:r w:rsidRPr="00555117">
        <w:rPr>
          <w:rFonts w:ascii="Times New Roman" w:hAnsi="Times New Roman" w:cs="Times New Roman"/>
        </w:rPr>
        <w:t>(7), 1993–2025. https://doi.org/10.1080/13501763.2023.2290206</w:t>
      </w:r>
    </w:p>
    <w:p w14:paraId="3E2005E6" w14:textId="77777777" w:rsidR="007E38AB" w:rsidRPr="00555117" w:rsidRDefault="00000000">
      <w:pPr>
        <w:pStyle w:val="Bibliography"/>
        <w:rPr>
          <w:rFonts w:ascii="Times New Roman" w:hAnsi="Times New Roman" w:cs="Times New Roman"/>
        </w:rPr>
      </w:pPr>
      <w:bookmarkStart w:id="230" w:name="ref-zakiMeasuringPolicyLearning2024"/>
      <w:bookmarkEnd w:id="229"/>
      <w:r w:rsidRPr="00555117">
        <w:rPr>
          <w:rFonts w:ascii="Times New Roman" w:hAnsi="Times New Roman" w:cs="Times New Roman"/>
        </w:rPr>
        <w:t xml:space="preserve">Zaki, B. L., &amp; Radaelli, C. M. (2024). Measuring Policy Learning: Challenges and Good Practices. </w:t>
      </w:r>
      <w:r w:rsidRPr="00555117">
        <w:rPr>
          <w:rFonts w:ascii="Times New Roman" w:hAnsi="Times New Roman" w:cs="Times New Roman"/>
          <w:i/>
          <w:iCs/>
        </w:rPr>
        <w:t>Perspectives on Public Management and Governance</w:t>
      </w:r>
      <w:r w:rsidRPr="00555117">
        <w:rPr>
          <w:rFonts w:ascii="Times New Roman" w:hAnsi="Times New Roman" w:cs="Times New Roman"/>
        </w:rPr>
        <w:t xml:space="preserve">, </w:t>
      </w:r>
      <w:r w:rsidRPr="00555117">
        <w:rPr>
          <w:rFonts w:ascii="Times New Roman" w:hAnsi="Times New Roman" w:cs="Times New Roman"/>
          <w:i/>
          <w:iCs/>
        </w:rPr>
        <w:t>7</w:t>
      </w:r>
      <w:r w:rsidRPr="00555117">
        <w:rPr>
          <w:rFonts w:ascii="Times New Roman" w:hAnsi="Times New Roman" w:cs="Times New Roman"/>
        </w:rPr>
        <w:t>(1-2), 37–46. https://doi.org/10.1093/ppmgov/gvae001</w:t>
      </w:r>
    </w:p>
    <w:p w14:paraId="3E2005E7" w14:textId="77777777" w:rsidR="007E38AB" w:rsidRPr="00555117" w:rsidRDefault="00000000">
      <w:pPr>
        <w:pStyle w:val="Bibliography"/>
        <w:rPr>
          <w:rFonts w:ascii="Times New Roman" w:hAnsi="Times New Roman" w:cs="Times New Roman"/>
        </w:rPr>
      </w:pPr>
      <w:bookmarkStart w:id="231" w:name="X030c0fad954843f6943531304b927368e037792"/>
      <w:bookmarkEnd w:id="230"/>
      <w:r w:rsidRPr="00555117">
        <w:rPr>
          <w:rFonts w:ascii="Times New Roman" w:hAnsi="Times New Roman" w:cs="Times New Roman"/>
        </w:rPr>
        <w:t xml:space="preserve">Zaki, B. L., &amp; Wayenberg, E. (2021). Shopping in the Scientific Marketplace: COVID-19 Through a Policy Learning Lens. </w:t>
      </w:r>
      <w:r w:rsidRPr="00555117">
        <w:rPr>
          <w:rFonts w:ascii="Times New Roman" w:hAnsi="Times New Roman" w:cs="Times New Roman"/>
          <w:i/>
          <w:iCs/>
        </w:rPr>
        <w:t>Policy Design and Practice</w:t>
      </w:r>
      <w:r w:rsidRPr="00555117">
        <w:rPr>
          <w:rFonts w:ascii="Times New Roman" w:hAnsi="Times New Roman" w:cs="Times New Roman"/>
        </w:rPr>
        <w:t xml:space="preserve">, </w:t>
      </w:r>
      <w:r w:rsidRPr="00555117">
        <w:rPr>
          <w:rFonts w:ascii="Times New Roman" w:hAnsi="Times New Roman" w:cs="Times New Roman"/>
          <w:i/>
          <w:iCs/>
        </w:rPr>
        <w:t>4</w:t>
      </w:r>
      <w:r w:rsidRPr="00555117">
        <w:rPr>
          <w:rFonts w:ascii="Times New Roman" w:hAnsi="Times New Roman" w:cs="Times New Roman"/>
        </w:rPr>
        <w:t>(1), 15–32. https://doi.org/10.1080/25741292.2020.1843249</w:t>
      </w:r>
    </w:p>
    <w:p w14:paraId="3E2005E8" w14:textId="77777777" w:rsidR="007E38AB" w:rsidRPr="00555117" w:rsidRDefault="00000000">
      <w:pPr>
        <w:pStyle w:val="Bibliography"/>
        <w:rPr>
          <w:rFonts w:ascii="Times New Roman" w:hAnsi="Times New Roman" w:cs="Times New Roman"/>
        </w:rPr>
      </w:pPr>
      <w:bookmarkStart w:id="232" w:name="ref-zakiHowDoesPolicy2023"/>
      <w:bookmarkEnd w:id="231"/>
      <w:r w:rsidRPr="00555117">
        <w:rPr>
          <w:rFonts w:ascii="Times New Roman" w:hAnsi="Times New Roman" w:cs="Times New Roman"/>
        </w:rPr>
        <w:lastRenderedPageBreak/>
        <w:t xml:space="preserve">Zaki, B. L., &amp; Wayenberg, E. (2023). How Does Policy Learning Take Place Across a Multilevel Governance Architecture During Crises? </w:t>
      </w:r>
      <w:r w:rsidRPr="00555117">
        <w:rPr>
          <w:rFonts w:ascii="Times New Roman" w:hAnsi="Times New Roman" w:cs="Times New Roman"/>
          <w:i/>
          <w:iCs/>
        </w:rPr>
        <w:t>Policy &amp; Politics</w:t>
      </w:r>
      <w:r w:rsidRPr="00555117">
        <w:rPr>
          <w:rFonts w:ascii="Times New Roman" w:hAnsi="Times New Roman" w:cs="Times New Roman"/>
        </w:rPr>
        <w:t>, 1–25. https://doi.org/10.1332/030557321X16680922931773</w:t>
      </w:r>
    </w:p>
    <w:p w14:paraId="3E2005E9" w14:textId="77777777" w:rsidR="007E38AB" w:rsidRPr="00555117" w:rsidRDefault="00000000">
      <w:pPr>
        <w:pStyle w:val="Bibliography"/>
        <w:rPr>
          <w:rFonts w:ascii="Times New Roman" w:hAnsi="Times New Roman" w:cs="Times New Roman"/>
        </w:rPr>
      </w:pPr>
      <w:bookmarkStart w:id="233" w:name="ref-zakiSystematicReviewPolicy2022"/>
      <w:bookmarkEnd w:id="232"/>
      <w:r w:rsidRPr="00555117">
        <w:rPr>
          <w:rFonts w:ascii="Times New Roman" w:hAnsi="Times New Roman" w:cs="Times New Roman"/>
        </w:rPr>
        <w:t xml:space="preserve">Zaki, B. L., Wayenberg, E., &amp; George, B. (2022). A Systematic Review of Policy Learning: Tiptoeing through a Conceptual Minefield. </w:t>
      </w:r>
      <w:r w:rsidRPr="00555117">
        <w:rPr>
          <w:rFonts w:ascii="Times New Roman" w:hAnsi="Times New Roman" w:cs="Times New Roman"/>
          <w:i/>
          <w:iCs/>
        </w:rPr>
        <w:t>Policy Studies Yearbook</w:t>
      </w:r>
      <w:r w:rsidRPr="00555117">
        <w:rPr>
          <w:rFonts w:ascii="Times New Roman" w:hAnsi="Times New Roman" w:cs="Times New Roman"/>
        </w:rPr>
        <w:t xml:space="preserve">, </w:t>
      </w:r>
      <w:r w:rsidRPr="00555117">
        <w:rPr>
          <w:rFonts w:ascii="Times New Roman" w:hAnsi="Times New Roman" w:cs="Times New Roman"/>
          <w:i/>
          <w:iCs/>
        </w:rPr>
        <w:t>12</w:t>
      </w:r>
      <w:r w:rsidRPr="00555117">
        <w:rPr>
          <w:rFonts w:ascii="Times New Roman" w:hAnsi="Times New Roman" w:cs="Times New Roman"/>
        </w:rPr>
        <w:t>(1). https://doi.org/10.18278/psy.12.1.2</w:t>
      </w:r>
    </w:p>
    <w:p w14:paraId="3E2005EA" w14:textId="77777777" w:rsidR="007E38AB" w:rsidRPr="00555117" w:rsidRDefault="00000000">
      <w:pPr>
        <w:pStyle w:val="Bibliography"/>
        <w:rPr>
          <w:rFonts w:ascii="Times New Roman" w:hAnsi="Times New Roman" w:cs="Times New Roman"/>
        </w:rPr>
      </w:pPr>
      <w:bookmarkStart w:id="234" w:name="ref-zakiPolicyLearningEvidence2024"/>
      <w:bookmarkEnd w:id="233"/>
      <w:r w:rsidRPr="00555117">
        <w:rPr>
          <w:rFonts w:ascii="Times New Roman" w:hAnsi="Times New Roman" w:cs="Times New Roman"/>
        </w:rPr>
        <w:t xml:space="preserve">Zaki, B., Pattyn, V., &amp; Wayenberg, E. (2024). Policy Learning from Evidence During Polycrises: A Case of EU Environmental Policy. </w:t>
      </w:r>
      <w:r w:rsidRPr="00555117">
        <w:rPr>
          <w:rFonts w:ascii="Times New Roman" w:hAnsi="Times New Roman" w:cs="Times New Roman"/>
          <w:i/>
          <w:iCs/>
        </w:rPr>
        <w:t>Policy Design and Practice</w:t>
      </w:r>
      <w:r w:rsidRPr="00555117">
        <w:rPr>
          <w:rFonts w:ascii="Times New Roman" w:hAnsi="Times New Roman" w:cs="Times New Roman"/>
        </w:rPr>
        <w:t>, 1–19. https://doi.org/10.1080/25741292.2024.2344822</w:t>
      </w:r>
    </w:p>
    <w:p w14:paraId="3E2005EB" w14:textId="77777777" w:rsidR="007E38AB" w:rsidRPr="00555117" w:rsidRDefault="00000000">
      <w:pPr>
        <w:pStyle w:val="Bibliography"/>
        <w:rPr>
          <w:rFonts w:ascii="Times New Roman" w:hAnsi="Times New Roman" w:cs="Times New Roman"/>
        </w:rPr>
      </w:pPr>
      <w:bookmarkStart w:id="235" w:name="ref-zitoEuropeanAgenciesAgents2009"/>
      <w:bookmarkEnd w:id="234"/>
      <w:r w:rsidRPr="00555117">
        <w:rPr>
          <w:rFonts w:ascii="Times New Roman" w:hAnsi="Times New Roman" w:cs="Times New Roman"/>
        </w:rPr>
        <w:t xml:space="preserve">Zito, A. (2009). European Agencies as Agents of Governance and EU Learning. </w:t>
      </w:r>
      <w:r w:rsidRPr="00555117">
        <w:rPr>
          <w:rFonts w:ascii="Times New Roman" w:hAnsi="Times New Roman" w:cs="Times New Roman"/>
          <w:i/>
          <w:iCs/>
        </w:rPr>
        <w:t>Journal of European Public Policy</w:t>
      </w:r>
      <w:r w:rsidRPr="00555117">
        <w:rPr>
          <w:rFonts w:ascii="Times New Roman" w:hAnsi="Times New Roman" w:cs="Times New Roman"/>
        </w:rPr>
        <w:t xml:space="preserve">, </w:t>
      </w:r>
      <w:r w:rsidRPr="00555117">
        <w:rPr>
          <w:rFonts w:ascii="Times New Roman" w:hAnsi="Times New Roman" w:cs="Times New Roman"/>
          <w:i/>
          <w:iCs/>
        </w:rPr>
        <w:t>16</w:t>
      </w:r>
      <w:r w:rsidRPr="00555117">
        <w:rPr>
          <w:rFonts w:ascii="Times New Roman" w:hAnsi="Times New Roman" w:cs="Times New Roman"/>
        </w:rPr>
        <w:t>(8), 1224–1243. https://doi.org/10.1080/13501760903332795</w:t>
      </w:r>
      <w:bookmarkEnd w:id="58"/>
      <w:bookmarkEnd w:id="61"/>
      <w:bookmarkEnd w:id="235"/>
    </w:p>
    <w:sectPr w:rsidR="007E38AB" w:rsidRPr="00555117" w:rsidSect="00623F4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E47AA" w14:textId="77777777" w:rsidR="007017B6" w:rsidRDefault="007017B6">
      <w:pPr>
        <w:spacing w:after="0" w:line="240" w:lineRule="auto"/>
      </w:pPr>
      <w:r>
        <w:separator/>
      </w:r>
    </w:p>
  </w:endnote>
  <w:endnote w:type="continuationSeparator" w:id="0">
    <w:p w14:paraId="0EB70691" w14:textId="77777777" w:rsidR="007017B6" w:rsidRDefault="00701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14724"/>
      <w:docPartObj>
        <w:docPartGallery w:val="Page Numbers (Bottom of Page)"/>
        <w:docPartUnique/>
      </w:docPartObj>
    </w:sdtPr>
    <w:sdtEndPr>
      <w:rPr>
        <w:noProof/>
      </w:rPr>
    </w:sdtEndPr>
    <w:sdtContent>
      <w:p w14:paraId="3E2005F8" w14:textId="77777777" w:rsidR="00406786" w:rsidRDefault="004067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2005F9" w14:textId="77777777" w:rsidR="00406786" w:rsidRDefault="004067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39AA5" w14:textId="77777777" w:rsidR="007017B6" w:rsidRDefault="007017B6">
      <w:pPr>
        <w:spacing w:after="0" w:line="240" w:lineRule="auto"/>
      </w:pPr>
      <w:r>
        <w:separator/>
      </w:r>
    </w:p>
  </w:footnote>
  <w:footnote w:type="continuationSeparator" w:id="0">
    <w:p w14:paraId="701A28E3" w14:textId="77777777" w:rsidR="007017B6" w:rsidRDefault="007017B6">
      <w:pPr>
        <w:spacing w:after="0" w:line="240" w:lineRule="auto"/>
      </w:pPr>
      <w:r>
        <w:continuationSeparator/>
      </w:r>
    </w:p>
  </w:footnote>
  <w:footnote w:id="1">
    <w:p w14:paraId="3E2005FA" w14:textId="77777777" w:rsidR="007E38AB" w:rsidRPr="00EB29F3" w:rsidRDefault="00000000">
      <w:pPr>
        <w:rPr>
          <w:rFonts w:ascii="Times New Roman" w:hAnsi="Times New Roman" w:cs="Times New Roman"/>
          <w:sz w:val="20"/>
          <w:szCs w:val="20"/>
        </w:rPr>
      </w:pPr>
      <w:r w:rsidRPr="00EB29F3">
        <w:rPr>
          <w:rFonts w:ascii="Times New Roman" w:hAnsi="Times New Roman" w:cs="Times New Roman"/>
          <w:sz w:val="20"/>
          <w:szCs w:val="20"/>
        </w:rPr>
        <w:footnoteRef/>
      </w:r>
      <w:r w:rsidRPr="00EB29F3">
        <w:rPr>
          <w:rFonts w:ascii="Times New Roman" w:hAnsi="Times New Roman" w:cs="Times New Roman"/>
          <w:sz w:val="20"/>
          <w:szCs w:val="20"/>
        </w:rPr>
        <w:t xml:space="preserve"> Another possible outcome is a </w:t>
      </w:r>
      <w:proofErr w:type="gramStart"/>
      <w:r w:rsidRPr="00EB29F3">
        <w:rPr>
          <w:rFonts w:ascii="Times New Roman" w:hAnsi="Times New Roman" w:cs="Times New Roman"/>
          <w:sz w:val="20"/>
          <w:szCs w:val="20"/>
        </w:rPr>
        <w:t>back-lash</w:t>
      </w:r>
      <w:proofErr w:type="gramEnd"/>
      <w:r w:rsidRPr="00EB29F3">
        <w:rPr>
          <w:rFonts w:ascii="Times New Roman" w:hAnsi="Times New Roman" w:cs="Times New Roman"/>
          <w:sz w:val="20"/>
          <w:szCs w:val="20"/>
        </w:rPr>
        <w:t xml:space="preserve"> or boomerang effect, where beliefs move in the opposite direction of the information (Druckman &amp; McGrath, 2019; Hart &amp; Nisbet, 2012). However, in our conceptualization learning from information processing only occurs when the posterior beliefs are congruent with the information, therefore a boomerang effect would not be considered learning even though it is in response to information.</w:t>
      </w:r>
    </w:p>
  </w:footnote>
  <w:footnote w:id="2">
    <w:p w14:paraId="3E2005FB" w14:textId="77777777" w:rsidR="007E38AB" w:rsidRPr="00917AE7" w:rsidRDefault="00000000">
      <w:pPr>
        <w:rPr>
          <w:rFonts w:ascii="Times New Roman" w:hAnsi="Times New Roman" w:cs="Times New Roman"/>
          <w:sz w:val="20"/>
          <w:szCs w:val="20"/>
        </w:rPr>
      </w:pPr>
      <w:r w:rsidRPr="00917AE7">
        <w:rPr>
          <w:rFonts w:ascii="Times New Roman" w:hAnsi="Times New Roman" w:cs="Times New Roman"/>
          <w:sz w:val="20"/>
          <w:szCs w:val="20"/>
        </w:rPr>
        <w:footnoteRef/>
      </w:r>
      <w:r w:rsidRPr="00917AE7">
        <w:rPr>
          <w:rFonts w:ascii="Times New Roman" w:hAnsi="Times New Roman" w:cs="Times New Roman"/>
          <w:sz w:val="20"/>
          <w:szCs w:val="20"/>
        </w:rPr>
        <w:t xml:space="preserve"> Some years are missing due to question wording changes.</w:t>
      </w:r>
    </w:p>
  </w:footnote>
  <w:footnote w:id="3">
    <w:p w14:paraId="3E2005FC" w14:textId="77777777" w:rsidR="007E38AB" w:rsidRDefault="00000000">
      <w:r w:rsidRPr="00917AE7">
        <w:rPr>
          <w:rFonts w:ascii="Times New Roman" w:hAnsi="Times New Roman" w:cs="Times New Roman"/>
          <w:sz w:val="20"/>
          <w:szCs w:val="20"/>
        </w:rPr>
        <w:footnoteRef/>
      </w:r>
      <w:r w:rsidRPr="00917AE7">
        <w:rPr>
          <w:rFonts w:ascii="Times New Roman" w:hAnsi="Times New Roman" w:cs="Times New Roman"/>
          <w:sz w:val="20"/>
          <w:szCs w:val="20"/>
        </w:rPr>
        <w:t xml:space="preserve"> We thank Dr. Hank Jenkins-Smith and Dr. Kuhika Gupta for the use of the data.</w:t>
      </w:r>
    </w:p>
  </w:footnote>
  <w:footnote w:id="4">
    <w:p w14:paraId="3E2005FD" w14:textId="77777777" w:rsidR="007E38AB" w:rsidRPr="00917AE7" w:rsidRDefault="00000000">
      <w:pPr>
        <w:rPr>
          <w:rFonts w:ascii="Times New Roman" w:hAnsi="Times New Roman" w:cs="Times New Roman"/>
          <w:sz w:val="20"/>
          <w:szCs w:val="20"/>
        </w:rPr>
      </w:pPr>
      <w:r w:rsidRPr="00917AE7">
        <w:rPr>
          <w:rFonts w:ascii="Times New Roman" w:hAnsi="Times New Roman" w:cs="Times New Roman"/>
          <w:sz w:val="20"/>
          <w:szCs w:val="20"/>
        </w:rPr>
        <w:footnoteRef/>
      </w:r>
      <w:r w:rsidRPr="00917AE7">
        <w:rPr>
          <w:rFonts w:ascii="Times New Roman" w:hAnsi="Times New Roman" w:cs="Times New Roman"/>
          <w:sz w:val="20"/>
          <w:szCs w:val="20"/>
        </w:rPr>
        <w:t xml:space="preserve"> We do not have a measure of secondary beliefs, rather we assume that secondary beliefs are implied by policy preferences.</w:t>
      </w:r>
    </w:p>
  </w:footnote>
  <w:footnote w:id="5">
    <w:p w14:paraId="3E2005FE" w14:textId="2DDEA9C3" w:rsidR="007E38AB" w:rsidRPr="007C72DF" w:rsidRDefault="00000000">
      <w:pPr>
        <w:rPr>
          <w:rFonts w:ascii="Times New Roman" w:hAnsi="Times New Roman" w:cs="Times New Roman"/>
          <w:sz w:val="20"/>
          <w:szCs w:val="20"/>
        </w:rPr>
      </w:pPr>
      <w:r w:rsidRPr="007C72DF">
        <w:rPr>
          <w:rFonts w:ascii="Times New Roman" w:hAnsi="Times New Roman" w:cs="Times New Roman"/>
          <w:sz w:val="20"/>
          <w:szCs w:val="20"/>
        </w:rPr>
        <w:footnoteRef/>
      </w:r>
      <w:r w:rsidRPr="007C72DF">
        <w:rPr>
          <w:rFonts w:ascii="Times New Roman" w:hAnsi="Times New Roman" w:cs="Times New Roman"/>
          <w:sz w:val="20"/>
          <w:szCs w:val="20"/>
        </w:rPr>
        <w:t xml:space="preserve"> For the path analysis we used the standardized coefficients from the OLS regression shown in </w:t>
      </w:r>
      <w:hyperlink w:anchor="tbl-results">
        <w:r w:rsidRPr="007C72DF">
          <w:rPr>
            <w:rFonts w:ascii="Times New Roman" w:hAnsi="Times New Roman" w:cs="Times New Roman"/>
            <w:sz w:val="20"/>
            <w:szCs w:val="20"/>
          </w:rPr>
          <w:t>Table 4.2</w:t>
        </w:r>
      </w:hyperlink>
      <w:r w:rsidRPr="007C72DF">
        <w:rPr>
          <w:rFonts w:ascii="Times New Roman" w:hAnsi="Times New Roman" w:cs="Times New Roman"/>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CE32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A65E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55B4946"/>
    <w:multiLevelType w:val="hybridMultilevel"/>
    <w:tmpl w:val="9BC0C12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4F701E"/>
    <w:multiLevelType w:val="hybridMultilevel"/>
    <w:tmpl w:val="ACA4ADC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FBB1D3E"/>
    <w:multiLevelType w:val="multilevel"/>
    <w:tmpl w:val="D29C26B6"/>
    <w:lvl w:ilvl="0">
      <w:start w:val="1"/>
      <w:numFmt w:val="decimal"/>
      <w:lvlText w:val="%1."/>
      <w:lvlJc w:val="left"/>
      <w:pPr>
        <w:ind w:left="720" w:hanging="360"/>
      </w:pPr>
      <w:rPr>
        <w:rFonts w:hint="default"/>
      </w:rPr>
    </w:lvl>
    <w:lvl w:ilvl="1">
      <w:start w:val="3"/>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529226883">
    <w:abstractNumId w:val="4"/>
  </w:num>
  <w:num w:numId="2" w16cid:durableId="1849296831">
    <w:abstractNumId w:val="3"/>
  </w:num>
  <w:num w:numId="3" w16cid:durableId="168640127">
    <w:abstractNumId w:val="2"/>
  </w:num>
  <w:num w:numId="4" w16cid:durableId="1033188344">
    <w:abstractNumId w:val="0"/>
  </w:num>
  <w:num w:numId="5" w16cid:durableId="241455688">
    <w:abstractNumId w:val="1"/>
  </w:num>
  <w:num w:numId="6" w16cid:durableId="1095635672">
    <w:abstractNumId w:val="1"/>
  </w:num>
  <w:num w:numId="7" w16cid:durableId="1027027793">
    <w:abstractNumId w:val="1"/>
  </w:num>
  <w:num w:numId="8" w16cid:durableId="1603608060">
    <w:abstractNumId w:val="1"/>
  </w:num>
  <w:num w:numId="9" w16cid:durableId="322665307">
    <w:abstractNumId w:val="1"/>
  </w:num>
  <w:num w:numId="10" w16cid:durableId="1156996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2F"/>
    <w:rsid w:val="00000697"/>
    <w:rsid w:val="00003213"/>
    <w:rsid w:val="000043C1"/>
    <w:rsid w:val="000043EE"/>
    <w:rsid w:val="000048C8"/>
    <w:rsid w:val="00005DC0"/>
    <w:rsid w:val="0000713A"/>
    <w:rsid w:val="0001041D"/>
    <w:rsid w:val="00010B0E"/>
    <w:rsid w:val="00011F3D"/>
    <w:rsid w:val="00012EC3"/>
    <w:rsid w:val="00013502"/>
    <w:rsid w:val="00013B68"/>
    <w:rsid w:val="00013C09"/>
    <w:rsid w:val="00015716"/>
    <w:rsid w:val="00015D7C"/>
    <w:rsid w:val="00017604"/>
    <w:rsid w:val="000212AE"/>
    <w:rsid w:val="00023156"/>
    <w:rsid w:val="00023691"/>
    <w:rsid w:val="0002399F"/>
    <w:rsid w:val="0002414F"/>
    <w:rsid w:val="00025680"/>
    <w:rsid w:val="00025881"/>
    <w:rsid w:val="00026BDE"/>
    <w:rsid w:val="00027619"/>
    <w:rsid w:val="00027835"/>
    <w:rsid w:val="00031E5C"/>
    <w:rsid w:val="00032ECF"/>
    <w:rsid w:val="00032F7B"/>
    <w:rsid w:val="0003551D"/>
    <w:rsid w:val="00035EEC"/>
    <w:rsid w:val="000367A8"/>
    <w:rsid w:val="000373E9"/>
    <w:rsid w:val="00040999"/>
    <w:rsid w:val="00040C2A"/>
    <w:rsid w:val="00041323"/>
    <w:rsid w:val="00043249"/>
    <w:rsid w:val="00044E86"/>
    <w:rsid w:val="00045697"/>
    <w:rsid w:val="0004638C"/>
    <w:rsid w:val="0004702C"/>
    <w:rsid w:val="00050DB7"/>
    <w:rsid w:val="00055C26"/>
    <w:rsid w:val="00056684"/>
    <w:rsid w:val="00056FCF"/>
    <w:rsid w:val="00057CAA"/>
    <w:rsid w:val="00060889"/>
    <w:rsid w:val="00060F76"/>
    <w:rsid w:val="0006133A"/>
    <w:rsid w:val="00061E46"/>
    <w:rsid w:val="00062DDF"/>
    <w:rsid w:val="00064275"/>
    <w:rsid w:val="00065BD6"/>
    <w:rsid w:val="0006710A"/>
    <w:rsid w:val="00067765"/>
    <w:rsid w:val="00067E14"/>
    <w:rsid w:val="00071B24"/>
    <w:rsid w:val="000743FD"/>
    <w:rsid w:val="00075FAE"/>
    <w:rsid w:val="00077D9D"/>
    <w:rsid w:val="00080510"/>
    <w:rsid w:val="00080F5D"/>
    <w:rsid w:val="00082D57"/>
    <w:rsid w:val="000858F3"/>
    <w:rsid w:val="000918ED"/>
    <w:rsid w:val="000934AC"/>
    <w:rsid w:val="00094BA3"/>
    <w:rsid w:val="000971D0"/>
    <w:rsid w:val="000A1A48"/>
    <w:rsid w:val="000A3ACE"/>
    <w:rsid w:val="000A4AB4"/>
    <w:rsid w:val="000B4C08"/>
    <w:rsid w:val="000B5D15"/>
    <w:rsid w:val="000B666C"/>
    <w:rsid w:val="000B6763"/>
    <w:rsid w:val="000C44D2"/>
    <w:rsid w:val="000C4CE9"/>
    <w:rsid w:val="000C5574"/>
    <w:rsid w:val="000C5A9A"/>
    <w:rsid w:val="000C675D"/>
    <w:rsid w:val="000C6CDF"/>
    <w:rsid w:val="000C7A43"/>
    <w:rsid w:val="000D20A5"/>
    <w:rsid w:val="000D27A4"/>
    <w:rsid w:val="000D35DC"/>
    <w:rsid w:val="000D481D"/>
    <w:rsid w:val="000E1C2A"/>
    <w:rsid w:val="000E2F45"/>
    <w:rsid w:val="000E4850"/>
    <w:rsid w:val="000E7470"/>
    <w:rsid w:val="000F0E66"/>
    <w:rsid w:val="000F4CB9"/>
    <w:rsid w:val="000F79D0"/>
    <w:rsid w:val="001025E8"/>
    <w:rsid w:val="00102B98"/>
    <w:rsid w:val="00103128"/>
    <w:rsid w:val="00103D4B"/>
    <w:rsid w:val="0010746A"/>
    <w:rsid w:val="001074A1"/>
    <w:rsid w:val="00112CAD"/>
    <w:rsid w:val="00114C59"/>
    <w:rsid w:val="00117A37"/>
    <w:rsid w:val="00117A56"/>
    <w:rsid w:val="00120449"/>
    <w:rsid w:val="001229FC"/>
    <w:rsid w:val="00123C07"/>
    <w:rsid w:val="001240E8"/>
    <w:rsid w:val="0012532C"/>
    <w:rsid w:val="00125630"/>
    <w:rsid w:val="001265EA"/>
    <w:rsid w:val="001304F2"/>
    <w:rsid w:val="001305EF"/>
    <w:rsid w:val="00130A46"/>
    <w:rsid w:val="0013189B"/>
    <w:rsid w:val="0013389C"/>
    <w:rsid w:val="001420F5"/>
    <w:rsid w:val="001438C0"/>
    <w:rsid w:val="00144190"/>
    <w:rsid w:val="00146237"/>
    <w:rsid w:val="00146E64"/>
    <w:rsid w:val="001524D2"/>
    <w:rsid w:val="001526CD"/>
    <w:rsid w:val="00155DCE"/>
    <w:rsid w:val="00156D14"/>
    <w:rsid w:val="0015774C"/>
    <w:rsid w:val="00160B87"/>
    <w:rsid w:val="0016243F"/>
    <w:rsid w:val="001632F5"/>
    <w:rsid w:val="00171393"/>
    <w:rsid w:val="00171722"/>
    <w:rsid w:val="00171CBE"/>
    <w:rsid w:val="00172C27"/>
    <w:rsid w:val="00174143"/>
    <w:rsid w:val="001747CA"/>
    <w:rsid w:val="00175540"/>
    <w:rsid w:val="00177282"/>
    <w:rsid w:val="001773F2"/>
    <w:rsid w:val="00180805"/>
    <w:rsid w:val="0018095E"/>
    <w:rsid w:val="00182350"/>
    <w:rsid w:val="00183C8D"/>
    <w:rsid w:val="00192029"/>
    <w:rsid w:val="0019436D"/>
    <w:rsid w:val="001968B9"/>
    <w:rsid w:val="0019739B"/>
    <w:rsid w:val="001A3E69"/>
    <w:rsid w:val="001A5A42"/>
    <w:rsid w:val="001A69D2"/>
    <w:rsid w:val="001B1A2B"/>
    <w:rsid w:val="001B1D56"/>
    <w:rsid w:val="001B34F9"/>
    <w:rsid w:val="001B3C8E"/>
    <w:rsid w:val="001B3EC3"/>
    <w:rsid w:val="001B42DC"/>
    <w:rsid w:val="001B46F1"/>
    <w:rsid w:val="001B4A05"/>
    <w:rsid w:val="001B7628"/>
    <w:rsid w:val="001C047B"/>
    <w:rsid w:val="001C0A62"/>
    <w:rsid w:val="001C4116"/>
    <w:rsid w:val="001C43FB"/>
    <w:rsid w:val="001C4A21"/>
    <w:rsid w:val="001C5528"/>
    <w:rsid w:val="001C63A0"/>
    <w:rsid w:val="001D127E"/>
    <w:rsid w:val="001D1550"/>
    <w:rsid w:val="001D2759"/>
    <w:rsid w:val="001D7B12"/>
    <w:rsid w:val="001E19DC"/>
    <w:rsid w:val="001E2BAC"/>
    <w:rsid w:val="001E377F"/>
    <w:rsid w:val="001E6B7D"/>
    <w:rsid w:val="001E6C9C"/>
    <w:rsid w:val="001E7092"/>
    <w:rsid w:val="001F4FD6"/>
    <w:rsid w:val="001F559E"/>
    <w:rsid w:val="001F7536"/>
    <w:rsid w:val="00200717"/>
    <w:rsid w:val="0020406F"/>
    <w:rsid w:val="00205CD9"/>
    <w:rsid w:val="00211354"/>
    <w:rsid w:val="00211B3D"/>
    <w:rsid w:val="0021220E"/>
    <w:rsid w:val="002145F7"/>
    <w:rsid w:val="00215E0E"/>
    <w:rsid w:val="00216422"/>
    <w:rsid w:val="00222B24"/>
    <w:rsid w:val="00223F03"/>
    <w:rsid w:val="0023059D"/>
    <w:rsid w:val="00230C00"/>
    <w:rsid w:val="00230E02"/>
    <w:rsid w:val="00231406"/>
    <w:rsid w:val="00234664"/>
    <w:rsid w:val="0023707C"/>
    <w:rsid w:val="0023728C"/>
    <w:rsid w:val="00240203"/>
    <w:rsid w:val="00242DCB"/>
    <w:rsid w:val="00244171"/>
    <w:rsid w:val="0025034E"/>
    <w:rsid w:val="0025240B"/>
    <w:rsid w:val="002550CD"/>
    <w:rsid w:val="002559A3"/>
    <w:rsid w:val="00256B03"/>
    <w:rsid w:val="00256D7D"/>
    <w:rsid w:val="00263371"/>
    <w:rsid w:val="00264800"/>
    <w:rsid w:val="002664D1"/>
    <w:rsid w:val="00267E21"/>
    <w:rsid w:val="002705CA"/>
    <w:rsid w:val="002718D2"/>
    <w:rsid w:val="0027685F"/>
    <w:rsid w:val="00276BFD"/>
    <w:rsid w:val="002817CC"/>
    <w:rsid w:val="00282B30"/>
    <w:rsid w:val="002837A7"/>
    <w:rsid w:val="00283E1C"/>
    <w:rsid w:val="00284441"/>
    <w:rsid w:val="0028482B"/>
    <w:rsid w:val="00284B35"/>
    <w:rsid w:val="002854C0"/>
    <w:rsid w:val="002877CD"/>
    <w:rsid w:val="0029295A"/>
    <w:rsid w:val="0029305E"/>
    <w:rsid w:val="00293E69"/>
    <w:rsid w:val="00293FCA"/>
    <w:rsid w:val="00294927"/>
    <w:rsid w:val="00295AC5"/>
    <w:rsid w:val="002A084A"/>
    <w:rsid w:val="002A27C7"/>
    <w:rsid w:val="002A3D92"/>
    <w:rsid w:val="002B0B98"/>
    <w:rsid w:val="002B5A6F"/>
    <w:rsid w:val="002C05C0"/>
    <w:rsid w:val="002C0DED"/>
    <w:rsid w:val="002C2BA1"/>
    <w:rsid w:val="002C3690"/>
    <w:rsid w:val="002C660C"/>
    <w:rsid w:val="002C77E3"/>
    <w:rsid w:val="002D51F5"/>
    <w:rsid w:val="002D5E06"/>
    <w:rsid w:val="002E0079"/>
    <w:rsid w:val="002E1894"/>
    <w:rsid w:val="002E4908"/>
    <w:rsid w:val="002E6DED"/>
    <w:rsid w:val="002E763C"/>
    <w:rsid w:val="002F373D"/>
    <w:rsid w:val="002F5972"/>
    <w:rsid w:val="002F5BE0"/>
    <w:rsid w:val="002F5DC3"/>
    <w:rsid w:val="002F7AF2"/>
    <w:rsid w:val="003000A1"/>
    <w:rsid w:val="003017C0"/>
    <w:rsid w:val="00302AD6"/>
    <w:rsid w:val="00302F30"/>
    <w:rsid w:val="00304AB3"/>
    <w:rsid w:val="003053E0"/>
    <w:rsid w:val="003104A3"/>
    <w:rsid w:val="00310826"/>
    <w:rsid w:val="003134A7"/>
    <w:rsid w:val="00314902"/>
    <w:rsid w:val="00315092"/>
    <w:rsid w:val="003158B1"/>
    <w:rsid w:val="0031643B"/>
    <w:rsid w:val="00316778"/>
    <w:rsid w:val="00323171"/>
    <w:rsid w:val="00323240"/>
    <w:rsid w:val="003247C2"/>
    <w:rsid w:val="003259D5"/>
    <w:rsid w:val="00325B2D"/>
    <w:rsid w:val="00325EAD"/>
    <w:rsid w:val="00327FF3"/>
    <w:rsid w:val="00331B6B"/>
    <w:rsid w:val="00331DD8"/>
    <w:rsid w:val="0033575C"/>
    <w:rsid w:val="00342C1E"/>
    <w:rsid w:val="00343DEC"/>
    <w:rsid w:val="00344482"/>
    <w:rsid w:val="00345450"/>
    <w:rsid w:val="00346DB9"/>
    <w:rsid w:val="00347408"/>
    <w:rsid w:val="00347748"/>
    <w:rsid w:val="00351DF8"/>
    <w:rsid w:val="00351E8E"/>
    <w:rsid w:val="003526A3"/>
    <w:rsid w:val="00354016"/>
    <w:rsid w:val="00354F36"/>
    <w:rsid w:val="00356361"/>
    <w:rsid w:val="00356992"/>
    <w:rsid w:val="00357218"/>
    <w:rsid w:val="003572DC"/>
    <w:rsid w:val="00361428"/>
    <w:rsid w:val="00361A48"/>
    <w:rsid w:val="0036400C"/>
    <w:rsid w:val="00364942"/>
    <w:rsid w:val="003661DF"/>
    <w:rsid w:val="00366D74"/>
    <w:rsid w:val="00367081"/>
    <w:rsid w:val="00370012"/>
    <w:rsid w:val="00373607"/>
    <w:rsid w:val="00373742"/>
    <w:rsid w:val="00373DEB"/>
    <w:rsid w:val="00375FED"/>
    <w:rsid w:val="00376E04"/>
    <w:rsid w:val="00380788"/>
    <w:rsid w:val="00381C54"/>
    <w:rsid w:val="00383453"/>
    <w:rsid w:val="00385045"/>
    <w:rsid w:val="003872D8"/>
    <w:rsid w:val="00390B3E"/>
    <w:rsid w:val="003911DC"/>
    <w:rsid w:val="00392A14"/>
    <w:rsid w:val="00392E02"/>
    <w:rsid w:val="00393725"/>
    <w:rsid w:val="0039555A"/>
    <w:rsid w:val="00395C29"/>
    <w:rsid w:val="00396054"/>
    <w:rsid w:val="00396BAE"/>
    <w:rsid w:val="003A07FE"/>
    <w:rsid w:val="003A512F"/>
    <w:rsid w:val="003A6F21"/>
    <w:rsid w:val="003A79B8"/>
    <w:rsid w:val="003B1704"/>
    <w:rsid w:val="003B4485"/>
    <w:rsid w:val="003B5138"/>
    <w:rsid w:val="003B5F60"/>
    <w:rsid w:val="003B66F3"/>
    <w:rsid w:val="003B7261"/>
    <w:rsid w:val="003C20A2"/>
    <w:rsid w:val="003C3D75"/>
    <w:rsid w:val="003C4450"/>
    <w:rsid w:val="003D27E9"/>
    <w:rsid w:val="003D3103"/>
    <w:rsid w:val="003D524C"/>
    <w:rsid w:val="003D5A51"/>
    <w:rsid w:val="003D6D50"/>
    <w:rsid w:val="003D7816"/>
    <w:rsid w:val="003E01AC"/>
    <w:rsid w:val="003E1076"/>
    <w:rsid w:val="003E10FF"/>
    <w:rsid w:val="003E175E"/>
    <w:rsid w:val="003E55F7"/>
    <w:rsid w:val="003E63B9"/>
    <w:rsid w:val="003F0060"/>
    <w:rsid w:val="003F5EA3"/>
    <w:rsid w:val="003F6A93"/>
    <w:rsid w:val="00401467"/>
    <w:rsid w:val="00406786"/>
    <w:rsid w:val="0040716D"/>
    <w:rsid w:val="0041393D"/>
    <w:rsid w:val="00415314"/>
    <w:rsid w:val="00415C5A"/>
    <w:rsid w:val="00421820"/>
    <w:rsid w:val="0042297D"/>
    <w:rsid w:val="00423FAD"/>
    <w:rsid w:val="0042699E"/>
    <w:rsid w:val="00427E24"/>
    <w:rsid w:val="0043045E"/>
    <w:rsid w:val="00431D37"/>
    <w:rsid w:val="004321A9"/>
    <w:rsid w:val="00433942"/>
    <w:rsid w:val="00433E79"/>
    <w:rsid w:val="00434006"/>
    <w:rsid w:val="004355E1"/>
    <w:rsid w:val="00435CE9"/>
    <w:rsid w:val="00437B2E"/>
    <w:rsid w:val="00441757"/>
    <w:rsid w:val="0044347A"/>
    <w:rsid w:val="00443843"/>
    <w:rsid w:val="004439D6"/>
    <w:rsid w:val="00443B85"/>
    <w:rsid w:val="0044419E"/>
    <w:rsid w:val="00445D65"/>
    <w:rsid w:val="0045028B"/>
    <w:rsid w:val="00462338"/>
    <w:rsid w:val="0046266B"/>
    <w:rsid w:val="00464A44"/>
    <w:rsid w:val="004676B2"/>
    <w:rsid w:val="00470F7F"/>
    <w:rsid w:val="004711DB"/>
    <w:rsid w:val="00471474"/>
    <w:rsid w:val="0047241F"/>
    <w:rsid w:val="00472676"/>
    <w:rsid w:val="004769DB"/>
    <w:rsid w:val="00477087"/>
    <w:rsid w:val="0048089F"/>
    <w:rsid w:val="00485933"/>
    <w:rsid w:val="00492E17"/>
    <w:rsid w:val="004966DA"/>
    <w:rsid w:val="00496EE5"/>
    <w:rsid w:val="004A459B"/>
    <w:rsid w:val="004B01C3"/>
    <w:rsid w:val="004B4DF9"/>
    <w:rsid w:val="004B6549"/>
    <w:rsid w:val="004B7389"/>
    <w:rsid w:val="004C0321"/>
    <w:rsid w:val="004C07F4"/>
    <w:rsid w:val="004C0DD3"/>
    <w:rsid w:val="004C28FD"/>
    <w:rsid w:val="004C29ED"/>
    <w:rsid w:val="004C53FF"/>
    <w:rsid w:val="004C6BEB"/>
    <w:rsid w:val="004C76D2"/>
    <w:rsid w:val="004D5D42"/>
    <w:rsid w:val="004D6307"/>
    <w:rsid w:val="004D69DD"/>
    <w:rsid w:val="004D74EB"/>
    <w:rsid w:val="004E101B"/>
    <w:rsid w:val="004E1401"/>
    <w:rsid w:val="004E2116"/>
    <w:rsid w:val="004E31D7"/>
    <w:rsid w:val="004E35D7"/>
    <w:rsid w:val="004E5830"/>
    <w:rsid w:val="004E66B7"/>
    <w:rsid w:val="004E76B6"/>
    <w:rsid w:val="004E7DFE"/>
    <w:rsid w:val="004F22B8"/>
    <w:rsid w:val="004F5860"/>
    <w:rsid w:val="004F662C"/>
    <w:rsid w:val="004F6634"/>
    <w:rsid w:val="004F68D3"/>
    <w:rsid w:val="004F6A42"/>
    <w:rsid w:val="004F7325"/>
    <w:rsid w:val="005021C0"/>
    <w:rsid w:val="00502F7B"/>
    <w:rsid w:val="005043C6"/>
    <w:rsid w:val="00504A62"/>
    <w:rsid w:val="005053EB"/>
    <w:rsid w:val="00507194"/>
    <w:rsid w:val="0050775A"/>
    <w:rsid w:val="0051197A"/>
    <w:rsid w:val="005130AF"/>
    <w:rsid w:val="005151DB"/>
    <w:rsid w:val="00516666"/>
    <w:rsid w:val="00516AF3"/>
    <w:rsid w:val="00521543"/>
    <w:rsid w:val="00522080"/>
    <w:rsid w:val="00522226"/>
    <w:rsid w:val="00522455"/>
    <w:rsid w:val="00522F2D"/>
    <w:rsid w:val="00523178"/>
    <w:rsid w:val="00523EE7"/>
    <w:rsid w:val="00526A3E"/>
    <w:rsid w:val="00530A53"/>
    <w:rsid w:val="00531536"/>
    <w:rsid w:val="00533028"/>
    <w:rsid w:val="00533E2D"/>
    <w:rsid w:val="00535E29"/>
    <w:rsid w:val="0053772D"/>
    <w:rsid w:val="00537BC9"/>
    <w:rsid w:val="0054367C"/>
    <w:rsid w:val="00545BCC"/>
    <w:rsid w:val="005461D7"/>
    <w:rsid w:val="005512D5"/>
    <w:rsid w:val="00552A25"/>
    <w:rsid w:val="00553FE7"/>
    <w:rsid w:val="005548FB"/>
    <w:rsid w:val="00554D60"/>
    <w:rsid w:val="00554E9F"/>
    <w:rsid w:val="00555117"/>
    <w:rsid w:val="00555FBA"/>
    <w:rsid w:val="005577E7"/>
    <w:rsid w:val="0056047E"/>
    <w:rsid w:val="0056168B"/>
    <w:rsid w:val="00562765"/>
    <w:rsid w:val="00563F1C"/>
    <w:rsid w:val="005644C2"/>
    <w:rsid w:val="005654FE"/>
    <w:rsid w:val="00565A37"/>
    <w:rsid w:val="0057017E"/>
    <w:rsid w:val="0057147E"/>
    <w:rsid w:val="00571F80"/>
    <w:rsid w:val="00572077"/>
    <w:rsid w:val="00572DB7"/>
    <w:rsid w:val="00574E81"/>
    <w:rsid w:val="00575395"/>
    <w:rsid w:val="00575F18"/>
    <w:rsid w:val="005767A2"/>
    <w:rsid w:val="005769D5"/>
    <w:rsid w:val="00577FF4"/>
    <w:rsid w:val="00581041"/>
    <w:rsid w:val="00581E52"/>
    <w:rsid w:val="005824D5"/>
    <w:rsid w:val="00582789"/>
    <w:rsid w:val="00586155"/>
    <w:rsid w:val="00586A77"/>
    <w:rsid w:val="00590131"/>
    <w:rsid w:val="0059039C"/>
    <w:rsid w:val="005923DC"/>
    <w:rsid w:val="005961BA"/>
    <w:rsid w:val="005962DF"/>
    <w:rsid w:val="005963ED"/>
    <w:rsid w:val="005A0CB0"/>
    <w:rsid w:val="005A20A2"/>
    <w:rsid w:val="005A2154"/>
    <w:rsid w:val="005A27F0"/>
    <w:rsid w:val="005A3435"/>
    <w:rsid w:val="005A36BD"/>
    <w:rsid w:val="005A5FC0"/>
    <w:rsid w:val="005A7A78"/>
    <w:rsid w:val="005B242A"/>
    <w:rsid w:val="005B24A3"/>
    <w:rsid w:val="005B4E39"/>
    <w:rsid w:val="005B6393"/>
    <w:rsid w:val="005B6C46"/>
    <w:rsid w:val="005B7B14"/>
    <w:rsid w:val="005C2C6A"/>
    <w:rsid w:val="005C75A4"/>
    <w:rsid w:val="005D0EDD"/>
    <w:rsid w:val="005D0F50"/>
    <w:rsid w:val="005D210E"/>
    <w:rsid w:val="005D2169"/>
    <w:rsid w:val="005D3939"/>
    <w:rsid w:val="005D3CAE"/>
    <w:rsid w:val="005D60B6"/>
    <w:rsid w:val="005D72B1"/>
    <w:rsid w:val="005D760C"/>
    <w:rsid w:val="005D7F59"/>
    <w:rsid w:val="005E0A94"/>
    <w:rsid w:val="005E407A"/>
    <w:rsid w:val="005E41D2"/>
    <w:rsid w:val="005E4ED6"/>
    <w:rsid w:val="005E66A7"/>
    <w:rsid w:val="005E785B"/>
    <w:rsid w:val="005E7D6C"/>
    <w:rsid w:val="005F1085"/>
    <w:rsid w:val="005F1BCE"/>
    <w:rsid w:val="005F2C0C"/>
    <w:rsid w:val="005F4BA3"/>
    <w:rsid w:val="005F7757"/>
    <w:rsid w:val="005F7A1D"/>
    <w:rsid w:val="00600642"/>
    <w:rsid w:val="00602728"/>
    <w:rsid w:val="00602F61"/>
    <w:rsid w:val="00606DB7"/>
    <w:rsid w:val="00606FB3"/>
    <w:rsid w:val="00610922"/>
    <w:rsid w:val="00610932"/>
    <w:rsid w:val="00614718"/>
    <w:rsid w:val="00615BEA"/>
    <w:rsid w:val="00617258"/>
    <w:rsid w:val="00621DEC"/>
    <w:rsid w:val="00623453"/>
    <w:rsid w:val="00623F44"/>
    <w:rsid w:val="00624360"/>
    <w:rsid w:val="00624859"/>
    <w:rsid w:val="006271F4"/>
    <w:rsid w:val="0062765E"/>
    <w:rsid w:val="00631307"/>
    <w:rsid w:val="006315E1"/>
    <w:rsid w:val="00631D5C"/>
    <w:rsid w:val="0063367C"/>
    <w:rsid w:val="0063472B"/>
    <w:rsid w:val="006409E3"/>
    <w:rsid w:val="00644193"/>
    <w:rsid w:val="00646064"/>
    <w:rsid w:val="0064758E"/>
    <w:rsid w:val="0065232D"/>
    <w:rsid w:val="00652935"/>
    <w:rsid w:val="0065325F"/>
    <w:rsid w:val="00656EFF"/>
    <w:rsid w:val="00656FD2"/>
    <w:rsid w:val="00657006"/>
    <w:rsid w:val="00663773"/>
    <w:rsid w:val="00663FA9"/>
    <w:rsid w:val="00665FC7"/>
    <w:rsid w:val="00671D58"/>
    <w:rsid w:val="0067285F"/>
    <w:rsid w:val="00673A99"/>
    <w:rsid w:val="00675E7F"/>
    <w:rsid w:val="00677E46"/>
    <w:rsid w:val="00680DD0"/>
    <w:rsid w:val="006817A8"/>
    <w:rsid w:val="00681B5A"/>
    <w:rsid w:val="0068481C"/>
    <w:rsid w:val="00686BEF"/>
    <w:rsid w:val="006875A1"/>
    <w:rsid w:val="00691E33"/>
    <w:rsid w:val="00692103"/>
    <w:rsid w:val="0069700C"/>
    <w:rsid w:val="00697695"/>
    <w:rsid w:val="00697B9F"/>
    <w:rsid w:val="006A1D79"/>
    <w:rsid w:val="006A201E"/>
    <w:rsid w:val="006A2F11"/>
    <w:rsid w:val="006A31F4"/>
    <w:rsid w:val="006A4481"/>
    <w:rsid w:val="006A46B6"/>
    <w:rsid w:val="006A4D12"/>
    <w:rsid w:val="006A5D83"/>
    <w:rsid w:val="006A70F0"/>
    <w:rsid w:val="006A7942"/>
    <w:rsid w:val="006B059F"/>
    <w:rsid w:val="006B1CE1"/>
    <w:rsid w:val="006B28BC"/>
    <w:rsid w:val="006B4A30"/>
    <w:rsid w:val="006B5065"/>
    <w:rsid w:val="006B50E4"/>
    <w:rsid w:val="006B5C0B"/>
    <w:rsid w:val="006B6645"/>
    <w:rsid w:val="006B75B8"/>
    <w:rsid w:val="006B7FA2"/>
    <w:rsid w:val="006C0B21"/>
    <w:rsid w:val="006C20F7"/>
    <w:rsid w:val="006C24EF"/>
    <w:rsid w:val="006C2EE3"/>
    <w:rsid w:val="006C37E4"/>
    <w:rsid w:val="006C432B"/>
    <w:rsid w:val="006C5756"/>
    <w:rsid w:val="006C79F5"/>
    <w:rsid w:val="006D0FF6"/>
    <w:rsid w:val="006D37A9"/>
    <w:rsid w:val="006D54E6"/>
    <w:rsid w:val="006D554C"/>
    <w:rsid w:val="006D6483"/>
    <w:rsid w:val="006D7EB2"/>
    <w:rsid w:val="006E0EC0"/>
    <w:rsid w:val="006E1BD7"/>
    <w:rsid w:val="006E23ED"/>
    <w:rsid w:val="006E4AA6"/>
    <w:rsid w:val="006E528A"/>
    <w:rsid w:val="006E5344"/>
    <w:rsid w:val="006E5AE4"/>
    <w:rsid w:val="006E5DD8"/>
    <w:rsid w:val="006E6F52"/>
    <w:rsid w:val="006E7BF0"/>
    <w:rsid w:val="006E7D9D"/>
    <w:rsid w:val="006F0719"/>
    <w:rsid w:val="006F5845"/>
    <w:rsid w:val="007005DC"/>
    <w:rsid w:val="0070061C"/>
    <w:rsid w:val="007017B6"/>
    <w:rsid w:val="00703B5A"/>
    <w:rsid w:val="00703DCD"/>
    <w:rsid w:val="0071365C"/>
    <w:rsid w:val="00713A4D"/>
    <w:rsid w:val="0071521A"/>
    <w:rsid w:val="007166F4"/>
    <w:rsid w:val="007170D9"/>
    <w:rsid w:val="00717708"/>
    <w:rsid w:val="00720F0D"/>
    <w:rsid w:val="0072175C"/>
    <w:rsid w:val="00726801"/>
    <w:rsid w:val="00726DA0"/>
    <w:rsid w:val="00727155"/>
    <w:rsid w:val="00727182"/>
    <w:rsid w:val="00727440"/>
    <w:rsid w:val="007317CC"/>
    <w:rsid w:val="00731E7E"/>
    <w:rsid w:val="007348B8"/>
    <w:rsid w:val="007353EF"/>
    <w:rsid w:val="0074123E"/>
    <w:rsid w:val="00741BDA"/>
    <w:rsid w:val="00744988"/>
    <w:rsid w:val="00745256"/>
    <w:rsid w:val="00747ACB"/>
    <w:rsid w:val="00751449"/>
    <w:rsid w:val="007517B4"/>
    <w:rsid w:val="00752C03"/>
    <w:rsid w:val="00760A89"/>
    <w:rsid w:val="00764DBA"/>
    <w:rsid w:val="00770288"/>
    <w:rsid w:val="0077221C"/>
    <w:rsid w:val="00772599"/>
    <w:rsid w:val="0077697E"/>
    <w:rsid w:val="007779C5"/>
    <w:rsid w:val="00781DE7"/>
    <w:rsid w:val="00782957"/>
    <w:rsid w:val="0078754A"/>
    <w:rsid w:val="00791F21"/>
    <w:rsid w:val="00792349"/>
    <w:rsid w:val="007946F0"/>
    <w:rsid w:val="00794B9B"/>
    <w:rsid w:val="00796BF5"/>
    <w:rsid w:val="00796E95"/>
    <w:rsid w:val="0079731A"/>
    <w:rsid w:val="007A3535"/>
    <w:rsid w:val="007A47D3"/>
    <w:rsid w:val="007B032B"/>
    <w:rsid w:val="007B1007"/>
    <w:rsid w:val="007B1D4A"/>
    <w:rsid w:val="007B1F58"/>
    <w:rsid w:val="007B32C3"/>
    <w:rsid w:val="007B448A"/>
    <w:rsid w:val="007B5D8C"/>
    <w:rsid w:val="007B66A5"/>
    <w:rsid w:val="007B75D0"/>
    <w:rsid w:val="007C25A0"/>
    <w:rsid w:val="007C32FE"/>
    <w:rsid w:val="007C3637"/>
    <w:rsid w:val="007C541F"/>
    <w:rsid w:val="007C586A"/>
    <w:rsid w:val="007C72DF"/>
    <w:rsid w:val="007D1E69"/>
    <w:rsid w:val="007D3557"/>
    <w:rsid w:val="007D4058"/>
    <w:rsid w:val="007D4D64"/>
    <w:rsid w:val="007D51C4"/>
    <w:rsid w:val="007E15FC"/>
    <w:rsid w:val="007E38AB"/>
    <w:rsid w:val="007E3C06"/>
    <w:rsid w:val="007E3FBA"/>
    <w:rsid w:val="007E7229"/>
    <w:rsid w:val="007E795C"/>
    <w:rsid w:val="007E7AE6"/>
    <w:rsid w:val="007E7EFB"/>
    <w:rsid w:val="007F086E"/>
    <w:rsid w:val="007F169B"/>
    <w:rsid w:val="007F17E3"/>
    <w:rsid w:val="007F1A9E"/>
    <w:rsid w:val="007F3ABA"/>
    <w:rsid w:val="007F4110"/>
    <w:rsid w:val="007F59ED"/>
    <w:rsid w:val="007F726E"/>
    <w:rsid w:val="008019DB"/>
    <w:rsid w:val="00801CF4"/>
    <w:rsid w:val="008056E5"/>
    <w:rsid w:val="00807F51"/>
    <w:rsid w:val="008106D4"/>
    <w:rsid w:val="00810A95"/>
    <w:rsid w:val="008111C5"/>
    <w:rsid w:val="008113D3"/>
    <w:rsid w:val="00812036"/>
    <w:rsid w:val="00813272"/>
    <w:rsid w:val="00813A6F"/>
    <w:rsid w:val="00813F45"/>
    <w:rsid w:val="0081442B"/>
    <w:rsid w:val="00816084"/>
    <w:rsid w:val="00817812"/>
    <w:rsid w:val="008232C9"/>
    <w:rsid w:val="008242E2"/>
    <w:rsid w:val="008248EE"/>
    <w:rsid w:val="00824A5F"/>
    <w:rsid w:val="00826084"/>
    <w:rsid w:val="00826BD9"/>
    <w:rsid w:val="008278BA"/>
    <w:rsid w:val="008345FD"/>
    <w:rsid w:val="0083610C"/>
    <w:rsid w:val="0083623C"/>
    <w:rsid w:val="00841364"/>
    <w:rsid w:val="0084188F"/>
    <w:rsid w:val="00841C5E"/>
    <w:rsid w:val="0084424E"/>
    <w:rsid w:val="008510B7"/>
    <w:rsid w:val="00851E62"/>
    <w:rsid w:val="00852BAE"/>
    <w:rsid w:val="00854E9D"/>
    <w:rsid w:val="008567A0"/>
    <w:rsid w:val="00856E11"/>
    <w:rsid w:val="00857999"/>
    <w:rsid w:val="00862843"/>
    <w:rsid w:val="00862C8E"/>
    <w:rsid w:val="00863ADA"/>
    <w:rsid w:val="008646C2"/>
    <w:rsid w:val="008651A0"/>
    <w:rsid w:val="00866E62"/>
    <w:rsid w:val="00867BF3"/>
    <w:rsid w:val="0087088E"/>
    <w:rsid w:val="00870C7C"/>
    <w:rsid w:val="0087539D"/>
    <w:rsid w:val="0087641C"/>
    <w:rsid w:val="008771C9"/>
    <w:rsid w:val="00877800"/>
    <w:rsid w:val="008814B4"/>
    <w:rsid w:val="00884032"/>
    <w:rsid w:val="00890D28"/>
    <w:rsid w:val="008973C0"/>
    <w:rsid w:val="008A0EC0"/>
    <w:rsid w:val="008A1117"/>
    <w:rsid w:val="008A1DDD"/>
    <w:rsid w:val="008B33DD"/>
    <w:rsid w:val="008B4E54"/>
    <w:rsid w:val="008B53E3"/>
    <w:rsid w:val="008B6D40"/>
    <w:rsid w:val="008B6D8B"/>
    <w:rsid w:val="008B7267"/>
    <w:rsid w:val="008B7530"/>
    <w:rsid w:val="008C0082"/>
    <w:rsid w:val="008C1E5F"/>
    <w:rsid w:val="008C453E"/>
    <w:rsid w:val="008C62DD"/>
    <w:rsid w:val="008D00AD"/>
    <w:rsid w:val="008D0E3A"/>
    <w:rsid w:val="008D1E3C"/>
    <w:rsid w:val="008D28BA"/>
    <w:rsid w:val="008D46C2"/>
    <w:rsid w:val="008D4E87"/>
    <w:rsid w:val="008D5EF1"/>
    <w:rsid w:val="008D6C8A"/>
    <w:rsid w:val="008D6FD7"/>
    <w:rsid w:val="008E2C5F"/>
    <w:rsid w:val="008E3179"/>
    <w:rsid w:val="008E6945"/>
    <w:rsid w:val="008E762F"/>
    <w:rsid w:val="008F3C02"/>
    <w:rsid w:val="008F6D18"/>
    <w:rsid w:val="008F7F7B"/>
    <w:rsid w:val="009028AC"/>
    <w:rsid w:val="00903127"/>
    <w:rsid w:val="00905D8E"/>
    <w:rsid w:val="00913D7C"/>
    <w:rsid w:val="0091651A"/>
    <w:rsid w:val="00917AE7"/>
    <w:rsid w:val="00920ECE"/>
    <w:rsid w:val="009218A0"/>
    <w:rsid w:val="00923237"/>
    <w:rsid w:val="00923B41"/>
    <w:rsid w:val="00924173"/>
    <w:rsid w:val="00927FD1"/>
    <w:rsid w:val="00932C1D"/>
    <w:rsid w:val="009333D5"/>
    <w:rsid w:val="0093682D"/>
    <w:rsid w:val="00940CED"/>
    <w:rsid w:val="009467AB"/>
    <w:rsid w:val="00950F06"/>
    <w:rsid w:val="00951158"/>
    <w:rsid w:val="0095150C"/>
    <w:rsid w:val="00954020"/>
    <w:rsid w:val="009561A1"/>
    <w:rsid w:val="0095702B"/>
    <w:rsid w:val="00960588"/>
    <w:rsid w:val="00961081"/>
    <w:rsid w:val="00964FB6"/>
    <w:rsid w:val="00965272"/>
    <w:rsid w:val="00975F8D"/>
    <w:rsid w:val="00981606"/>
    <w:rsid w:val="00981F40"/>
    <w:rsid w:val="00983068"/>
    <w:rsid w:val="00984229"/>
    <w:rsid w:val="0098423F"/>
    <w:rsid w:val="0098753F"/>
    <w:rsid w:val="00987E2B"/>
    <w:rsid w:val="00992F3D"/>
    <w:rsid w:val="00993E4F"/>
    <w:rsid w:val="009968FA"/>
    <w:rsid w:val="009973E4"/>
    <w:rsid w:val="009A01AC"/>
    <w:rsid w:val="009A1CB0"/>
    <w:rsid w:val="009A4400"/>
    <w:rsid w:val="009A5E29"/>
    <w:rsid w:val="009A7ABD"/>
    <w:rsid w:val="009B3F3F"/>
    <w:rsid w:val="009B4B8C"/>
    <w:rsid w:val="009B4F62"/>
    <w:rsid w:val="009B50A5"/>
    <w:rsid w:val="009B5322"/>
    <w:rsid w:val="009C24C7"/>
    <w:rsid w:val="009C369A"/>
    <w:rsid w:val="009C57C4"/>
    <w:rsid w:val="009C69AB"/>
    <w:rsid w:val="009C7A64"/>
    <w:rsid w:val="009D227E"/>
    <w:rsid w:val="009D4F98"/>
    <w:rsid w:val="009D5DFC"/>
    <w:rsid w:val="009D5E62"/>
    <w:rsid w:val="009D7094"/>
    <w:rsid w:val="009D729C"/>
    <w:rsid w:val="009D7E5B"/>
    <w:rsid w:val="009E0A62"/>
    <w:rsid w:val="009E1595"/>
    <w:rsid w:val="009E2950"/>
    <w:rsid w:val="009E30A1"/>
    <w:rsid w:val="009E6409"/>
    <w:rsid w:val="009E6528"/>
    <w:rsid w:val="009E7BFE"/>
    <w:rsid w:val="009F18A5"/>
    <w:rsid w:val="009F31C4"/>
    <w:rsid w:val="009F40DB"/>
    <w:rsid w:val="009F4C18"/>
    <w:rsid w:val="00A0140E"/>
    <w:rsid w:val="00A02E48"/>
    <w:rsid w:val="00A068AB"/>
    <w:rsid w:val="00A07A3F"/>
    <w:rsid w:val="00A10772"/>
    <w:rsid w:val="00A12DE6"/>
    <w:rsid w:val="00A13750"/>
    <w:rsid w:val="00A17530"/>
    <w:rsid w:val="00A20609"/>
    <w:rsid w:val="00A20B17"/>
    <w:rsid w:val="00A221EB"/>
    <w:rsid w:val="00A2326C"/>
    <w:rsid w:val="00A2493A"/>
    <w:rsid w:val="00A27789"/>
    <w:rsid w:val="00A27E78"/>
    <w:rsid w:val="00A30742"/>
    <w:rsid w:val="00A30C2B"/>
    <w:rsid w:val="00A30EE4"/>
    <w:rsid w:val="00A31086"/>
    <w:rsid w:val="00A315D0"/>
    <w:rsid w:val="00A31E4F"/>
    <w:rsid w:val="00A32BF7"/>
    <w:rsid w:val="00A3363A"/>
    <w:rsid w:val="00A33D21"/>
    <w:rsid w:val="00A343A1"/>
    <w:rsid w:val="00A34B31"/>
    <w:rsid w:val="00A35230"/>
    <w:rsid w:val="00A35FB4"/>
    <w:rsid w:val="00A37124"/>
    <w:rsid w:val="00A418A5"/>
    <w:rsid w:val="00A43368"/>
    <w:rsid w:val="00A444B8"/>
    <w:rsid w:val="00A451D0"/>
    <w:rsid w:val="00A51419"/>
    <w:rsid w:val="00A5240D"/>
    <w:rsid w:val="00A540CC"/>
    <w:rsid w:val="00A55720"/>
    <w:rsid w:val="00A55961"/>
    <w:rsid w:val="00A56D27"/>
    <w:rsid w:val="00A572C2"/>
    <w:rsid w:val="00A63F9F"/>
    <w:rsid w:val="00A6463D"/>
    <w:rsid w:val="00A64EDB"/>
    <w:rsid w:val="00A717C3"/>
    <w:rsid w:val="00A72139"/>
    <w:rsid w:val="00A72E6E"/>
    <w:rsid w:val="00A74E4C"/>
    <w:rsid w:val="00A81455"/>
    <w:rsid w:val="00A82F66"/>
    <w:rsid w:val="00A8599D"/>
    <w:rsid w:val="00A86679"/>
    <w:rsid w:val="00A901FC"/>
    <w:rsid w:val="00A915DF"/>
    <w:rsid w:val="00A94276"/>
    <w:rsid w:val="00A96F9C"/>
    <w:rsid w:val="00AA01C5"/>
    <w:rsid w:val="00AA07F0"/>
    <w:rsid w:val="00AA55B2"/>
    <w:rsid w:val="00AA5DE9"/>
    <w:rsid w:val="00AA6FE6"/>
    <w:rsid w:val="00AA70FF"/>
    <w:rsid w:val="00AA76A0"/>
    <w:rsid w:val="00AB2AA3"/>
    <w:rsid w:val="00AB4B8D"/>
    <w:rsid w:val="00AB4E8C"/>
    <w:rsid w:val="00AB63EB"/>
    <w:rsid w:val="00AB68DA"/>
    <w:rsid w:val="00AB702B"/>
    <w:rsid w:val="00AC02CF"/>
    <w:rsid w:val="00AC09FC"/>
    <w:rsid w:val="00AC1740"/>
    <w:rsid w:val="00AC377F"/>
    <w:rsid w:val="00AC3D40"/>
    <w:rsid w:val="00AC3FEA"/>
    <w:rsid w:val="00AD07F9"/>
    <w:rsid w:val="00AD0ECC"/>
    <w:rsid w:val="00AD1487"/>
    <w:rsid w:val="00AD2008"/>
    <w:rsid w:val="00AD22D8"/>
    <w:rsid w:val="00AD2473"/>
    <w:rsid w:val="00AD4FFA"/>
    <w:rsid w:val="00AD5646"/>
    <w:rsid w:val="00AD7FF0"/>
    <w:rsid w:val="00AE0045"/>
    <w:rsid w:val="00AE0DB9"/>
    <w:rsid w:val="00AE2865"/>
    <w:rsid w:val="00AE2E24"/>
    <w:rsid w:val="00AE3BD5"/>
    <w:rsid w:val="00AF0589"/>
    <w:rsid w:val="00AF6583"/>
    <w:rsid w:val="00AF71E9"/>
    <w:rsid w:val="00AF722F"/>
    <w:rsid w:val="00B009DE"/>
    <w:rsid w:val="00B01504"/>
    <w:rsid w:val="00B028C0"/>
    <w:rsid w:val="00B0371B"/>
    <w:rsid w:val="00B03E28"/>
    <w:rsid w:val="00B0482E"/>
    <w:rsid w:val="00B10C39"/>
    <w:rsid w:val="00B11725"/>
    <w:rsid w:val="00B11F74"/>
    <w:rsid w:val="00B12685"/>
    <w:rsid w:val="00B129B1"/>
    <w:rsid w:val="00B16726"/>
    <w:rsid w:val="00B16FCF"/>
    <w:rsid w:val="00B171A5"/>
    <w:rsid w:val="00B21323"/>
    <w:rsid w:val="00B22035"/>
    <w:rsid w:val="00B2224A"/>
    <w:rsid w:val="00B23534"/>
    <w:rsid w:val="00B23828"/>
    <w:rsid w:val="00B25BDC"/>
    <w:rsid w:val="00B26F58"/>
    <w:rsid w:val="00B27E70"/>
    <w:rsid w:val="00B300E7"/>
    <w:rsid w:val="00B301AA"/>
    <w:rsid w:val="00B31532"/>
    <w:rsid w:val="00B34D4F"/>
    <w:rsid w:val="00B3589D"/>
    <w:rsid w:val="00B35A56"/>
    <w:rsid w:val="00B3612A"/>
    <w:rsid w:val="00B41BF3"/>
    <w:rsid w:val="00B41D0F"/>
    <w:rsid w:val="00B41EED"/>
    <w:rsid w:val="00B42305"/>
    <w:rsid w:val="00B4665E"/>
    <w:rsid w:val="00B46B09"/>
    <w:rsid w:val="00B516DA"/>
    <w:rsid w:val="00B53019"/>
    <w:rsid w:val="00B55134"/>
    <w:rsid w:val="00B55FEF"/>
    <w:rsid w:val="00B56C62"/>
    <w:rsid w:val="00B56FA6"/>
    <w:rsid w:val="00B57BD1"/>
    <w:rsid w:val="00B60667"/>
    <w:rsid w:val="00B60B0F"/>
    <w:rsid w:val="00B6279A"/>
    <w:rsid w:val="00B63D1C"/>
    <w:rsid w:val="00B63F26"/>
    <w:rsid w:val="00B642A0"/>
    <w:rsid w:val="00B6532D"/>
    <w:rsid w:val="00B72D0C"/>
    <w:rsid w:val="00B75711"/>
    <w:rsid w:val="00B80560"/>
    <w:rsid w:val="00B81122"/>
    <w:rsid w:val="00B8257E"/>
    <w:rsid w:val="00B8487D"/>
    <w:rsid w:val="00B84A31"/>
    <w:rsid w:val="00B84FD3"/>
    <w:rsid w:val="00B85618"/>
    <w:rsid w:val="00B85676"/>
    <w:rsid w:val="00B85D13"/>
    <w:rsid w:val="00B95663"/>
    <w:rsid w:val="00BA1617"/>
    <w:rsid w:val="00BA6B2A"/>
    <w:rsid w:val="00BA6B2E"/>
    <w:rsid w:val="00BA7896"/>
    <w:rsid w:val="00BB0C9A"/>
    <w:rsid w:val="00BB2DFD"/>
    <w:rsid w:val="00BB3602"/>
    <w:rsid w:val="00BB3DF8"/>
    <w:rsid w:val="00BB5430"/>
    <w:rsid w:val="00BB5750"/>
    <w:rsid w:val="00BB5D96"/>
    <w:rsid w:val="00BB6B85"/>
    <w:rsid w:val="00BC025E"/>
    <w:rsid w:val="00BC2705"/>
    <w:rsid w:val="00BC5283"/>
    <w:rsid w:val="00BC5B1E"/>
    <w:rsid w:val="00BC664E"/>
    <w:rsid w:val="00BC7E37"/>
    <w:rsid w:val="00BD14BE"/>
    <w:rsid w:val="00BD15DD"/>
    <w:rsid w:val="00BD302C"/>
    <w:rsid w:val="00BD5521"/>
    <w:rsid w:val="00BD6CE3"/>
    <w:rsid w:val="00BD74A4"/>
    <w:rsid w:val="00BD77ED"/>
    <w:rsid w:val="00BE0820"/>
    <w:rsid w:val="00BE0969"/>
    <w:rsid w:val="00BE1286"/>
    <w:rsid w:val="00BE21F3"/>
    <w:rsid w:val="00BE2486"/>
    <w:rsid w:val="00BE4A03"/>
    <w:rsid w:val="00BF2D79"/>
    <w:rsid w:val="00BF3ACC"/>
    <w:rsid w:val="00BF5158"/>
    <w:rsid w:val="00BF51B1"/>
    <w:rsid w:val="00BF73AB"/>
    <w:rsid w:val="00C00CEA"/>
    <w:rsid w:val="00C0294E"/>
    <w:rsid w:val="00C03230"/>
    <w:rsid w:val="00C06FD3"/>
    <w:rsid w:val="00C07431"/>
    <w:rsid w:val="00C144A7"/>
    <w:rsid w:val="00C1520A"/>
    <w:rsid w:val="00C16ABC"/>
    <w:rsid w:val="00C16B1C"/>
    <w:rsid w:val="00C16D90"/>
    <w:rsid w:val="00C17FB2"/>
    <w:rsid w:val="00C2169D"/>
    <w:rsid w:val="00C24497"/>
    <w:rsid w:val="00C2498B"/>
    <w:rsid w:val="00C252C1"/>
    <w:rsid w:val="00C257CA"/>
    <w:rsid w:val="00C26A09"/>
    <w:rsid w:val="00C26CB8"/>
    <w:rsid w:val="00C30D28"/>
    <w:rsid w:val="00C31733"/>
    <w:rsid w:val="00C33D71"/>
    <w:rsid w:val="00C340AC"/>
    <w:rsid w:val="00C347E3"/>
    <w:rsid w:val="00C37BA1"/>
    <w:rsid w:val="00C4257B"/>
    <w:rsid w:val="00C42E48"/>
    <w:rsid w:val="00C43CD1"/>
    <w:rsid w:val="00C44463"/>
    <w:rsid w:val="00C456BB"/>
    <w:rsid w:val="00C47345"/>
    <w:rsid w:val="00C47F99"/>
    <w:rsid w:val="00C50DBD"/>
    <w:rsid w:val="00C51563"/>
    <w:rsid w:val="00C52239"/>
    <w:rsid w:val="00C53939"/>
    <w:rsid w:val="00C5629F"/>
    <w:rsid w:val="00C57EA5"/>
    <w:rsid w:val="00C602BB"/>
    <w:rsid w:val="00C62BC6"/>
    <w:rsid w:val="00C64991"/>
    <w:rsid w:val="00C64DC4"/>
    <w:rsid w:val="00C65ECA"/>
    <w:rsid w:val="00C666DC"/>
    <w:rsid w:val="00C703EC"/>
    <w:rsid w:val="00C7116F"/>
    <w:rsid w:val="00C73430"/>
    <w:rsid w:val="00C740A5"/>
    <w:rsid w:val="00C75410"/>
    <w:rsid w:val="00C76AE2"/>
    <w:rsid w:val="00C803DA"/>
    <w:rsid w:val="00C815AB"/>
    <w:rsid w:val="00C83994"/>
    <w:rsid w:val="00C83FC4"/>
    <w:rsid w:val="00C8568B"/>
    <w:rsid w:val="00C87349"/>
    <w:rsid w:val="00C90D32"/>
    <w:rsid w:val="00C9158A"/>
    <w:rsid w:val="00C929E7"/>
    <w:rsid w:val="00C9300D"/>
    <w:rsid w:val="00C9464F"/>
    <w:rsid w:val="00C94BEC"/>
    <w:rsid w:val="00C9516B"/>
    <w:rsid w:val="00C959DF"/>
    <w:rsid w:val="00CA1157"/>
    <w:rsid w:val="00CA51C6"/>
    <w:rsid w:val="00CA6115"/>
    <w:rsid w:val="00CA6A90"/>
    <w:rsid w:val="00CA7DF0"/>
    <w:rsid w:val="00CB0C10"/>
    <w:rsid w:val="00CB3683"/>
    <w:rsid w:val="00CB385E"/>
    <w:rsid w:val="00CB3D8E"/>
    <w:rsid w:val="00CB6387"/>
    <w:rsid w:val="00CB7A65"/>
    <w:rsid w:val="00CC0C99"/>
    <w:rsid w:val="00CC34F9"/>
    <w:rsid w:val="00CC44FA"/>
    <w:rsid w:val="00CC46E0"/>
    <w:rsid w:val="00CC56DD"/>
    <w:rsid w:val="00CD1C9D"/>
    <w:rsid w:val="00CD2973"/>
    <w:rsid w:val="00CD3387"/>
    <w:rsid w:val="00CD3AF0"/>
    <w:rsid w:val="00CD48E9"/>
    <w:rsid w:val="00CD5164"/>
    <w:rsid w:val="00CD79E9"/>
    <w:rsid w:val="00CE0624"/>
    <w:rsid w:val="00CE15ED"/>
    <w:rsid w:val="00CE40B7"/>
    <w:rsid w:val="00CE7AF3"/>
    <w:rsid w:val="00CF1E6C"/>
    <w:rsid w:val="00CF588E"/>
    <w:rsid w:val="00CF5D2F"/>
    <w:rsid w:val="00CF6879"/>
    <w:rsid w:val="00CF71CD"/>
    <w:rsid w:val="00D02B77"/>
    <w:rsid w:val="00D03C2C"/>
    <w:rsid w:val="00D04290"/>
    <w:rsid w:val="00D046E1"/>
    <w:rsid w:val="00D05538"/>
    <w:rsid w:val="00D0729E"/>
    <w:rsid w:val="00D072ED"/>
    <w:rsid w:val="00D07468"/>
    <w:rsid w:val="00D13048"/>
    <w:rsid w:val="00D13C82"/>
    <w:rsid w:val="00D14580"/>
    <w:rsid w:val="00D15361"/>
    <w:rsid w:val="00D173E7"/>
    <w:rsid w:val="00D17F4A"/>
    <w:rsid w:val="00D23D68"/>
    <w:rsid w:val="00D2429F"/>
    <w:rsid w:val="00D245C3"/>
    <w:rsid w:val="00D25328"/>
    <w:rsid w:val="00D25762"/>
    <w:rsid w:val="00D2660C"/>
    <w:rsid w:val="00D313E4"/>
    <w:rsid w:val="00D336D8"/>
    <w:rsid w:val="00D33BCB"/>
    <w:rsid w:val="00D34A09"/>
    <w:rsid w:val="00D34A54"/>
    <w:rsid w:val="00D34B7F"/>
    <w:rsid w:val="00D37B2C"/>
    <w:rsid w:val="00D43478"/>
    <w:rsid w:val="00D43EA7"/>
    <w:rsid w:val="00D60064"/>
    <w:rsid w:val="00D6042B"/>
    <w:rsid w:val="00D63069"/>
    <w:rsid w:val="00D636AE"/>
    <w:rsid w:val="00D64C47"/>
    <w:rsid w:val="00D6679E"/>
    <w:rsid w:val="00D677D3"/>
    <w:rsid w:val="00D67E7B"/>
    <w:rsid w:val="00D70EDA"/>
    <w:rsid w:val="00D7441A"/>
    <w:rsid w:val="00D74D22"/>
    <w:rsid w:val="00D77B0B"/>
    <w:rsid w:val="00D839A5"/>
    <w:rsid w:val="00D85FFF"/>
    <w:rsid w:val="00D877DF"/>
    <w:rsid w:val="00D90E79"/>
    <w:rsid w:val="00D91061"/>
    <w:rsid w:val="00D91109"/>
    <w:rsid w:val="00D924D3"/>
    <w:rsid w:val="00D92BF0"/>
    <w:rsid w:val="00D93189"/>
    <w:rsid w:val="00D936F0"/>
    <w:rsid w:val="00D9514E"/>
    <w:rsid w:val="00D957E3"/>
    <w:rsid w:val="00D963DF"/>
    <w:rsid w:val="00D968FA"/>
    <w:rsid w:val="00D97238"/>
    <w:rsid w:val="00DA02BF"/>
    <w:rsid w:val="00DA04E5"/>
    <w:rsid w:val="00DA35CA"/>
    <w:rsid w:val="00DA3A85"/>
    <w:rsid w:val="00DA3DDE"/>
    <w:rsid w:val="00DA66DD"/>
    <w:rsid w:val="00DB07E0"/>
    <w:rsid w:val="00DB3219"/>
    <w:rsid w:val="00DB5DC1"/>
    <w:rsid w:val="00DB62EB"/>
    <w:rsid w:val="00DB6987"/>
    <w:rsid w:val="00DC70F1"/>
    <w:rsid w:val="00DC77F0"/>
    <w:rsid w:val="00DD1F32"/>
    <w:rsid w:val="00DD4B35"/>
    <w:rsid w:val="00DD7B8F"/>
    <w:rsid w:val="00DE0500"/>
    <w:rsid w:val="00DE34E3"/>
    <w:rsid w:val="00DE39B4"/>
    <w:rsid w:val="00DE5D81"/>
    <w:rsid w:val="00DE70EE"/>
    <w:rsid w:val="00DF17E8"/>
    <w:rsid w:val="00DF4841"/>
    <w:rsid w:val="00DF55CB"/>
    <w:rsid w:val="00DF5B82"/>
    <w:rsid w:val="00DF64B7"/>
    <w:rsid w:val="00DF6515"/>
    <w:rsid w:val="00DF6D64"/>
    <w:rsid w:val="00E012E4"/>
    <w:rsid w:val="00E0170A"/>
    <w:rsid w:val="00E04F91"/>
    <w:rsid w:val="00E065FD"/>
    <w:rsid w:val="00E10518"/>
    <w:rsid w:val="00E10E73"/>
    <w:rsid w:val="00E12F80"/>
    <w:rsid w:val="00E13D38"/>
    <w:rsid w:val="00E14990"/>
    <w:rsid w:val="00E15BAA"/>
    <w:rsid w:val="00E22778"/>
    <w:rsid w:val="00E238B5"/>
    <w:rsid w:val="00E2554D"/>
    <w:rsid w:val="00E25562"/>
    <w:rsid w:val="00E323CC"/>
    <w:rsid w:val="00E33CF7"/>
    <w:rsid w:val="00E363C3"/>
    <w:rsid w:val="00E36C9D"/>
    <w:rsid w:val="00E4043A"/>
    <w:rsid w:val="00E415D7"/>
    <w:rsid w:val="00E43149"/>
    <w:rsid w:val="00E452DD"/>
    <w:rsid w:val="00E46444"/>
    <w:rsid w:val="00E46BB1"/>
    <w:rsid w:val="00E46D81"/>
    <w:rsid w:val="00E51496"/>
    <w:rsid w:val="00E53E4E"/>
    <w:rsid w:val="00E548FB"/>
    <w:rsid w:val="00E54E6C"/>
    <w:rsid w:val="00E5551F"/>
    <w:rsid w:val="00E56DD3"/>
    <w:rsid w:val="00E6395B"/>
    <w:rsid w:val="00E659C5"/>
    <w:rsid w:val="00E72B85"/>
    <w:rsid w:val="00E75F36"/>
    <w:rsid w:val="00E76F35"/>
    <w:rsid w:val="00E807C1"/>
    <w:rsid w:val="00E81C77"/>
    <w:rsid w:val="00E82E22"/>
    <w:rsid w:val="00E82F53"/>
    <w:rsid w:val="00E84BDA"/>
    <w:rsid w:val="00E867F1"/>
    <w:rsid w:val="00E87E28"/>
    <w:rsid w:val="00E90F8A"/>
    <w:rsid w:val="00E92C48"/>
    <w:rsid w:val="00E93E0A"/>
    <w:rsid w:val="00E978DC"/>
    <w:rsid w:val="00EB01AD"/>
    <w:rsid w:val="00EB0EB6"/>
    <w:rsid w:val="00EB1D6A"/>
    <w:rsid w:val="00EB1EBB"/>
    <w:rsid w:val="00EB2186"/>
    <w:rsid w:val="00EB29F3"/>
    <w:rsid w:val="00EB2D54"/>
    <w:rsid w:val="00EB4347"/>
    <w:rsid w:val="00EB5A05"/>
    <w:rsid w:val="00EB5B92"/>
    <w:rsid w:val="00EC21B7"/>
    <w:rsid w:val="00EC3188"/>
    <w:rsid w:val="00EC318F"/>
    <w:rsid w:val="00EC4FC8"/>
    <w:rsid w:val="00EC6B82"/>
    <w:rsid w:val="00EC74B9"/>
    <w:rsid w:val="00ED03BE"/>
    <w:rsid w:val="00ED2124"/>
    <w:rsid w:val="00ED2AF9"/>
    <w:rsid w:val="00ED4258"/>
    <w:rsid w:val="00ED5EF4"/>
    <w:rsid w:val="00EE0B71"/>
    <w:rsid w:val="00EE267B"/>
    <w:rsid w:val="00EE2D30"/>
    <w:rsid w:val="00EE54A5"/>
    <w:rsid w:val="00EE5814"/>
    <w:rsid w:val="00EF0DED"/>
    <w:rsid w:val="00EF7C9F"/>
    <w:rsid w:val="00F029E2"/>
    <w:rsid w:val="00F044A8"/>
    <w:rsid w:val="00F05448"/>
    <w:rsid w:val="00F06A5E"/>
    <w:rsid w:val="00F10519"/>
    <w:rsid w:val="00F121B0"/>
    <w:rsid w:val="00F12CED"/>
    <w:rsid w:val="00F14553"/>
    <w:rsid w:val="00F16A3A"/>
    <w:rsid w:val="00F2012A"/>
    <w:rsid w:val="00F237C8"/>
    <w:rsid w:val="00F27214"/>
    <w:rsid w:val="00F308C3"/>
    <w:rsid w:val="00F330A5"/>
    <w:rsid w:val="00F3370A"/>
    <w:rsid w:val="00F34042"/>
    <w:rsid w:val="00F34CD8"/>
    <w:rsid w:val="00F376C8"/>
    <w:rsid w:val="00F43B10"/>
    <w:rsid w:val="00F4756C"/>
    <w:rsid w:val="00F47988"/>
    <w:rsid w:val="00F47D72"/>
    <w:rsid w:val="00F50A3F"/>
    <w:rsid w:val="00F5175E"/>
    <w:rsid w:val="00F52E76"/>
    <w:rsid w:val="00F53B19"/>
    <w:rsid w:val="00F54117"/>
    <w:rsid w:val="00F54323"/>
    <w:rsid w:val="00F5465E"/>
    <w:rsid w:val="00F55882"/>
    <w:rsid w:val="00F607FA"/>
    <w:rsid w:val="00F60FF7"/>
    <w:rsid w:val="00F61799"/>
    <w:rsid w:val="00F61987"/>
    <w:rsid w:val="00F62B35"/>
    <w:rsid w:val="00F6467B"/>
    <w:rsid w:val="00F662CA"/>
    <w:rsid w:val="00F67DD5"/>
    <w:rsid w:val="00F7129C"/>
    <w:rsid w:val="00F7251A"/>
    <w:rsid w:val="00F735A9"/>
    <w:rsid w:val="00F73635"/>
    <w:rsid w:val="00F75854"/>
    <w:rsid w:val="00F8428A"/>
    <w:rsid w:val="00F85624"/>
    <w:rsid w:val="00F8617C"/>
    <w:rsid w:val="00F91222"/>
    <w:rsid w:val="00F92C98"/>
    <w:rsid w:val="00F956C2"/>
    <w:rsid w:val="00FA118C"/>
    <w:rsid w:val="00FA43E8"/>
    <w:rsid w:val="00FA79F3"/>
    <w:rsid w:val="00FA7ACF"/>
    <w:rsid w:val="00FB092A"/>
    <w:rsid w:val="00FB0AD8"/>
    <w:rsid w:val="00FB0D5C"/>
    <w:rsid w:val="00FB17DE"/>
    <w:rsid w:val="00FB2984"/>
    <w:rsid w:val="00FB348E"/>
    <w:rsid w:val="00FB6899"/>
    <w:rsid w:val="00FB6F99"/>
    <w:rsid w:val="00FC37B1"/>
    <w:rsid w:val="00FC542F"/>
    <w:rsid w:val="00FC57F8"/>
    <w:rsid w:val="00FC5F50"/>
    <w:rsid w:val="00FC7947"/>
    <w:rsid w:val="00FD042D"/>
    <w:rsid w:val="00FD0599"/>
    <w:rsid w:val="00FD0620"/>
    <w:rsid w:val="00FD2263"/>
    <w:rsid w:val="00FD488D"/>
    <w:rsid w:val="00FD6E2F"/>
    <w:rsid w:val="00FD7343"/>
    <w:rsid w:val="00FE2CFD"/>
    <w:rsid w:val="00FE4639"/>
    <w:rsid w:val="00FE58ED"/>
    <w:rsid w:val="00FE692B"/>
    <w:rsid w:val="00FE7137"/>
    <w:rsid w:val="00FF17BE"/>
    <w:rsid w:val="00FF2A89"/>
    <w:rsid w:val="00FF5F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00346"/>
  <w15:docId w15:val="{87F28BB3-F1D5-EC46-BF95-E994410C0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CBE"/>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CBE"/>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171CBE"/>
  </w:style>
  <w:style w:type="paragraph" w:styleId="Header">
    <w:name w:val="header"/>
    <w:basedOn w:val="Normal"/>
    <w:link w:val="HeaderChar"/>
    <w:uiPriority w:val="99"/>
    <w:unhideWhenUsed/>
    <w:rsid w:val="004067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6786"/>
  </w:style>
  <w:style w:type="paragraph" w:styleId="Footer">
    <w:name w:val="footer"/>
    <w:basedOn w:val="Normal"/>
    <w:link w:val="FooterChar"/>
    <w:uiPriority w:val="99"/>
    <w:unhideWhenUsed/>
    <w:rsid w:val="004067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6786"/>
  </w:style>
  <w:style w:type="table" w:styleId="TableGrid">
    <w:name w:val="Table Grid"/>
    <w:basedOn w:val="TableNormal"/>
    <w:uiPriority w:val="39"/>
    <w:rsid w:val="00A71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73430"/>
    <w:pPr>
      <w:autoSpaceDE w:val="0"/>
      <w:autoSpaceDN w:val="0"/>
      <w:adjustRightInd w:val="0"/>
      <w:spacing w:after="0" w:line="240" w:lineRule="auto"/>
    </w:pPr>
    <w:rPr>
      <w:rFonts w:ascii="Times New Roman" w:hAnsi="Times New Roman" w:cs="Times New Roman"/>
      <w:color w:val="000000"/>
      <w:kern w:val="0"/>
      <w:sz w:val="24"/>
      <w:szCs w:val="24"/>
    </w:rPr>
  </w:style>
  <w:style w:type="table" w:styleId="PlainTable2">
    <w:name w:val="Plain Table 2"/>
    <w:basedOn w:val="TableNormal"/>
    <w:uiPriority w:val="42"/>
    <w:rsid w:val="00BB3D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7B75D0"/>
    <w:pPr>
      <w:ind w:left="720"/>
      <w:contextualSpacing/>
    </w:pPr>
  </w:style>
  <w:style w:type="paragraph" w:styleId="NormalWeb">
    <w:name w:val="Normal (Web)"/>
    <w:basedOn w:val="Normal"/>
    <w:uiPriority w:val="99"/>
    <w:semiHidden/>
    <w:unhideWhenUsed/>
    <w:rsid w:val="00144190"/>
    <w:rPr>
      <w:rFonts w:ascii="Times New Roman" w:hAnsi="Times New Roman" w:cs="Times New Roman"/>
      <w:sz w:val="24"/>
      <w:szCs w:val="24"/>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TOC1">
    <w:name w:val="toc 1"/>
    <w:basedOn w:val="Normal"/>
    <w:next w:val="Normal"/>
    <w:autoRedefine/>
    <w:uiPriority w:val="39"/>
    <w:unhideWhenUsed/>
    <w:rsid w:val="00555117"/>
    <w:pPr>
      <w:spacing w:after="100"/>
    </w:pPr>
  </w:style>
  <w:style w:type="character" w:styleId="Hyperlink">
    <w:name w:val="Hyperlink"/>
    <w:basedOn w:val="DefaultParagraphFont"/>
    <w:uiPriority w:val="99"/>
    <w:unhideWhenUsed/>
    <w:rsid w:val="005551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8122">
      <w:bodyDiv w:val="1"/>
      <w:marLeft w:val="0"/>
      <w:marRight w:val="0"/>
      <w:marTop w:val="0"/>
      <w:marBottom w:val="0"/>
      <w:divBdr>
        <w:top w:val="none" w:sz="0" w:space="0" w:color="auto"/>
        <w:left w:val="none" w:sz="0" w:space="0" w:color="auto"/>
        <w:bottom w:val="none" w:sz="0" w:space="0" w:color="auto"/>
        <w:right w:val="none" w:sz="0" w:space="0" w:color="auto"/>
      </w:divBdr>
    </w:div>
    <w:div w:id="27029069">
      <w:bodyDiv w:val="1"/>
      <w:marLeft w:val="0"/>
      <w:marRight w:val="0"/>
      <w:marTop w:val="0"/>
      <w:marBottom w:val="0"/>
      <w:divBdr>
        <w:top w:val="none" w:sz="0" w:space="0" w:color="auto"/>
        <w:left w:val="none" w:sz="0" w:space="0" w:color="auto"/>
        <w:bottom w:val="none" w:sz="0" w:space="0" w:color="auto"/>
        <w:right w:val="none" w:sz="0" w:space="0" w:color="auto"/>
      </w:divBdr>
    </w:div>
    <w:div w:id="76556908">
      <w:bodyDiv w:val="1"/>
      <w:marLeft w:val="0"/>
      <w:marRight w:val="0"/>
      <w:marTop w:val="0"/>
      <w:marBottom w:val="0"/>
      <w:divBdr>
        <w:top w:val="none" w:sz="0" w:space="0" w:color="auto"/>
        <w:left w:val="none" w:sz="0" w:space="0" w:color="auto"/>
        <w:bottom w:val="none" w:sz="0" w:space="0" w:color="auto"/>
        <w:right w:val="none" w:sz="0" w:space="0" w:color="auto"/>
      </w:divBdr>
    </w:div>
    <w:div w:id="113016609">
      <w:bodyDiv w:val="1"/>
      <w:marLeft w:val="0"/>
      <w:marRight w:val="0"/>
      <w:marTop w:val="0"/>
      <w:marBottom w:val="0"/>
      <w:divBdr>
        <w:top w:val="none" w:sz="0" w:space="0" w:color="auto"/>
        <w:left w:val="none" w:sz="0" w:space="0" w:color="auto"/>
        <w:bottom w:val="none" w:sz="0" w:space="0" w:color="auto"/>
        <w:right w:val="none" w:sz="0" w:space="0" w:color="auto"/>
      </w:divBdr>
    </w:div>
    <w:div w:id="116338647">
      <w:bodyDiv w:val="1"/>
      <w:marLeft w:val="0"/>
      <w:marRight w:val="0"/>
      <w:marTop w:val="0"/>
      <w:marBottom w:val="0"/>
      <w:divBdr>
        <w:top w:val="none" w:sz="0" w:space="0" w:color="auto"/>
        <w:left w:val="none" w:sz="0" w:space="0" w:color="auto"/>
        <w:bottom w:val="none" w:sz="0" w:space="0" w:color="auto"/>
        <w:right w:val="none" w:sz="0" w:space="0" w:color="auto"/>
      </w:divBdr>
    </w:div>
    <w:div w:id="120272975">
      <w:bodyDiv w:val="1"/>
      <w:marLeft w:val="0"/>
      <w:marRight w:val="0"/>
      <w:marTop w:val="0"/>
      <w:marBottom w:val="0"/>
      <w:divBdr>
        <w:top w:val="none" w:sz="0" w:space="0" w:color="auto"/>
        <w:left w:val="none" w:sz="0" w:space="0" w:color="auto"/>
        <w:bottom w:val="none" w:sz="0" w:space="0" w:color="auto"/>
        <w:right w:val="none" w:sz="0" w:space="0" w:color="auto"/>
      </w:divBdr>
    </w:div>
    <w:div w:id="147333026">
      <w:bodyDiv w:val="1"/>
      <w:marLeft w:val="0"/>
      <w:marRight w:val="0"/>
      <w:marTop w:val="0"/>
      <w:marBottom w:val="0"/>
      <w:divBdr>
        <w:top w:val="none" w:sz="0" w:space="0" w:color="auto"/>
        <w:left w:val="none" w:sz="0" w:space="0" w:color="auto"/>
        <w:bottom w:val="none" w:sz="0" w:space="0" w:color="auto"/>
        <w:right w:val="none" w:sz="0" w:space="0" w:color="auto"/>
      </w:divBdr>
    </w:div>
    <w:div w:id="186188211">
      <w:bodyDiv w:val="1"/>
      <w:marLeft w:val="0"/>
      <w:marRight w:val="0"/>
      <w:marTop w:val="0"/>
      <w:marBottom w:val="0"/>
      <w:divBdr>
        <w:top w:val="none" w:sz="0" w:space="0" w:color="auto"/>
        <w:left w:val="none" w:sz="0" w:space="0" w:color="auto"/>
        <w:bottom w:val="none" w:sz="0" w:space="0" w:color="auto"/>
        <w:right w:val="none" w:sz="0" w:space="0" w:color="auto"/>
      </w:divBdr>
    </w:div>
    <w:div w:id="187302479">
      <w:bodyDiv w:val="1"/>
      <w:marLeft w:val="0"/>
      <w:marRight w:val="0"/>
      <w:marTop w:val="0"/>
      <w:marBottom w:val="0"/>
      <w:divBdr>
        <w:top w:val="none" w:sz="0" w:space="0" w:color="auto"/>
        <w:left w:val="none" w:sz="0" w:space="0" w:color="auto"/>
        <w:bottom w:val="none" w:sz="0" w:space="0" w:color="auto"/>
        <w:right w:val="none" w:sz="0" w:space="0" w:color="auto"/>
      </w:divBdr>
    </w:div>
    <w:div w:id="201208518">
      <w:bodyDiv w:val="1"/>
      <w:marLeft w:val="0"/>
      <w:marRight w:val="0"/>
      <w:marTop w:val="0"/>
      <w:marBottom w:val="0"/>
      <w:divBdr>
        <w:top w:val="none" w:sz="0" w:space="0" w:color="auto"/>
        <w:left w:val="none" w:sz="0" w:space="0" w:color="auto"/>
        <w:bottom w:val="none" w:sz="0" w:space="0" w:color="auto"/>
        <w:right w:val="none" w:sz="0" w:space="0" w:color="auto"/>
      </w:divBdr>
    </w:div>
    <w:div w:id="206843992">
      <w:bodyDiv w:val="1"/>
      <w:marLeft w:val="0"/>
      <w:marRight w:val="0"/>
      <w:marTop w:val="0"/>
      <w:marBottom w:val="0"/>
      <w:divBdr>
        <w:top w:val="none" w:sz="0" w:space="0" w:color="auto"/>
        <w:left w:val="none" w:sz="0" w:space="0" w:color="auto"/>
        <w:bottom w:val="none" w:sz="0" w:space="0" w:color="auto"/>
        <w:right w:val="none" w:sz="0" w:space="0" w:color="auto"/>
      </w:divBdr>
    </w:div>
    <w:div w:id="213928740">
      <w:bodyDiv w:val="1"/>
      <w:marLeft w:val="0"/>
      <w:marRight w:val="0"/>
      <w:marTop w:val="0"/>
      <w:marBottom w:val="0"/>
      <w:divBdr>
        <w:top w:val="none" w:sz="0" w:space="0" w:color="auto"/>
        <w:left w:val="none" w:sz="0" w:space="0" w:color="auto"/>
        <w:bottom w:val="none" w:sz="0" w:space="0" w:color="auto"/>
        <w:right w:val="none" w:sz="0" w:space="0" w:color="auto"/>
      </w:divBdr>
    </w:div>
    <w:div w:id="227154917">
      <w:bodyDiv w:val="1"/>
      <w:marLeft w:val="0"/>
      <w:marRight w:val="0"/>
      <w:marTop w:val="0"/>
      <w:marBottom w:val="0"/>
      <w:divBdr>
        <w:top w:val="none" w:sz="0" w:space="0" w:color="auto"/>
        <w:left w:val="none" w:sz="0" w:space="0" w:color="auto"/>
        <w:bottom w:val="none" w:sz="0" w:space="0" w:color="auto"/>
        <w:right w:val="none" w:sz="0" w:space="0" w:color="auto"/>
      </w:divBdr>
    </w:div>
    <w:div w:id="234585089">
      <w:bodyDiv w:val="1"/>
      <w:marLeft w:val="0"/>
      <w:marRight w:val="0"/>
      <w:marTop w:val="0"/>
      <w:marBottom w:val="0"/>
      <w:divBdr>
        <w:top w:val="none" w:sz="0" w:space="0" w:color="auto"/>
        <w:left w:val="none" w:sz="0" w:space="0" w:color="auto"/>
        <w:bottom w:val="none" w:sz="0" w:space="0" w:color="auto"/>
        <w:right w:val="none" w:sz="0" w:space="0" w:color="auto"/>
      </w:divBdr>
    </w:div>
    <w:div w:id="240454440">
      <w:bodyDiv w:val="1"/>
      <w:marLeft w:val="0"/>
      <w:marRight w:val="0"/>
      <w:marTop w:val="0"/>
      <w:marBottom w:val="0"/>
      <w:divBdr>
        <w:top w:val="none" w:sz="0" w:space="0" w:color="auto"/>
        <w:left w:val="none" w:sz="0" w:space="0" w:color="auto"/>
        <w:bottom w:val="none" w:sz="0" w:space="0" w:color="auto"/>
        <w:right w:val="none" w:sz="0" w:space="0" w:color="auto"/>
      </w:divBdr>
    </w:div>
    <w:div w:id="241255825">
      <w:bodyDiv w:val="1"/>
      <w:marLeft w:val="0"/>
      <w:marRight w:val="0"/>
      <w:marTop w:val="0"/>
      <w:marBottom w:val="0"/>
      <w:divBdr>
        <w:top w:val="none" w:sz="0" w:space="0" w:color="auto"/>
        <w:left w:val="none" w:sz="0" w:space="0" w:color="auto"/>
        <w:bottom w:val="none" w:sz="0" w:space="0" w:color="auto"/>
        <w:right w:val="none" w:sz="0" w:space="0" w:color="auto"/>
      </w:divBdr>
    </w:div>
    <w:div w:id="250283821">
      <w:bodyDiv w:val="1"/>
      <w:marLeft w:val="0"/>
      <w:marRight w:val="0"/>
      <w:marTop w:val="0"/>
      <w:marBottom w:val="0"/>
      <w:divBdr>
        <w:top w:val="none" w:sz="0" w:space="0" w:color="auto"/>
        <w:left w:val="none" w:sz="0" w:space="0" w:color="auto"/>
        <w:bottom w:val="none" w:sz="0" w:space="0" w:color="auto"/>
        <w:right w:val="none" w:sz="0" w:space="0" w:color="auto"/>
      </w:divBdr>
    </w:div>
    <w:div w:id="273220126">
      <w:bodyDiv w:val="1"/>
      <w:marLeft w:val="0"/>
      <w:marRight w:val="0"/>
      <w:marTop w:val="0"/>
      <w:marBottom w:val="0"/>
      <w:divBdr>
        <w:top w:val="none" w:sz="0" w:space="0" w:color="auto"/>
        <w:left w:val="none" w:sz="0" w:space="0" w:color="auto"/>
        <w:bottom w:val="none" w:sz="0" w:space="0" w:color="auto"/>
        <w:right w:val="none" w:sz="0" w:space="0" w:color="auto"/>
      </w:divBdr>
    </w:div>
    <w:div w:id="281502095">
      <w:bodyDiv w:val="1"/>
      <w:marLeft w:val="0"/>
      <w:marRight w:val="0"/>
      <w:marTop w:val="0"/>
      <w:marBottom w:val="0"/>
      <w:divBdr>
        <w:top w:val="none" w:sz="0" w:space="0" w:color="auto"/>
        <w:left w:val="none" w:sz="0" w:space="0" w:color="auto"/>
        <w:bottom w:val="none" w:sz="0" w:space="0" w:color="auto"/>
        <w:right w:val="none" w:sz="0" w:space="0" w:color="auto"/>
      </w:divBdr>
    </w:div>
    <w:div w:id="286157184">
      <w:bodyDiv w:val="1"/>
      <w:marLeft w:val="0"/>
      <w:marRight w:val="0"/>
      <w:marTop w:val="0"/>
      <w:marBottom w:val="0"/>
      <w:divBdr>
        <w:top w:val="none" w:sz="0" w:space="0" w:color="auto"/>
        <w:left w:val="none" w:sz="0" w:space="0" w:color="auto"/>
        <w:bottom w:val="none" w:sz="0" w:space="0" w:color="auto"/>
        <w:right w:val="none" w:sz="0" w:space="0" w:color="auto"/>
      </w:divBdr>
    </w:div>
    <w:div w:id="294067845">
      <w:bodyDiv w:val="1"/>
      <w:marLeft w:val="0"/>
      <w:marRight w:val="0"/>
      <w:marTop w:val="0"/>
      <w:marBottom w:val="0"/>
      <w:divBdr>
        <w:top w:val="none" w:sz="0" w:space="0" w:color="auto"/>
        <w:left w:val="none" w:sz="0" w:space="0" w:color="auto"/>
        <w:bottom w:val="none" w:sz="0" w:space="0" w:color="auto"/>
        <w:right w:val="none" w:sz="0" w:space="0" w:color="auto"/>
      </w:divBdr>
    </w:div>
    <w:div w:id="319118770">
      <w:bodyDiv w:val="1"/>
      <w:marLeft w:val="0"/>
      <w:marRight w:val="0"/>
      <w:marTop w:val="0"/>
      <w:marBottom w:val="0"/>
      <w:divBdr>
        <w:top w:val="none" w:sz="0" w:space="0" w:color="auto"/>
        <w:left w:val="none" w:sz="0" w:space="0" w:color="auto"/>
        <w:bottom w:val="none" w:sz="0" w:space="0" w:color="auto"/>
        <w:right w:val="none" w:sz="0" w:space="0" w:color="auto"/>
      </w:divBdr>
    </w:div>
    <w:div w:id="321273188">
      <w:bodyDiv w:val="1"/>
      <w:marLeft w:val="0"/>
      <w:marRight w:val="0"/>
      <w:marTop w:val="0"/>
      <w:marBottom w:val="0"/>
      <w:divBdr>
        <w:top w:val="none" w:sz="0" w:space="0" w:color="auto"/>
        <w:left w:val="none" w:sz="0" w:space="0" w:color="auto"/>
        <w:bottom w:val="none" w:sz="0" w:space="0" w:color="auto"/>
        <w:right w:val="none" w:sz="0" w:space="0" w:color="auto"/>
      </w:divBdr>
    </w:div>
    <w:div w:id="323826920">
      <w:bodyDiv w:val="1"/>
      <w:marLeft w:val="0"/>
      <w:marRight w:val="0"/>
      <w:marTop w:val="0"/>
      <w:marBottom w:val="0"/>
      <w:divBdr>
        <w:top w:val="none" w:sz="0" w:space="0" w:color="auto"/>
        <w:left w:val="none" w:sz="0" w:space="0" w:color="auto"/>
        <w:bottom w:val="none" w:sz="0" w:space="0" w:color="auto"/>
        <w:right w:val="none" w:sz="0" w:space="0" w:color="auto"/>
      </w:divBdr>
    </w:div>
    <w:div w:id="333803378">
      <w:bodyDiv w:val="1"/>
      <w:marLeft w:val="0"/>
      <w:marRight w:val="0"/>
      <w:marTop w:val="0"/>
      <w:marBottom w:val="0"/>
      <w:divBdr>
        <w:top w:val="none" w:sz="0" w:space="0" w:color="auto"/>
        <w:left w:val="none" w:sz="0" w:space="0" w:color="auto"/>
        <w:bottom w:val="none" w:sz="0" w:space="0" w:color="auto"/>
        <w:right w:val="none" w:sz="0" w:space="0" w:color="auto"/>
      </w:divBdr>
    </w:div>
    <w:div w:id="344018120">
      <w:bodyDiv w:val="1"/>
      <w:marLeft w:val="0"/>
      <w:marRight w:val="0"/>
      <w:marTop w:val="0"/>
      <w:marBottom w:val="0"/>
      <w:divBdr>
        <w:top w:val="none" w:sz="0" w:space="0" w:color="auto"/>
        <w:left w:val="none" w:sz="0" w:space="0" w:color="auto"/>
        <w:bottom w:val="none" w:sz="0" w:space="0" w:color="auto"/>
        <w:right w:val="none" w:sz="0" w:space="0" w:color="auto"/>
      </w:divBdr>
    </w:div>
    <w:div w:id="347341367">
      <w:bodyDiv w:val="1"/>
      <w:marLeft w:val="0"/>
      <w:marRight w:val="0"/>
      <w:marTop w:val="0"/>
      <w:marBottom w:val="0"/>
      <w:divBdr>
        <w:top w:val="none" w:sz="0" w:space="0" w:color="auto"/>
        <w:left w:val="none" w:sz="0" w:space="0" w:color="auto"/>
        <w:bottom w:val="none" w:sz="0" w:space="0" w:color="auto"/>
        <w:right w:val="none" w:sz="0" w:space="0" w:color="auto"/>
      </w:divBdr>
    </w:div>
    <w:div w:id="423576587">
      <w:bodyDiv w:val="1"/>
      <w:marLeft w:val="0"/>
      <w:marRight w:val="0"/>
      <w:marTop w:val="0"/>
      <w:marBottom w:val="0"/>
      <w:divBdr>
        <w:top w:val="none" w:sz="0" w:space="0" w:color="auto"/>
        <w:left w:val="none" w:sz="0" w:space="0" w:color="auto"/>
        <w:bottom w:val="none" w:sz="0" w:space="0" w:color="auto"/>
        <w:right w:val="none" w:sz="0" w:space="0" w:color="auto"/>
      </w:divBdr>
    </w:div>
    <w:div w:id="474494419">
      <w:bodyDiv w:val="1"/>
      <w:marLeft w:val="0"/>
      <w:marRight w:val="0"/>
      <w:marTop w:val="0"/>
      <w:marBottom w:val="0"/>
      <w:divBdr>
        <w:top w:val="none" w:sz="0" w:space="0" w:color="auto"/>
        <w:left w:val="none" w:sz="0" w:space="0" w:color="auto"/>
        <w:bottom w:val="none" w:sz="0" w:space="0" w:color="auto"/>
        <w:right w:val="none" w:sz="0" w:space="0" w:color="auto"/>
      </w:divBdr>
    </w:div>
    <w:div w:id="488637982">
      <w:bodyDiv w:val="1"/>
      <w:marLeft w:val="0"/>
      <w:marRight w:val="0"/>
      <w:marTop w:val="0"/>
      <w:marBottom w:val="0"/>
      <w:divBdr>
        <w:top w:val="none" w:sz="0" w:space="0" w:color="auto"/>
        <w:left w:val="none" w:sz="0" w:space="0" w:color="auto"/>
        <w:bottom w:val="none" w:sz="0" w:space="0" w:color="auto"/>
        <w:right w:val="none" w:sz="0" w:space="0" w:color="auto"/>
      </w:divBdr>
    </w:div>
    <w:div w:id="545794656">
      <w:bodyDiv w:val="1"/>
      <w:marLeft w:val="0"/>
      <w:marRight w:val="0"/>
      <w:marTop w:val="0"/>
      <w:marBottom w:val="0"/>
      <w:divBdr>
        <w:top w:val="none" w:sz="0" w:space="0" w:color="auto"/>
        <w:left w:val="none" w:sz="0" w:space="0" w:color="auto"/>
        <w:bottom w:val="none" w:sz="0" w:space="0" w:color="auto"/>
        <w:right w:val="none" w:sz="0" w:space="0" w:color="auto"/>
      </w:divBdr>
    </w:div>
    <w:div w:id="549345140">
      <w:bodyDiv w:val="1"/>
      <w:marLeft w:val="0"/>
      <w:marRight w:val="0"/>
      <w:marTop w:val="0"/>
      <w:marBottom w:val="0"/>
      <w:divBdr>
        <w:top w:val="none" w:sz="0" w:space="0" w:color="auto"/>
        <w:left w:val="none" w:sz="0" w:space="0" w:color="auto"/>
        <w:bottom w:val="none" w:sz="0" w:space="0" w:color="auto"/>
        <w:right w:val="none" w:sz="0" w:space="0" w:color="auto"/>
      </w:divBdr>
    </w:div>
    <w:div w:id="560168111">
      <w:bodyDiv w:val="1"/>
      <w:marLeft w:val="0"/>
      <w:marRight w:val="0"/>
      <w:marTop w:val="0"/>
      <w:marBottom w:val="0"/>
      <w:divBdr>
        <w:top w:val="none" w:sz="0" w:space="0" w:color="auto"/>
        <w:left w:val="none" w:sz="0" w:space="0" w:color="auto"/>
        <w:bottom w:val="none" w:sz="0" w:space="0" w:color="auto"/>
        <w:right w:val="none" w:sz="0" w:space="0" w:color="auto"/>
      </w:divBdr>
    </w:div>
    <w:div w:id="561332085">
      <w:bodyDiv w:val="1"/>
      <w:marLeft w:val="0"/>
      <w:marRight w:val="0"/>
      <w:marTop w:val="0"/>
      <w:marBottom w:val="0"/>
      <w:divBdr>
        <w:top w:val="none" w:sz="0" w:space="0" w:color="auto"/>
        <w:left w:val="none" w:sz="0" w:space="0" w:color="auto"/>
        <w:bottom w:val="none" w:sz="0" w:space="0" w:color="auto"/>
        <w:right w:val="none" w:sz="0" w:space="0" w:color="auto"/>
      </w:divBdr>
    </w:div>
    <w:div w:id="586574056">
      <w:bodyDiv w:val="1"/>
      <w:marLeft w:val="0"/>
      <w:marRight w:val="0"/>
      <w:marTop w:val="0"/>
      <w:marBottom w:val="0"/>
      <w:divBdr>
        <w:top w:val="none" w:sz="0" w:space="0" w:color="auto"/>
        <w:left w:val="none" w:sz="0" w:space="0" w:color="auto"/>
        <w:bottom w:val="none" w:sz="0" w:space="0" w:color="auto"/>
        <w:right w:val="none" w:sz="0" w:space="0" w:color="auto"/>
      </w:divBdr>
    </w:div>
    <w:div w:id="588348285">
      <w:bodyDiv w:val="1"/>
      <w:marLeft w:val="0"/>
      <w:marRight w:val="0"/>
      <w:marTop w:val="0"/>
      <w:marBottom w:val="0"/>
      <w:divBdr>
        <w:top w:val="none" w:sz="0" w:space="0" w:color="auto"/>
        <w:left w:val="none" w:sz="0" w:space="0" w:color="auto"/>
        <w:bottom w:val="none" w:sz="0" w:space="0" w:color="auto"/>
        <w:right w:val="none" w:sz="0" w:space="0" w:color="auto"/>
      </w:divBdr>
    </w:div>
    <w:div w:id="623118116">
      <w:bodyDiv w:val="1"/>
      <w:marLeft w:val="0"/>
      <w:marRight w:val="0"/>
      <w:marTop w:val="0"/>
      <w:marBottom w:val="0"/>
      <w:divBdr>
        <w:top w:val="none" w:sz="0" w:space="0" w:color="auto"/>
        <w:left w:val="none" w:sz="0" w:space="0" w:color="auto"/>
        <w:bottom w:val="none" w:sz="0" w:space="0" w:color="auto"/>
        <w:right w:val="none" w:sz="0" w:space="0" w:color="auto"/>
      </w:divBdr>
    </w:div>
    <w:div w:id="637343680">
      <w:bodyDiv w:val="1"/>
      <w:marLeft w:val="0"/>
      <w:marRight w:val="0"/>
      <w:marTop w:val="0"/>
      <w:marBottom w:val="0"/>
      <w:divBdr>
        <w:top w:val="none" w:sz="0" w:space="0" w:color="auto"/>
        <w:left w:val="none" w:sz="0" w:space="0" w:color="auto"/>
        <w:bottom w:val="none" w:sz="0" w:space="0" w:color="auto"/>
        <w:right w:val="none" w:sz="0" w:space="0" w:color="auto"/>
      </w:divBdr>
    </w:div>
    <w:div w:id="649285946">
      <w:bodyDiv w:val="1"/>
      <w:marLeft w:val="0"/>
      <w:marRight w:val="0"/>
      <w:marTop w:val="0"/>
      <w:marBottom w:val="0"/>
      <w:divBdr>
        <w:top w:val="none" w:sz="0" w:space="0" w:color="auto"/>
        <w:left w:val="none" w:sz="0" w:space="0" w:color="auto"/>
        <w:bottom w:val="none" w:sz="0" w:space="0" w:color="auto"/>
        <w:right w:val="none" w:sz="0" w:space="0" w:color="auto"/>
      </w:divBdr>
    </w:div>
    <w:div w:id="655501503">
      <w:bodyDiv w:val="1"/>
      <w:marLeft w:val="0"/>
      <w:marRight w:val="0"/>
      <w:marTop w:val="0"/>
      <w:marBottom w:val="0"/>
      <w:divBdr>
        <w:top w:val="none" w:sz="0" w:space="0" w:color="auto"/>
        <w:left w:val="none" w:sz="0" w:space="0" w:color="auto"/>
        <w:bottom w:val="none" w:sz="0" w:space="0" w:color="auto"/>
        <w:right w:val="none" w:sz="0" w:space="0" w:color="auto"/>
      </w:divBdr>
    </w:div>
    <w:div w:id="678775705">
      <w:bodyDiv w:val="1"/>
      <w:marLeft w:val="0"/>
      <w:marRight w:val="0"/>
      <w:marTop w:val="0"/>
      <w:marBottom w:val="0"/>
      <w:divBdr>
        <w:top w:val="none" w:sz="0" w:space="0" w:color="auto"/>
        <w:left w:val="none" w:sz="0" w:space="0" w:color="auto"/>
        <w:bottom w:val="none" w:sz="0" w:space="0" w:color="auto"/>
        <w:right w:val="none" w:sz="0" w:space="0" w:color="auto"/>
      </w:divBdr>
    </w:div>
    <w:div w:id="684744102">
      <w:bodyDiv w:val="1"/>
      <w:marLeft w:val="0"/>
      <w:marRight w:val="0"/>
      <w:marTop w:val="0"/>
      <w:marBottom w:val="0"/>
      <w:divBdr>
        <w:top w:val="none" w:sz="0" w:space="0" w:color="auto"/>
        <w:left w:val="none" w:sz="0" w:space="0" w:color="auto"/>
        <w:bottom w:val="none" w:sz="0" w:space="0" w:color="auto"/>
        <w:right w:val="none" w:sz="0" w:space="0" w:color="auto"/>
      </w:divBdr>
    </w:div>
    <w:div w:id="721052189">
      <w:bodyDiv w:val="1"/>
      <w:marLeft w:val="0"/>
      <w:marRight w:val="0"/>
      <w:marTop w:val="0"/>
      <w:marBottom w:val="0"/>
      <w:divBdr>
        <w:top w:val="none" w:sz="0" w:space="0" w:color="auto"/>
        <w:left w:val="none" w:sz="0" w:space="0" w:color="auto"/>
        <w:bottom w:val="none" w:sz="0" w:space="0" w:color="auto"/>
        <w:right w:val="none" w:sz="0" w:space="0" w:color="auto"/>
      </w:divBdr>
    </w:div>
    <w:div w:id="725953853">
      <w:bodyDiv w:val="1"/>
      <w:marLeft w:val="0"/>
      <w:marRight w:val="0"/>
      <w:marTop w:val="0"/>
      <w:marBottom w:val="0"/>
      <w:divBdr>
        <w:top w:val="none" w:sz="0" w:space="0" w:color="auto"/>
        <w:left w:val="none" w:sz="0" w:space="0" w:color="auto"/>
        <w:bottom w:val="none" w:sz="0" w:space="0" w:color="auto"/>
        <w:right w:val="none" w:sz="0" w:space="0" w:color="auto"/>
      </w:divBdr>
    </w:div>
    <w:div w:id="749930396">
      <w:bodyDiv w:val="1"/>
      <w:marLeft w:val="0"/>
      <w:marRight w:val="0"/>
      <w:marTop w:val="0"/>
      <w:marBottom w:val="0"/>
      <w:divBdr>
        <w:top w:val="none" w:sz="0" w:space="0" w:color="auto"/>
        <w:left w:val="none" w:sz="0" w:space="0" w:color="auto"/>
        <w:bottom w:val="none" w:sz="0" w:space="0" w:color="auto"/>
        <w:right w:val="none" w:sz="0" w:space="0" w:color="auto"/>
      </w:divBdr>
    </w:div>
    <w:div w:id="774908044">
      <w:bodyDiv w:val="1"/>
      <w:marLeft w:val="0"/>
      <w:marRight w:val="0"/>
      <w:marTop w:val="0"/>
      <w:marBottom w:val="0"/>
      <w:divBdr>
        <w:top w:val="none" w:sz="0" w:space="0" w:color="auto"/>
        <w:left w:val="none" w:sz="0" w:space="0" w:color="auto"/>
        <w:bottom w:val="none" w:sz="0" w:space="0" w:color="auto"/>
        <w:right w:val="none" w:sz="0" w:space="0" w:color="auto"/>
      </w:divBdr>
    </w:div>
    <w:div w:id="775248806">
      <w:bodyDiv w:val="1"/>
      <w:marLeft w:val="0"/>
      <w:marRight w:val="0"/>
      <w:marTop w:val="0"/>
      <w:marBottom w:val="0"/>
      <w:divBdr>
        <w:top w:val="none" w:sz="0" w:space="0" w:color="auto"/>
        <w:left w:val="none" w:sz="0" w:space="0" w:color="auto"/>
        <w:bottom w:val="none" w:sz="0" w:space="0" w:color="auto"/>
        <w:right w:val="none" w:sz="0" w:space="0" w:color="auto"/>
      </w:divBdr>
    </w:div>
    <w:div w:id="803741573">
      <w:bodyDiv w:val="1"/>
      <w:marLeft w:val="0"/>
      <w:marRight w:val="0"/>
      <w:marTop w:val="0"/>
      <w:marBottom w:val="0"/>
      <w:divBdr>
        <w:top w:val="none" w:sz="0" w:space="0" w:color="auto"/>
        <w:left w:val="none" w:sz="0" w:space="0" w:color="auto"/>
        <w:bottom w:val="none" w:sz="0" w:space="0" w:color="auto"/>
        <w:right w:val="none" w:sz="0" w:space="0" w:color="auto"/>
      </w:divBdr>
    </w:div>
    <w:div w:id="850995312">
      <w:bodyDiv w:val="1"/>
      <w:marLeft w:val="0"/>
      <w:marRight w:val="0"/>
      <w:marTop w:val="0"/>
      <w:marBottom w:val="0"/>
      <w:divBdr>
        <w:top w:val="none" w:sz="0" w:space="0" w:color="auto"/>
        <w:left w:val="none" w:sz="0" w:space="0" w:color="auto"/>
        <w:bottom w:val="none" w:sz="0" w:space="0" w:color="auto"/>
        <w:right w:val="none" w:sz="0" w:space="0" w:color="auto"/>
      </w:divBdr>
    </w:div>
    <w:div w:id="859275155">
      <w:bodyDiv w:val="1"/>
      <w:marLeft w:val="0"/>
      <w:marRight w:val="0"/>
      <w:marTop w:val="0"/>
      <w:marBottom w:val="0"/>
      <w:divBdr>
        <w:top w:val="none" w:sz="0" w:space="0" w:color="auto"/>
        <w:left w:val="none" w:sz="0" w:space="0" w:color="auto"/>
        <w:bottom w:val="none" w:sz="0" w:space="0" w:color="auto"/>
        <w:right w:val="none" w:sz="0" w:space="0" w:color="auto"/>
      </w:divBdr>
    </w:div>
    <w:div w:id="862862390">
      <w:bodyDiv w:val="1"/>
      <w:marLeft w:val="0"/>
      <w:marRight w:val="0"/>
      <w:marTop w:val="0"/>
      <w:marBottom w:val="0"/>
      <w:divBdr>
        <w:top w:val="none" w:sz="0" w:space="0" w:color="auto"/>
        <w:left w:val="none" w:sz="0" w:space="0" w:color="auto"/>
        <w:bottom w:val="none" w:sz="0" w:space="0" w:color="auto"/>
        <w:right w:val="none" w:sz="0" w:space="0" w:color="auto"/>
      </w:divBdr>
    </w:div>
    <w:div w:id="880171034">
      <w:bodyDiv w:val="1"/>
      <w:marLeft w:val="0"/>
      <w:marRight w:val="0"/>
      <w:marTop w:val="0"/>
      <w:marBottom w:val="0"/>
      <w:divBdr>
        <w:top w:val="none" w:sz="0" w:space="0" w:color="auto"/>
        <w:left w:val="none" w:sz="0" w:space="0" w:color="auto"/>
        <w:bottom w:val="none" w:sz="0" w:space="0" w:color="auto"/>
        <w:right w:val="none" w:sz="0" w:space="0" w:color="auto"/>
      </w:divBdr>
    </w:div>
    <w:div w:id="913777136">
      <w:bodyDiv w:val="1"/>
      <w:marLeft w:val="0"/>
      <w:marRight w:val="0"/>
      <w:marTop w:val="0"/>
      <w:marBottom w:val="0"/>
      <w:divBdr>
        <w:top w:val="none" w:sz="0" w:space="0" w:color="auto"/>
        <w:left w:val="none" w:sz="0" w:space="0" w:color="auto"/>
        <w:bottom w:val="none" w:sz="0" w:space="0" w:color="auto"/>
        <w:right w:val="none" w:sz="0" w:space="0" w:color="auto"/>
      </w:divBdr>
    </w:div>
    <w:div w:id="939029550">
      <w:bodyDiv w:val="1"/>
      <w:marLeft w:val="0"/>
      <w:marRight w:val="0"/>
      <w:marTop w:val="0"/>
      <w:marBottom w:val="0"/>
      <w:divBdr>
        <w:top w:val="none" w:sz="0" w:space="0" w:color="auto"/>
        <w:left w:val="none" w:sz="0" w:space="0" w:color="auto"/>
        <w:bottom w:val="none" w:sz="0" w:space="0" w:color="auto"/>
        <w:right w:val="none" w:sz="0" w:space="0" w:color="auto"/>
      </w:divBdr>
    </w:div>
    <w:div w:id="948659452">
      <w:bodyDiv w:val="1"/>
      <w:marLeft w:val="0"/>
      <w:marRight w:val="0"/>
      <w:marTop w:val="0"/>
      <w:marBottom w:val="0"/>
      <w:divBdr>
        <w:top w:val="none" w:sz="0" w:space="0" w:color="auto"/>
        <w:left w:val="none" w:sz="0" w:space="0" w:color="auto"/>
        <w:bottom w:val="none" w:sz="0" w:space="0" w:color="auto"/>
        <w:right w:val="none" w:sz="0" w:space="0" w:color="auto"/>
      </w:divBdr>
    </w:div>
    <w:div w:id="958025325">
      <w:bodyDiv w:val="1"/>
      <w:marLeft w:val="0"/>
      <w:marRight w:val="0"/>
      <w:marTop w:val="0"/>
      <w:marBottom w:val="0"/>
      <w:divBdr>
        <w:top w:val="none" w:sz="0" w:space="0" w:color="auto"/>
        <w:left w:val="none" w:sz="0" w:space="0" w:color="auto"/>
        <w:bottom w:val="none" w:sz="0" w:space="0" w:color="auto"/>
        <w:right w:val="none" w:sz="0" w:space="0" w:color="auto"/>
      </w:divBdr>
    </w:div>
    <w:div w:id="964970418">
      <w:bodyDiv w:val="1"/>
      <w:marLeft w:val="0"/>
      <w:marRight w:val="0"/>
      <w:marTop w:val="0"/>
      <w:marBottom w:val="0"/>
      <w:divBdr>
        <w:top w:val="none" w:sz="0" w:space="0" w:color="auto"/>
        <w:left w:val="none" w:sz="0" w:space="0" w:color="auto"/>
        <w:bottom w:val="none" w:sz="0" w:space="0" w:color="auto"/>
        <w:right w:val="none" w:sz="0" w:space="0" w:color="auto"/>
      </w:divBdr>
    </w:div>
    <w:div w:id="1002050795">
      <w:bodyDiv w:val="1"/>
      <w:marLeft w:val="0"/>
      <w:marRight w:val="0"/>
      <w:marTop w:val="0"/>
      <w:marBottom w:val="0"/>
      <w:divBdr>
        <w:top w:val="none" w:sz="0" w:space="0" w:color="auto"/>
        <w:left w:val="none" w:sz="0" w:space="0" w:color="auto"/>
        <w:bottom w:val="none" w:sz="0" w:space="0" w:color="auto"/>
        <w:right w:val="none" w:sz="0" w:space="0" w:color="auto"/>
      </w:divBdr>
    </w:div>
    <w:div w:id="1008098977">
      <w:bodyDiv w:val="1"/>
      <w:marLeft w:val="0"/>
      <w:marRight w:val="0"/>
      <w:marTop w:val="0"/>
      <w:marBottom w:val="0"/>
      <w:divBdr>
        <w:top w:val="none" w:sz="0" w:space="0" w:color="auto"/>
        <w:left w:val="none" w:sz="0" w:space="0" w:color="auto"/>
        <w:bottom w:val="none" w:sz="0" w:space="0" w:color="auto"/>
        <w:right w:val="none" w:sz="0" w:space="0" w:color="auto"/>
      </w:divBdr>
    </w:div>
    <w:div w:id="1020476222">
      <w:bodyDiv w:val="1"/>
      <w:marLeft w:val="0"/>
      <w:marRight w:val="0"/>
      <w:marTop w:val="0"/>
      <w:marBottom w:val="0"/>
      <w:divBdr>
        <w:top w:val="none" w:sz="0" w:space="0" w:color="auto"/>
        <w:left w:val="none" w:sz="0" w:space="0" w:color="auto"/>
        <w:bottom w:val="none" w:sz="0" w:space="0" w:color="auto"/>
        <w:right w:val="none" w:sz="0" w:space="0" w:color="auto"/>
      </w:divBdr>
    </w:div>
    <w:div w:id="1079717140">
      <w:bodyDiv w:val="1"/>
      <w:marLeft w:val="0"/>
      <w:marRight w:val="0"/>
      <w:marTop w:val="0"/>
      <w:marBottom w:val="0"/>
      <w:divBdr>
        <w:top w:val="none" w:sz="0" w:space="0" w:color="auto"/>
        <w:left w:val="none" w:sz="0" w:space="0" w:color="auto"/>
        <w:bottom w:val="none" w:sz="0" w:space="0" w:color="auto"/>
        <w:right w:val="none" w:sz="0" w:space="0" w:color="auto"/>
      </w:divBdr>
    </w:div>
    <w:div w:id="1081829827">
      <w:bodyDiv w:val="1"/>
      <w:marLeft w:val="0"/>
      <w:marRight w:val="0"/>
      <w:marTop w:val="0"/>
      <w:marBottom w:val="0"/>
      <w:divBdr>
        <w:top w:val="none" w:sz="0" w:space="0" w:color="auto"/>
        <w:left w:val="none" w:sz="0" w:space="0" w:color="auto"/>
        <w:bottom w:val="none" w:sz="0" w:space="0" w:color="auto"/>
        <w:right w:val="none" w:sz="0" w:space="0" w:color="auto"/>
      </w:divBdr>
    </w:div>
    <w:div w:id="1090200681">
      <w:bodyDiv w:val="1"/>
      <w:marLeft w:val="0"/>
      <w:marRight w:val="0"/>
      <w:marTop w:val="0"/>
      <w:marBottom w:val="0"/>
      <w:divBdr>
        <w:top w:val="none" w:sz="0" w:space="0" w:color="auto"/>
        <w:left w:val="none" w:sz="0" w:space="0" w:color="auto"/>
        <w:bottom w:val="none" w:sz="0" w:space="0" w:color="auto"/>
        <w:right w:val="none" w:sz="0" w:space="0" w:color="auto"/>
      </w:divBdr>
    </w:div>
    <w:div w:id="1100370312">
      <w:bodyDiv w:val="1"/>
      <w:marLeft w:val="0"/>
      <w:marRight w:val="0"/>
      <w:marTop w:val="0"/>
      <w:marBottom w:val="0"/>
      <w:divBdr>
        <w:top w:val="none" w:sz="0" w:space="0" w:color="auto"/>
        <w:left w:val="none" w:sz="0" w:space="0" w:color="auto"/>
        <w:bottom w:val="none" w:sz="0" w:space="0" w:color="auto"/>
        <w:right w:val="none" w:sz="0" w:space="0" w:color="auto"/>
      </w:divBdr>
    </w:div>
    <w:div w:id="1105686211">
      <w:bodyDiv w:val="1"/>
      <w:marLeft w:val="0"/>
      <w:marRight w:val="0"/>
      <w:marTop w:val="0"/>
      <w:marBottom w:val="0"/>
      <w:divBdr>
        <w:top w:val="none" w:sz="0" w:space="0" w:color="auto"/>
        <w:left w:val="none" w:sz="0" w:space="0" w:color="auto"/>
        <w:bottom w:val="none" w:sz="0" w:space="0" w:color="auto"/>
        <w:right w:val="none" w:sz="0" w:space="0" w:color="auto"/>
      </w:divBdr>
    </w:div>
    <w:div w:id="1117331594">
      <w:bodyDiv w:val="1"/>
      <w:marLeft w:val="0"/>
      <w:marRight w:val="0"/>
      <w:marTop w:val="0"/>
      <w:marBottom w:val="0"/>
      <w:divBdr>
        <w:top w:val="none" w:sz="0" w:space="0" w:color="auto"/>
        <w:left w:val="none" w:sz="0" w:space="0" w:color="auto"/>
        <w:bottom w:val="none" w:sz="0" w:space="0" w:color="auto"/>
        <w:right w:val="none" w:sz="0" w:space="0" w:color="auto"/>
      </w:divBdr>
    </w:div>
    <w:div w:id="1130781595">
      <w:bodyDiv w:val="1"/>
      <w:marLeft w:val="0"/>
      <w:marRight w:val="0"/>
      <w:marTop w:val="0"/>
      <w:marBottom w:val="0"/>
      <w:divBdr>
        <w:top w:val="none" w:sz="0" w:space="0" w:color="auto"/>
        <w:left w:val="none" w:sz="0" w:space="0" w:color="auto"/>
        <w:bottom w:val="none" w:sz="0" w:space="0" w:color="auto"/>
        <w:right w:val="none" w:sz="0" w:space="0" w:color="auto"/>
      </w:divBdr>
    </w:div>
    <w:div w:id="1176310182">
      <w:bodyDiv w:val="1"/>
      <w:marLeft w:val="0"/>
      <w:marRight w:val="0"/>
      <w:marTop w:val="0"/>
      <w:marBottom w:val="0"/>
      <w:divBdr>
        <w:top w:val="none" w:sz="0" w:space="0" w:color="auto"/>
        <w:left w:val="none" w:sz="0" w:space="0" w:color="auto"/>
        <w:bottom w:val="none" w:sz="0" w:space="0" w:color="auto"/>
        <w:right w:val="none" w:sz="0" w:space="0" w:color="auto"/>
      </w:divBdr>
    </w:div>
    <w:div w:id="1185704288">
      <w:bodyDiv w:val="1"/>
      <w:marLeft w:val="0"/>
      <w:marRight w:val="0"/>
      <w:marTop w:val="0"/>
      <w:marBottom w:val="0"/>
      <w:divBdr>
        <w:top w:val="none" w:sz="0" w:space="0" w:color="auto"/>
        <w:left w:val="none" w:sz="0" w:space="0" w:color="auto"/>
        <w:bottom w:val="none" w:sz="0" w:space="0" w:color="auto"/>
        <w:right w:val="none" w:sz="0" w:space="0" w:color="auto"/>
      </w:divBdr>
    </w:div>
    <w:div w:id="1194542406">
      <w:bodyDiv w:val="1"/>
      <w:marLeft w:val="0"/>
      <w:marRight w:val="0"/>
      <w:marTop w:val="0"/>
      <w:marBottom w:val="0"/>
      <w:divBdr>
        <w:top w:val="none" w:sz="0" w:space="0" w:color="auto"/>
        <w:left w:val="none" w:sz="0" w:space="0" w:color="auto"/>
        <w:bottom w:val="none" w:sz="0" w:space="0" w:color="auto"/>
        <w:right w:val="none" w:sz="0" w:space="0" w:color="auto"/>
      </w:divBdr>
    </w:div>
    <w:div w:id="1196389582">
      <w:bodyDiv w:val="1"/>
      <w:marLeft w:val="0"/>
      <w:marRight w:val="0"/>
      <w:marTop w:val="0"/>
      <w:marBottom w:val="0"/>
      <w:divBdr>
        <w:top w:val="none" w:sz="0" w:space="0" w:color="auto"/>
        <w:left w:val="none" w:sz="0" w:space="0" w:color="auto"/>
        <w:bottom w:val="none" w:sz="0" w:space="0" w:color="auto"/>
        <w:right w:val="none" w:sz="0" w:space="0" w:color="auto"/>
      </w:divBdr>
    </w:div>
    <w:div w:id="1200897980">
      <w:bodyDiv w:val="1"/>
      <w:marLeft w:val="0"/>
      <w:marRight w:val="0"/>
      <w:marTop w:val="0"/>
      <w:marBottom w:val="0"/>
      <w:divBdr>
        <w:top w:val="none" w:sz="0" w:space="0" w:color="auto"/>
        <w:left w:val="none" w:sz="0" w:space="0" w:color="auto"/>
        <w:bottom w:val="none" w:sz="0" w:space="0" w:color="auto"/>
        <w:right w:val="none" w:sz="0" w:space="0" w:color="auto"/>
      </w:divBdr>
    </w:div>
    <w:div w:id="1219702435">
      <w:bodyDiv w:val="1"/>
      <w:marLeft w:val="0"/>
      <w:marRight w:val="0"/>
      <w:marTop w:val="0"/>
      <w:marBottom w:val="0"/>
      <w:divBdr>
        <w:top w:val="none" w:sz="0" w:space="0" w:color="auto"/>
        <w:left w:val="none" w:sz="0" w:space="0" w:color="auto"/>
        <w:bottom w:val="none" w:sz="0" w:space="0" w:color="auto"/>
        <w:right w:val="none" w:sz="0" w:space="0" w:color="auto"/>
      </w:divBdr>
    </w:div>
    <w:div w:id="1231890658">
      <w:bodyDiv w:val="1"/>
      <w:marLeft w:val="0"/>
      <w:marRight w:val="0"/>
      <w:marTop w:val="0"/>
      <w:marBottom w:val="0"/>
      <w:divBdr>
        <w:top w:val="none" w:sz="0" w:space="0" w:color="auto"/>
        <w:left w:val="none" w:sz="0" w:space="0" w:color="auto"/>
        <w:bottom w:val="none" w:sz="0" w:space="0" w:color="auto"/>
        <w:right w:val="none" w:sz="0" w:space="0" w:color="auto"/>
      </w:divBdr>
    </w:div>
    <w:div w:id="1237784376">
      <w:bodyDiv w:val="1"/>
      <w:marLeft w:val="0"/>
      <w:marRight w:val="0"/>
      <w:marTop w:val="0"/>
      <w:marBottom w:val="0"/>
      <w:divBdr>
        <w:top w:val="none" w:sz="0" w:space="0" w:color="auto"/>
        <w:left w:val="none" w:sz="0" w:space="0" w:color="auto"/>
        <w:bottom w:val="none" w:sz="0" w:space="0" w:color="auto"/>
        <w:right w:val="none" w:sz="0" w:space="0" w:color="auto"/>
      </w:divBdr>
    </w:div>
    <w:div w:id="1247035352">
      <w:bodyDiv w:val="1"/>
      <w:marLeft w:val="0"/>
      <w:marRight w:val="0"/>
      <w:marTop w:val="0"/>
      <w:marBottom w:val="0"/>
      <w:divBdr>
        <w:top w:val="none" w:sz="0" w:space="0" w:color="auto"/>
        <w:left w:val="none" w:sz="0" w:space="0" w:color="auto"/>
        <w:bottom w:val="none" w:sz="0" w:space="0" w:color="auto"/>
        <w:right w:val="none" w:sz="0" w:space="0" w:color="auto"/>
      </w:divBdr>
    </w:div>
    <w:div w:id="1247109394">
      <w:bodyDiv w:val="1"/>
      <w:marLeft w:val="0"/>
      <w:marRight w:val="0"/>
      <w:marTop w:val="0"/>
      <w:marBottom w:val="0"/>
      <w:divBdr>
        <w:top w:val="none" w:sz="0" w:space="0" w:color="auto"/>
        <w:left w:val="none" w:sz="0" w:space="0" w:color="auto"/>
        <w:bottom w:val="none" w:sz="0" w:space="0" w:color="auto"/>
        <w:right w:val="none" w:sz="0" w:space="0" w:color="auto"/>
      </w:divBdr>
    </w:div>
    <w:div w:id="1275868521">
      <w:bodyDiv w:val="1"/>
      <w:marLeft w:val="0"/>
      <w:marRight w:val="0"/>
      <w:marTop w:val="0"/>
      <w:marBottom w:val="0"/>
      <w:divBdr>
        <w:top w:val="none" w:sz="0" w:space="0" w:color="auto"/>
        <w:left w:val="none" w:sz="0" w:space="0" w:color="auto"/>
        <w:bottom w:val="none" w:sz="0" w:space="0" w:color="auto"/>
        <w:right w:val="none" w:sz="0" w:space="0" w:color="auto"/>
      </w:divBdr>
    </w:div>
    <w:div w:id="1281717251">
      <w:bodyDiv w:val="1"/>
      <w:marLeft w:val="0"/>
      <w:marRight w:val="0"/>
      <w:marTop w:val="0"/>
      <w:marBottom w:val="0"/>
      <w:divBdr>
        <w:top w:val="none" w:sz="0" w:space="0" w:color="auto"/>
        <w:left w:val="none" w:sz="0" w:space="0" w:color="auto"/>
        <w:bottom w:val="none" w:sz="0" w:space="0" w:color="auto"/>
        <w:right w:val="none" w:sz="0" w:space="0" w:color="auto"/>
      </w:divBdr>
    </w:div>
    <w:div w:id="1287156551">
      <w:bodyDiv w:val="1"/>
      <w:marLeft w:val="0"/>
      <w:marRight w:val="0"/>
      <w:marTop w:val="0"/>
      <w:marBottom w:val="0"/>
      <w:divBdr>
        <w:top w:val="none" w:sz="0" w:space="0" w:color="auto"/>
        <w:left w:val="none" w:sz="0" w:space="0" w:color="auto"/>
        <w:bottom w:val="none" w:sz="0" w:space="0" w:color="auto"/>
        <w:right w:val="none" w:sz="0" w:space="0" w:color="auto"/>
      </w:divBdr>
    </w:div>
    <w:div w:id="1309432051">
      <w:bodyDiv w:val="1"/>
      <w:marLeft w:val="0"/>
      <w:marRight w:val="0"/>
      <w:marTop w:val="0"/>
      <w:marBottom w:val="0"/>
      <w:divBdr>
        <w:top w:val="none" w:sz="0" w:space="0" w:color="auto"/>
        <w:left w:val="none" w:sz="0" w:space="0" w:color="auto"/>
        <w:bottom w:val="none" w:sz="0" w:space="0" w:color="auto"/>
        <w:right w:val="none" w:sz="0" w:space="0" w:color="auto"/>
      </w:divBdr>
    </w:div>
    <w:div w:id="1320160229">
      <w:bodyDiv w:val="1"/>
      <w:marLeft w:val="0"/>
      <w:marRight w:val="0"/>
      <w:marTop w:val="0"/>
      <w:marBottom w:val="0"/>
      <w:divBdr>
        <w:top w:val="none" w:sz="0" w:space="0" w:color="auto"/>
        <w:left w:val="none" w:sz="0" w:space="0" w:color="auto"/>
        <w:bottom w:val="none" w:sz="0" w:space="0" w:color="auto"/>
        <w:right w:val="none" w:sz="0" w:space="0" w:color="auto"/>
      </w:divBdr>
    </w:div>
    <w:div w:id="1348364265">
      <w:bodyDiv w:val="1"/>
      <w:marLeft w:val="0"/>
      <w:marRight w:val="0"/>
      <w:marTop w:val="0"/>
      <w:marBottom w:val="0"/>
      <w:divBdr>
        <w:top w:val="none" w:sz="0" w:space="0" w:color="auto"/>
        <w:left w:val="none" w:sz="0" w:space="0" w:color="auto"/>
        <w:bottom w:val="none" w:sz="0" w:space="0" w:color="auto"/>
        <w:right w:val="none" w:sz="0" w:space="0" w:color="auto"/>
      </w:divBdr>
    </w:div>
    <w:div w:id="1352880886">
      <w:bodyDiv w:val="1"/>
      <w:marLeft w:val="0"/>
      <w:marRight w:val="0"/>
      <w:marTop w:val="0"/>
      <w:marBottom w:val="0"/>
      <w:divBdr>
        <w:top w:val="none" w:sz="0" w:space="0" w:color="auto"/>
        <w:left w:val="none" w:sz="0" w:space="0" w:color="auto"/>
        <w:bottom w:val="none" w:sz="0" w:space="0" w:color="auto"/>
        <w:right w:val="none" w:sz="0" w:space="0" w:color="auto"/>
      </w:divBdr>
    </w:div>
    <w:div w:id="1389451383">
      <w:bodyDiv w:val="1"/>
      <w:marLeft w:val="0"/>
      <w:marRight w:val="0"/>
      <w:marTop w:val="0"/>
      <w:marBottom w:val="0"/>
      <w:divBdr>
        <w:top w:val="none" w:sz="0" w:space="0" w:color="auto"/>
        <w:left w:val="none" w:sz="0" w:space="0" w:color="auto"/>
        <w:bottom w:val="none" w:sz="0" w:space="0" w:color="auto"/>
        <w:right w:val="none" w:sz="0" w:space="0" w:color="auto"/>
      </w:divBdr>
    </w:div>
    <w:div w:id="1398356059">
      <w:bodyDiv w:val="1"/>
      <w:marLeft w:val="0"/>
      <w:marRight w:val="0"/>
      <w:marTop w:val="0"/>
      <w:marBottom w:val="0"/>
      <w:divBdr>
        <w:top w:val="none" w:sz="0" w:space="0" w:color="auto"/>
        <w:left w:val="none" w:sz="0" w:space="0" w:color="auto"/>
        <w:bottom w:val="none" w:sz="0" w:space="0" w:color="auto"/>
        <w:right w:val="none" w:sz="0" w:space="0" w:color="auto"/>
      </w:divBdr>
    </w:div>
    <w:div w:id="1443722849">
      <w:bodyDiv w:val="1"/>
      <w:marLeft w:val="0"/>
      <w:marRight w:val="0"/>
      <w:marTop w:val="0"/>
      <w:marBottom w:val="0"/>
      <w:divBdr>
        <w:top w:val="none" w:sz="0" w:space="0" w:color="auto"/>
        <w:left w:val="none" w:sz="0" w:space="0" w:color="auto"/>
        <w:bottom w:val="none" w:sz="0" w:space="0" w:color="auto"/>
        <w:right w:val="none" w:sz="0" w:space="0" w:color="auto"/>
      </w:divBdr>
    </w:div>
    <w:div w:id="1481002766">
      <w:bodyDiv w:val="1"/>
      <w:marLeft w:val="0"/>
      <w:marRight w:val="0"/>
      <w:marTop w:val="0"/>
      <w:marBottom w:val="0"/>
      <w:divBdr>
        <w:top w:val="none" w:sz="0" w:space="0" w:color="auto"/>
        <w:left w:val="none" w:sz="0" w:space="0" w:color="auto"/>
        <w:bottom w:val="none" w:sz="0" w:space="0" w:color="auto"/>
        <w:right w:val="none" w:sz="0" w:space="0" w:color="auto"/>
      </w:divBdr>
    </w:div>
    <w:div w:id="1481967716">
      <w:bodyDiv w:val="1"/>
      <w:marLeft w:val="0"/>
      <w:marRight w:val="0"/>
      <w:marTop w:val="0"/>
      <w:marBottom w:val="0"/>
      <w:divBdr>
        <w:top w:val="none" w:sz="0" w:space="0" w:color="auto"/>
        <w:left w:val="none" w:sz="0" w:space="0" w:color="auto"/>
        <w:bottom w:val="none" w:sz="0" w:space="0" w:color="auto"/>
        <w:right w:val="none" w:sz="0" w:space="0" w:color="auto"/>
      </w:divBdr>
    </w:div>
    <w:div w:id="1507473315">
      <w:bodyDiv w:val="1"/>
      <w:marLeft w:val="0"/>
      <w:marRight w:val="0"/>
      <w:marTop w:val="0"/>
      <w:marBottom w:val="0"/>
      <w:divBdr>
        <w:top w:val="none" w:sz="0" w:space="0" w:color="auto"/>
        <w:left w:val="none" w:sz="0" w:space="0" w:color="auto"/>
        <w:bottom w:val="none" w:sz="0" w:space="0" w:color="auto"/>
        <w:right w:val="none" w:sz="0" w:space="0" w:color="auto"/>
      </w:divBdr>
    </w:div>
    <w:div w:id="1527595293">
      <w:bodyDiv w:val="1"/>
      <w:marLeft w:val="0"/>
      <w:marRight w:val="0"/>
      <w:marTop w:val="0"/>
      <w:marBottom w:val="0"/>
      <w:divBdr>
        <w:top w:val="none" w:sz="0" w:space="0" w:color="auto"/>
        <w:left w:val="none" w:sz="0" w:space="0" w:color="auto"/>
        <w:bottom w:val="none" w:sz="0" w:space="0" w:color="auto"/>
        <w:right w:val="none" w:sz="0" w:space="0" w:color="auto"/>
      </w:divBdr>
    </w:div>
    <w:div w:id="1544321726">
      <w:bodyDiv w:val="1"/>
      <w:marLeft w:val="0"/>
      <w:marRight w:val="0"/>
      <w:marTop w:val="0"/>
      <w:marBottom w:val="0"/>
      <w:divBdr>
        <w:top w:val="none" w:sz="0" w:space="0" w:color="auto"/>
        <w:left w:val="none" w:sz="0" w:space="0" w:color="auto"/>
        <w:bottom w:val="none" w:sz="0" w:space="0" w:color="auto"/>
        <w:right w:val="none" w:sz="0" w:space="0" w:color="auto"/>
      </w:divBdr>
    </w:div>
    <w:div w:id="1550145228">
      <w:bodyDiv w:val="1"/>
      <w:marLeft w:val="0"/>
      <w:marRight w:val="0"/>
      <w:marTop w:val="0"/>
      <w:marBottom w:val="0"/>
      <w:divBdr>
        <w:top w:val="none" w:sz="0" w:space="0" w:color="auto"/>
        <w:left w:val="none" w:sz="0" w:space="0" w:color="auto"/>
        <w:bottom w:val="none" w:sz="0" w:space="0" w:color="auto"/>
        <w:right w:val="none" w:sz="0" w:space="0" w:color="auto"/>
      </w:divBdr>
    </w:div>
    <w:div w:id="1552233625">
      <w:bodyDiv w:val="1"/>
      <w:marLeft w:val="0"/>
      <w:marRight w:val="0"/>
      <w:marTop w:val="0"/>
      <w:marBottom w:val="0"/>
      <w:divBdr>
        <w:top w:val="none" w:sz="0" w:space="0" w:color="auto"/>
        <w:left w:val="none" w:sz="0" w:space="0" w:color="auto"/>
        <w:bottom w:val="none" w:sz="0" w:space="0" w:color="auto"/>
        <w:right w:val="none" w:sz="0" w:space="0" w:color="auto"/>
      </w:divBdr>
    </w:div>
    <w:div w:id="1560241135">
      <w:bodyDiv w:val="1"/>
      <w:marLeft w:val="0"/>
      <w:marRight w:val="0"/>
      <w:marTop w:val="0"/>
      <w:marBottom w:val="0"/>
      <w:divBdr>
        <w:top w:val="none" w:sz="0" w:space="0" w:color="auto"/>
        <w:left w:val="none" w:sz="0" w:space="0" w:color="auto"/>
        <w:bottom w:val="none" w:sz="0" w:space="0" w:color="auto"/>
        <w:right w:val="none" w:sz="0" w:space="0" w:color="auto"/>
      </w:divBdr>
    </w:div>
    <w:div w:id="1592856559">
      <w:bodyDiv w:val="1"/>
      <w:marLeft w:val="0"/>
      <w:marRight w:val="0"/>
      <w:marTop w:val="0"/>
      <w:marBottom w:val="0"/>
      <w:divBdr>
        <w:top w:val="none" w:sz="0" w:space="0" w:color="auto"/>
        <w:left w:val="none" w:sz="0" w:space="0" w:color="auto"/>
        <w:bottom w:val="none" w:sz="0" w:space="0" w:color="auto"/>
        <w:right w:val="none" w:sz="0" w:space="0" w:color="auto"/>
      </w:divBdr>
    </w:div>
    <w:div w:id="1604534511">
      <w:bodyDiv w:val="1"/>
      <w:marLeft w:val="0"/>
      <w:marRight w:val="0"/>
      <w:marTop w:val="0"/>
      <w:marBottom w:val="0"/>
      <w:divBdr>
        <w:top w:val="none" w:sz="0" w:space="0" w:color="auto"/>
        <w:left w:val="none" w:sz="0" w:space="0" w:color="auto"/>
        <w:bottom w:val="none" w:sz="0" w:space="0" w:color="auto"/>
        <w:right w:val="none" w:sz="0" w:space="0" w:color="auto"/>
      </w:divBdr>
    </w:div>
    <w:div w:id="1616130101">
      <w:bodyDiv w:val="1"/>
      <w:marLeft w:val="0"/>
      <w:marRight w:val="0"/>
      <w:marTop w:val="0"/>
      <w:marBottom w:val="0"/>
      <w:divBdr>
        <w:top w:val="none" w:sz="0" w:space="0" w:color="auto"/>
        <w:left w:val="none" w:sz="0" w:space="0" w:color="auto"/>
        <w:bottom w:val="none" w:sz="0" w:space="0" w:color="auto"/>
        <w:right w:val="none" w:sz="0" w:space="0" w:color="auto"/>
      </w:divBdr>
    </w:div>
    <w:div w:id="1628774439">
      <w:bodyDiv w:val="1"/>
      <w:marLeft w:val="0"/>
      <w:marRight w:val="0"/>
      <w:marTop w:val="0"/>
      <w:marBottom w:val="0"/>
      <w:divBdr>
        <w:top w:val="none" w:sz="0" w:space="0" w:color="auto"/>
        <w:left w:val="none" w:sz="0" w:space="0" w:color="auto"/>
        <w:bottom w:val="none" w:sz="0" w:space="0" w:color="auto"/>
        <w:right w:val="none" w:sz="0" w:space="0" w:color="auto"/>
      </w:divBdr>
    </w:div>
    <w:div w:id="1646083192">
      <w:bodyDiv w:val="1"/>
      <w:marLeft w:val="0"/>
      <w:marRight w:val="0"/>
      <w:marTop w:val="0"/>
      <w:marBottom w:val="0"/>
      <w:divBdr>
        <w:top w:val="none" w:sz="0" w:space="0" w:color="auto"/>
        <w:left w:val="none" w:sz="0" w:space="0" w:color="auto"/>
        <w:bottom w:val="none" w:sz="0" w:space="0" w:color="auto"/>
        <w:right w:val="none" w:sz="0" w:space="0" w:color="auto"/>
      </w:divBdr>
    </w:div>
    <w:div w:id="1657950557">
      <w:bodyDiv w:val="1"/>
      <w:marLeft w:val="0"/>
      <w:marRight w:val="0"/>
      <w:marTop w:val="0"/>
      <w:marBottom w:val="0"/>
      <w:divBdr>
        <w:top w:val="none" w:sz="0" w:space="0" w:color="auto"/>
        <w:left w:val="none" w:sz="0" w:space="0" w:color="auto"/>
        <w:bottom w:val="none" w:sz="0" w:space="0" w:color="auto"/>
        <w:right w:val="none" w:sz="0" w:space="0" w:color="auto"/>
      </w:divBdr>
    </w:div>
    <w:div w:id="1677461459">
      <w:bodyDiv w:val="1"/>
      <w:marLeft w:val="0"/>
      <w:marRight w:val="0"/>
      <w:marTop w:val="0"/>
      <w:marBottom w:val="0"/>
      <w:divBdr>
        <w:top w:val="none" w:sz="0" w:space="0" w:color="auto"/>
        <w:left w:val="none" w:sz="0" w:space="0" w:color="auto"/>
        <w:bottom w:val="none" w:sz="0" w:space="0" w:color="auto"/>
        <w:right w:val="none" w:sz="0" w:space="0" w:color="auto"/>
      </w:divBdr>
    </w:div>
    <w:div w:id="1687512597">
      <w:bodyDiv w:val="1"/>
      <w:marLeft w:val="0"/>
      <w:marRight w:val="0"/>
      <w:marTop w:val="0"/>
      <w:marBottom w:val="0"/>
      <w:divBdr>
        <w:top w:val="none" w:sz="0" w:space="0" w:color="auto"/>
        <w:left w:val="none" w:sz="0" w:space="0" w:color="auto"/>
        <w:bottom w:val="none" w:sz="0" w:space="0" w:color="auto"/>
        <w:right w:val="none" w:sz="0" w:space="0" w:color="auto"/>
      </w:divBdr>
    </w:div>
    <w:div w:id="1694770569">
      <w:bodyDiv w:val="1"/>
      <w:marLeft w:val="0"/>
      <w:marRight w:val="0"/>
      <w:marTop w:val="0"/>
      <w:marBottom w:val="0"/>
      <w:divBdr>
        <w:top w:val="none" w:sz="0" w:space="0" w:color="auto"/>
        <w:left w:val="none" w:sz="0" w:space="0" w:color="auto"/>
        <w:bottom w:val="none" w:sz="0" w:space="0" w:color="auto"/>
        <w:right w:val="none" w:sz="0" w:space="0" w:color="auto"/>
      </w:divBdr>
    </w:div>
    <w:div w:id="1708480721">
      <w:bodyDiv w:val="1"/>
      <w:marLeft w:val="0"/>
      <w:marRight w:val="0"/>
      <w:marTop w:val="0"/>
      <w:marBottom w:val="0"/>
      <w:divBdr>
        <w:top w:val="none" w:sz="0" w:space="0" w:color="auto"/>
        <w:left w:val="none" w:sz="0" w:space="0" w:color="auto"/>
        <w:bottom w:val="none" w:sz="0" w:space="0" w:color="auto"/>
        <w:right w:val="none" w:sz="0" w:space="0" w:color="auto"/>
      </w:divBdr>
    </w:div>
    <w:div w:id="1715501181">
      <w:bodyDiv w:val="1"/>
      <w:marLeft w:val="0"/>
      <w:marRight w:val="0"/>
      <w:marTop w:val="0"/>
      <w:marBottom w:val="0"/>
      <w:divBdr>
        <w:top w:val="none" w:sz="0" w:space="0" w:color="auto"/>
        <w:left w:val="none" w:sz="0" w:space="0" w:color="auto"/>
        <w:bottom w:val="none" w:sz="0" w:space="0" w:color="auto"/>
        <w:right w:val="none" w:sz="0" w:space="0" w:color="auto"/>
      </w:divBdr>
    </w:div>
    <w:div w:id="1734813026">
      <w:bodyDiv w:val="1"/>
      <w:marLeft w:val="0"/>
      <w:marRight w:val="0"/>
      <w:marTop w:val="0"/>
      <w:marBottom w:val="0"/>
      <w:divBdr>
        <w:top w:val="none" w:sz="0" w:space="0" w:color="auto"/>
        <w:left w:val="none" w:sz="0" w:space="0" w:color="auto"/>
        <w:bottom w:val="none" w:sz="0" w:space="0" w:color="auto"/>
        <w:right w:val="none" w:sz="0" w:space="0" w:color="auto"/>
      </w:divBdr>
    </w:div>
    <w:div w:id="1773474457">
      <w:bodyDiv w:val="1"/>
      <w:marLeft w:val="0"/>
      <w:marRight w:val="0"/>
      <w:marTop w:val="0"/>
      <w:marBottom w:val="0"/>
      <w:divBdr>
        <w:top w:val="none" w:sz="0" w:space="0" w:color="auto"/>
        <w:left w:val="none" w:sz="0" w:space="0" w:color="auto"/>
        <w:bottom w:val="none" w:sz="0" w:space="0" w:color="auto"/>
        <w:right w:val="none" w:sz="0" w:space="0" w:color="auto"/>
      </w:divBdr>
    </w:div>
    <w:div w:id="1793397408">
      <w:bodyDiv w:val="1"/>
      <w:marLeft w:val="0"/>
      <w:marRight w:val="0"/>
      <w:marTop w:val="0"/>
      <w:marBottom w:val="0"/>
      <w:divBdr>
        <w:top w:val="none" w:sz="0" w:space="0" w:color="auto"/>
        <w:left w:val="none" w:sz="0" w:space="0" w:color="auto"/>
        <w:bottom w:val="none" w:sz="0" w:space="0" w:color="auto"/>
        <w:right w:val="none" w:sz="0" w:space="0" w:color="auto"/>
      </w:divBdr>
    </w:div>
    <w:div w:id="1817070779">
      <w:bodyDiv w:val="1"/>
      <w:marLeft w:val="0"/>
      <w:marRight w:val="0"/>
      <w:marTop w:val="0"/>
      <w:marBottom w:val="0"/>
      <w:divBdr>
        <w:top w:val="none" w:sz="0" w:space="0" w:color="auto"/>
        <w:left w:val="none" w:sz="0" w:space="0" w:color="auto"/>
        <w:bottom w:val="none" w:sz="0" w:space="0" w:color="auto"/>
        <w:right w:val="none" w:sz="0" w:space="0" w:color="auto"/>
      </w:divBdr>
    </w:div>
    <w:div w:id="1821581123">
      <w:bodyDiv w:val="1"/>
      <w:marLeft w:val="0"/>
      <w:marRight w:val="0"/>
      <w:marTop w:val="0"/>
      <w:marBottom w:val="0"/>
      <w:divBdr>
        <w:top w:val="none" w:sz="0" w:space="0" w:color="auto"/>
        <w:left w:val="none" w:sz="0" w:space="0" w:color="auto"/>
        <w:bottom w:val="none" w:sz="0" w:space="0" w:color="auto"/>
        <w:right w:val="none" w:sz="0" w:space="0" w:color="auto"/>
      </w:divBdr>
    </w:div>
    <w:div w:id="1838381883">
      <w:bodyDiv w:val="1"/>
      <w:marLeft w:val="0"/>
      <w:marRight w:val="0"/>
      <w:marTop w:val="0"/>
      <w:marBottom w:val="0"/>
      <w:divBdr>
        <w:top w:val="none" w:sz="0" w:space="0" w:color="auto"/>
        <w:left w:val="none" w:sz="0" w:space="0" w:color="auto"/>
        <w:bottom w:val="none" w:sz="0" w:space="0" w:color="auto"/>
        <w:right w:val="none" w:sz="0" w:space="0" w:color="auto"/>
      </w:divBdr>
    </w:div>
    <w:div w:id="1861701597">
      <w:bodyDiv w:val="1"/>
      <w:marLeft w:val="0"/>
      <w:marRight w:val="0"/>
      <w:marTop w:val="0"/>
      <w:marBottom w:val="0"/>
      <w:divBdr>
        <w:top w:val="none" w:sz="0" w:space="0" w:color="auto"/>
        <w:left w:val="none" w:sz="0" w:space="0" w:color="auto"/>
        <w:bottom w:val="none" w:sz="0" w:space="0" w:color="auto"/>
        <w:right w:val="none" w:sz="0" w:space="0" w:color="auto"/>
      </w:divBdr>
    </w:div>
    <w:div w:id="1863519426">
      <w:bodyDiv w:val="1"/>
      <w:marLeft w:val="0"/>
      <w:marRight w:val="0"/>
      <w:marTop w:val="0"/>
      <w:marBottom w:val="0"/>
      <w:divBdr>
        <w:top w:val="none" w:sz="0" w:space="0" w:color="auto"/>
        <w:left w:val="none" w:sz="0" w:space="0" w:color="auto"/>
        <w:bottom w:val="none" w:sz="0" w:space="0" w:color="auto"/>
        <w:right w:val="none" w:sz="0" w:space="0" w:color="auto"/>
      </w:divBdr>
    </w:div>
    <w:div w:id="1868371716">
      <w:bodyDiv w:val="1"/>
      <w:marLeft w:val="0"/>
      <w:marRight w:val="0"/>
      <w:marTop w:val="0"/>
      <w:marBottom w:val="0"/>
      <w:divBdr>
        <w:top w:val="none" w:sz="0" w:space="0" w:color="auto"/>
        <w:left w:val="none" w:sz="0" w:space="0" w:color="auto"/>
        <w:bottom w:val="none" w:sz="0" w:space="0" w:color="auto"/>
        <w:right w:val="none" w:sz="0" w:space="0" w:color="auto"/>
      </w:divBdr>
    </w:div>
    <w:div w:id="1873837970">
      <w:bodyDiv w:val="1"/>
      <w:marLeft w:val="0"/>
      <w:marRight w:val="0"/>
      <w:marTop w:val="0"/>
      <w:marBottom w:val="0"/>
      <w:divBdr>
        <w:top w:val="none" w:sz="0" w:space="0" w:color="auto"/>
        <w:left w:val="none" w:sz="0" w:space="0" w:color="auto"/>
        <w:bottom w:val="none" w:sz="0" w:space="0" w:color="auto"/>
        <w:right w:val="none" w:sz="0" w:space="0" w:color="auto"/>
      </w:divBdr>
    </w:div>
    <w:div w:id="1877234459">
      <w:bodyDiv w:val="1"/>
      <w:marLeft w:val="0"/>
      <w:marRight w:val="0"/>
      <w:marTop w:val="0"/>
      <w:marBottom w:val="0"/>
      <w:divBdr>
        <w:top w:val="none" w:sz="0" w:space="0" w:color="auto"/>
        <w:left w:val="none" w:sz="0" w:space="0" w:color="auto"/>
        <w:bottom w:val="none" w:sz="0" w:space="0" w:color="auto"/>
        <w:right w:val="none" w:sz="0" w:space="0" w:color="auto"/>
      </w:divBdr>
    </w:div>
    <w:div w:id="1878737140">
      <w:bodyDiv w:val="1"/>
      <w:marLeft w:val="0"/>
      <w:marRight w:val="0"/>
      <w:marTop w:val="0"/>
      <w:marBottom w:val="0"/>
      <w:divBdr>
        <w:top w:val="none" w:sz="0" w:space="0" w:color="auto"/>
        <w:left w:val="none" w:sz="0" w:space="0" w:color="auto"/>
        <w:bottom w:val="none" w:sz="0" w:space="0" w:color="auto"/>
        <w:right w:val="none" w:sz="0" w:space="0" w:color="auto"/>
      </w:divBdr>
    </w:div>
    <w:div w:id="1903100177">
      <w:bodyDiv w:val="1"/>
      <w:marLeft w:val="0"/>
      <w:marRight w:val="0"/>
      <w:marTop w:val="0"/>
      <w:marBottom w:val="0"/>
      <w:divBdr>
        <w:top w:val="none" w:sz="0" w:space="0" w:color="auto"/>
        <w:left w:val="none" w:sz="0" w:space="0" w:color="auto"/>
        <w:bottom w:val="none" w:sz="0" w:space="0" w:color="auto"/>
        <w:right w:val="none" w:sz="0" w:space="0" w:color="auto"/>
      </w:divBdr>
    </w:div>
    <w:div w:id="1903952586">
      <w:bodyDiv w:val="1"/>
      <w:marLeft w:val="0"/>
      <w:marRight w:val="0"/>
      <w:marTop w:val="0"/>
      <w:marBottom w:val="0"/>
      <w:divBdr>
        <w:top w:val="none" w:sz="0" w:space="0" w:color="auto"/>
        <w:left w:val="none" w:sz="0" w:space="0" w:color="auto"/>
        <w:bottom w:val="none" w:sz="0" w:space="0" w:color="auto"/>
        <w:right w:val="none" w:sz="0" w:space="0" w:color="auto"/>
      </w:divBdr>
    </w:div>
    <w:div w:id="1908563124">
      <w:bodyDiv w:val="1"/>
      <w:marLeft w:val="0"/>
      <w:marRight w:val="0"/>
      <w:marTop w:val="0"/>
      <w:marBottom w:val="0"/>
      <w:divBdr>
        <w:top w:val="none" w:sz="0" w:space="0" w:color="auto"/>
        <w:left w:val="none" w:sz="0" w:space="0" w:color="auto"/>
        <w:bottom w:val="none" w:sz="0" w:space="0" w:color="auto"/>
        <w:right w:val="none" w:sz="0" w:space="0" w:color="auto"/>
      </w:divBdr>
    </w:div>
    <w:div w:id="1910069561">
      <w:bodyDiv w:val="1"/>
      <w:marLeft w:val="0"/>
      <w:marRight w:val="0"/>
      <w:marTop w:val="0"/>
      <w:marBottom w:val="0"/>
      <w:divBdr>
        <w:top w:val="none" w:sz="0" w:space="0" w:color="auto"/>
        <w:left w:val="none" w:sz="0" w:space="0" w:color="auto"/>
        <w:bottom w:val="none" w:sz="0" w:space="0" w:color="auto"/>
        <w:right w:val="none" w:sz="0" w:space="0" w:color="auto"/>
      </w:divBdr>
    </w:div>
    <w:div w:id="2007706197">
      <w:bodyDiv w:val="1"/>
      <w:marLeft w:val="0"/>
      <w:marRight w:val="0"/>
      <w:marTop w:val="0"/>
      <w:marBottom w:val="0"/>
      <w:divBdr>
        <w:top w:val="none" w:sz="0" w:space="0" w:color="auto"/>
        <w:left w:val="none" w:sz="0" w:space="0" w:color="auto"/>
        <w:bottom w:val="none" w:sz="0" w:space="0" w:color="auto"/>
        <w:right w:val="none" w:sz="0" w:space="0" w:color="auto"/>
      </w:divBdr>
    </w:div>
    <w:div w:id="2049067976">
      <w:bodyDiv w:val="1"/>
      <w:marLeft w:val="0"/>
      <w:marRight w:val="0"/>
      <w:marTop w:val="0"/>
      <w:marBottom w:val="0"/>
      <w:divBdr>
        <w:top w:val="none" w:sz="0" w:space="0" w:color="auto"/>
        <w:left w:val="none" w:sz="0" w:space="0" w:color="auto"/>
        <w:bottom w:val="none" w:sz="0" w:space="0" w:color="auto"/>
        <w:right w:val="none" w:sz="0" w:space="0" w:color="auto"/>
      </w:divBdr>
    </w:div>
    <w:div w:id="2070223643">
      <w:bodyDiv w:val="1"/>
      <w:marLeft w:val="0"/>
      <w:marRight w:val="0"/>
      <w:marTop w:val="0"/>
      <w:marBottom w:val="0"/>
      <w:divBdr>
        <w:top w:val="none" w:sz="0" w:space="0" w:color="auto"/>
        <w:left w:val="none" w:sz="0" w:space="0" w:color="auto"/>
        <w:bottom w:val="none" w:sz="0" w:space="0" w:color="auto"/>
        <w:right w:val="none" w:sz="0" w:space="0" w:color="auto"/>
      </w:divBdr>
    </w:div>
    <w:div w:id="2073189541">
      <w:bodyDiv w:val="1"/>
      <w:marLeft w:val="0"/>
      <w:marRight w:val="0"/>
      <w:marTop w:val="0"/>
      <w:marBottom w:val="0"/>
      <w:divBdr>
        <w:top w:val="none" w:sz="0" w:space="0" w:color="auto"/>
        <w:left w:val="none" w:sz="0" w:space="0" w:color="auto"/>
        <w:bottom w:val="none" w:sz="0" w:space="0" w:color="auto"/>
        <w:right w:val="none" w:sz="0" w:space="0" w:color="auto"/>
      </w:divBdr>
    </w:div>
    <w:div w:id="2079281977">
      <w:bodyDiv w:val="1"/>
      <w:marLeft w:val="0"/>
      <w:marRight w:val="0"/>
      <w:marTop w:val="0"/>
      <w:marBottom w:val="0"/>
      <w:divBdr>
        <w:top w:val="none" w:sz="0" w:space="0" w:color="auto"/>
        <w:left w:val="none" w:sz="0" w:space="0" w:color="auto"/>
        <w:bottom w:val="none" w:sz="0" w:space="0" w:color="auto"/>
        <w:right w:val="none" w:sz="0" w:space="0" w:color="auto"/>
      </w:divBdr>
    </w:div>
    <w:div w:id="2130083506">
      <w:bodyDiv w:val="1"/>
      <w:marLeft w:val="0"/>
      <w:marRight w:val="0"/>
      <w:marTop w:val="0"/>
      <w:marBottom w:val="0"/>
      <w:divBdr>
        <w:top w:val="none" w:sz="0" w:space="0" w:color="auto"/>
        <w:left w:val="none" w:sz="0" w:space="0" w:color="auto"/>
        <w:bottom w:val="none" w:sz="0" w:space="0" w:color="auto"/>
        <w:right w:val="none" w:sz="0" w:space="0" w:color="auto"/>
      </w:divBdr>
    </w:div>
    <w:div w:id="2134591069">
      <w:bodyDiv w:val="1"/>
      <w:marLeft w:val="0"/>
      <w:marRight w:val="0"/>
      <w:marTop w:val="0"/>
      <w:marBottom w:val="0"/>
      <w:divBdr>
        <w:top w:val="none" w:sz="0" w:space="0" w:color="auto"/>
        <w:left w:val="none" w:sz="0" w:space="0" w:color="auto"/>
        <w:bottom w:val="none" w:sz="0" w:space="0" w:color="auto"/>
        <w:right w:val="none" w:sz="0" w:space="0" w:color="auto"/>
      </w:divBdr>
    </w:div>
    <w:div w:id="2137680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58</Pages>
  <Words>25947</Words>
  <Characters>154908</Characters>
  <Application>Microsoft Office Word</Application>
  <DocSecurity>0</DocSecurity>
  <Lines>2458</Lines>
  <Paragraphs>732</Paragraphs>
  <ScaleCrop>false</ScaleCrop>
  <Company/>
  <LinksUpToDate>false</LinksUpToDate>
  <CharactersWithSpaces>180123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Learning and Information Processing Dynamics</dc:title>
  <dc:creator/>
  <cp:keywords/>
  <cp:lastModifiedBy>Nowlin, Matthew Christopher</cp:lastModifiedBy>
  <cp:revision>14</cp:revision>
  <dcterms:created xsi:type="dcterms:W3CDTF">2026-03-06T16:32:00Z</dcterms:created>
  <dcterms:modified xsi:type="dcterms:W3CDTF">2026-03-06T16:47:00Z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csl">
    <vt:lpwstr>/Users/matthewnowlin/Library/CloudStorage/Dropbox/Projects/Manuscript-Files/csl/apa-7th.csl</vt:lpwstr>
  </property>
  <property fmtid="{D5CDD505-2E9C-101B-9397-08002B2CF9AE}" pid="7" name="fig-cap-location">
    <vt:lpwstr>top</vt:lpwstr>
  </property>
  <property fmtid="{D5CDD505-2E9C-101B-9397-08002B2CF9AE}" pid="8" name="fontfamily">
    <vt:lpwstr>ebgaramond</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bibliography">
    <vt:lpwstr>False</vt:lpwstr>
  </property>
  <property fmtid="{D5CDD505-2E9C-101B-9397-08002B2CF9AE}" pid="14" name="template-partials">
    <vt:lpwstr/>
  </property>
  <property fmtid="{D5CDD505-2E9C-101B-9397-08002B2CF9AE}" pid="15" name="toc-title">
    <vt:lpwstr>Table of contents</vt:lpwstr>
  </property>
</Properties>
</file>