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 Values and Trust in Experts Before and After COVID-19</w:t>
      </w:r>
    </w:p>
    <w:p>
      <w:pPr>
        <w:pStyle w:val="Author"/>
      </w:pPr>
      <w:r>
        <w:t xml:space="preserve">Matthew C. Nowlin</w:t>
      </w:r>
      <w:r>
        <w:rPr>
          <w:rStyle w:val="FootnoteReference"/>
        </w:rPr>
        <w:footnoteReference w:id="9"/>
      </w:r>
    </w:p>
    <w:bookmarkStart w:id="10" w:name="introduction"/>
    <w:p>
      <w:pPr>
        <w:pStyle w:val="Heading1"/>
      </w:pPr>
      <w:r>
        <w:t xml:space="preserve">Introduction</w:t>
      </w:r>
    </w:p>
    <w:bookmarkEnd w:id="10"/>
    <w:bookmarkStart w:id="11" w:name="values-and-civic-orientations"/>
    <w:p>
      <w:pPr>
        <w:pStyle w:val="Heading1"/>
      </w:pPr>
      <w:r>
        <w:t xml:space="preserve">Values and Civic Orientations</w:t>
      </w:r>
    </w:p>
    <w:bookmarkEnd w:id="11"/>
    <w:bookmarkStart w:id="14" w:name="trust-in-science"/>
    <w:p>
      <w:pPr>
        <w:pStyle w:val="Heading1"/>
      </w:pPr>
      <w:r>
        <w:t xml:space="preserve">Trust in Science</w:t>
      </w:r>
    </w:p>
    <w:bookmarkStart w:id="12" w:name="impacts-of-covid-19"/>
    <w:p>
      <w:pPr>
        <w:pStyle w:val="Heading2"/>
      </w:pPr>
      <w:r>
        <w:t xml:space="preserve">Impacts of COVID-19</w:t>
      </w:r>
    </w:p>
    <w:bookmarkEnd w:id="12"/>
    <w:bookmarkStart w:id="13" w:name="hypotheses"/>
    <w:p>
      <w:pPr>
        <w:pStyle w:val="Heading2"/>
      </w:pPr>
      <w:r>
        <w:t xml:space="preserve">Hypotheses</w:t>
      </w:r>
    </w:p>
    <w:bookmarkEnd w:id="13"/>
    <w:bookmarkEnd w:id="14"/>
    <w:bookmarkStart w:id="15" w:name="data-and-measures"/>
    <w:p>
      <w:pPr>
        <w:pStyle w:val="Heading1"/>
      </w:pPr>
      <w:r>
        <w:t xml:space="preserve">Data and Measures</w:t>
      </w:r>
    </w:p>
    <w:bookmarkEnd w:id="15"/>
    <w:bookmarkStart w:id="36" w:name="results"/>
    <w:p>
      <w:pPr>
        <w:pStyle w:val="Heading1"/>
      </w:pPr>
      <w:r>
        <w:t xml:space="preserve">Results</w:t>
      </w:r>
    </w:p>
    <w:bookmarkStart w:id="21" w:name="expert-trust-before-and-after-covid-19"/>
    <w:p>
      <w:pPr>
        <w:pStyle w:val="Heading2"/>
      </w:pPr>
      <w:r>
        <w:t xml:space="preserve">Expert trust before and after COVID-19</w:t>
      </w:r>
    </w:p>
    <w:p>
      <w:pPr>
        <w:pStyle w:val="FirstParagraph"/>
      </w:pPr>
      <w:hyperlink w:anchor="fig-descriptive">
        <w:r>
          <w:rPr>
            <w:rStyle w:val="Hyperlink"/>
          </w:rPr>
          <w:t xml:space="preserve">Figure 1</w:t>
        </w:r>
      </w:hyperlink>
      <w:r>
        <w:t xml:space="preserve"> </w:t>
      </w:r>
      <w:r>
        <w:t xml:space="preserve">shows the percentage of panel respondents giving the pro-expert response to each item in 2017 and November 2020. Trust in experts increased on two of the three items. The share disagreeing that they would rather trust ordinary people than experts rose from 51 to 58 percent, and the share disagreeing that scientific facts do not help on important questions rose from 66 to 75 percent. Gains on both items were larger among Democrats than among Republicans.</w:t>
      </w:r>
    </w:p>
    <w:p>
      <w:pPr>
        <w:pStyle w:val="BodyText"/>
      </w:pPr>
      <w:r>
        <w:t xml:space="preserve">The item on experts helping ordinary people understand science and health followed a different pattern. Overall agreement was essentially unchanged (82 percent in 2017 and 82 percent in 2020). However, agreement among Democrats rose from 91 to 95 percent while agreement among Republicans fell from 74 to 70 percent, widening the partisan gap from 17 to 25 points.</w:t>
      </w:r>
    </w:p>
    <w:p>
      <w:pPr>
        <w:pStyle w:val="BodyText"/>
      </w:pPr>
      <w:r>
        <w:t xml:space="preserve">Before modeling change, I tested whether the three items measure expert trust the same way in both waves. As shown in</w:t>
      </w:r>
      <w:r>
        <w:t xml:space="preserve"> </w:t>
      </w:r>
      <w:hyperlink w:anchor="tbl-invariance">
        <w:r>
          <w:rPr>
            <w:rStyle w:val="Hyperlink"/>
          </w:rPr>
          <w:t xml:space="preserve">Table 1</w:t>
        </w:r>
      </w:hyperlink>
      <w:r>
        <w:t xml:space="preserve">, constraining thresholds, loadings and intercepts to be equal across waves produced only small changes in fit (CFI = .998, RMSEA = .034). The scaled chi-square difference tests were significant, which is likely given the size of the sample. I therefore treat the expert trust measure as invariant over time. In the unconditional latent change model, expert trust increased by 0.32 standard deviations (in 2017 units), and its standard deviation grew from 1.00 to 1.28. Expert trust was stable at the individual level (r = .85), but the increase in variance indicates that respondents moved apart over the period.</w:t>
      </w:r>
    </w:p>
    <w:tbl>
      <w:tblPr>
        <w:tblStyle w:val="Table"/>
        <w:tblW w:type="pct" w:w="5000"/>
        <w:tblLayout w:type="fixed"/>
        <w:tblLook w:firstRow="0" w:lastRow="0" w:firstColumn="0" w:lastColumn="0" w:noHBand="0" w:noVBand="0" w:val="0000"/>
      </w:tblPr>
      <w:tblGrid>
        <w:gridCol w:w="7920"/>
      </w:tblGrid>
      <w:tr>
        <w:tc>
          <w:tcPr/>
          <w:bookmarkStart w:id="19" w:name="fig-descriptive"/>
          <w:p>
            <w:pPr>
              <w:jc w:val="center"/>
            </w:pPr>
            <w:pPr>
              <w:jc w:val="left"/>
              <w:spacing w:before="200"/>
              <w:pStyle w:val="ImageCaption"/>
            </w:pPr>
            <w:r>
              <w:t xml:space="preserve">Figure 1: Percent giving the pro-expert response, 2017 and November 2020, by party. Arrows run from 2017 to 2020. Panel respondents present in both waves, weighted (</w:t>
            </w:r>
            <w:r>
              <w:rPr>
                <w:rStyle w:val="VerbatimChar"/>
              </w:rPr>
              <w:t xml:space="preserve">weight_allpanel_2020Nov</w:t>
            </w:r>
            <w:r>
              <w:t xml:space="preserve">). Democrats and Republicans include leaners.</w:t>
            </w:r>
          </w:p>
          <w:p>
            <w:pPr>
              <w:pStyle w:val="Compact"/>
              <w:jc w:val="center"/>
            </w:pPr>
            <w:r>
              <w:drawing>
                <wp:inline>
                  <wp:extent cx="5334000" cy="3810000"/>
                  <wp:effectExtent b="0" l="0" r="0" t="0"/>
                  <wp:docPr descr="" title="" id="17" name="Picture"/>
                  <a:graphic>
                    <a:graphicData uri="http://schemas.openxmlformats.org/drawingml/2006/picture">
                      <pic:pic>
                        <pic:nvPicPr>
                          <pic:cNvPr descr="values-expert-trust-covid_files/figure-docx/fig-descriptive-1.png" id="18" name="Picture"/>
                          <pic:cNvPicPr>
                            <a:picLocks noChangeArrowheads="1" noChangeAspect="1"/>
                          </pic:cNvPicPr>
                        </pic:nvPicPr>
                        <pic:blipFill>
                          <a:blip r:embed="rId16"/>
                          <a:stretch>
                            <a:fillRect/>
                          </a:stretch>
                        </pic:blipFill>
                        <pic:spPr bwMode="auto">
                          <a:xfrm>
                            <a:off x="0" y="0"/>
                            <a:ext cx="5334000" cy="3810000"/>
                          </a:xfrm>
                          <a:prstGeom prst="rect">
                            <a:avLst/>
                          </a:prstGeom>
                          <a:noFill/>
                          <a:ln w="9525">
                            <a:noFill/>
                            <a:headEnd/>
                            <a:tailEnd/>
                          </a:ln>
                        </pic:spPr>
                      </pic:pic>
                    </a:graphicData>
                  </a:graphic>
                </wp:inline>
              </w:drawing>
            </w:r>
          </w:p>
          <w:bookmarkEnd w:id="19"/>
        </w:tc>
      </w:tr>
    </w:tbl>
    <w:tbl>
      <w:tblPr>
        <w:tblStyle w:val="Table"/>
        <w:tblW w:type="pct" w:w="5000"/>
        <w:tblLayout w:type="fixed"/>
        <w:tblLook w:firstRow="0" w:lastRow="0" w:firstColumn="0" w:lastColumn="0" w:noHBand="0" w:noVBand="0" w:val="0000"/>
      </w:tblPr>
      <w:tblGrid>
        <w:gridCol w:w="7920"/>
      </w:tblGrid>
      <w:tr>
        <w:tc>
          <w:tcPr/>
          <w:bookmarkStart w:id="20" w:name="tbl-invariance"/>
          <w:p>
            <w:pPr>
              <w:jc w:val="center"/>
            </w:pPr>
            <w:pPr>
              <w:jc w:val="left"/>
              <w:spacing w:before="200"/>
              <w:pStyle w:val="ImageCaption"/>
            </w:pPr>
            <w:r>
              <w:t xml:space="preserve">Table 1: Longitudinal measurement invariance of expert trust, 2017 and November 2020. WLSMV, theta parameterization, Wu and Estabrook (2016) identification. Δχ² tests compare each model with the one above it (scaled difference test).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jc w:val="center"/>
                  </w:pPr>
                  <w:r>
                    <w:t xml:space="preserve">Model</w:t>
                  </w:r>
                </w:p>
              </w:tc>
              <w:tc>
                <w:tcPr/>
                <w:p>
                  <w:pPr>
                    <w:pStyle w:val="Compact"/>
                    <w:jc w:val="right"/>
                    <w:jc w:val="center"/>
                  </w:pPr>
                  <w:r>
                    <w:t xml:space="preserve">χ²</w:t>
                  </w:r>
                </w:p>
              </w:tc>
              <w:tc>
                <w:tcPr/>
                <w:p>
                  <w:pPr>
                    <w:pStyle w:val="Compact"/>
                    <w:jc w:val="right"/>
                    <w:jc w:val="center"/>
                  </w:pPr>
                  <w:r>
                    <w:t xml:space="preserve">df</w:t>
                  </w:r>
                </w:p>
              </w:tc>
              <w:tc>
                <w:tcPr/>
                <w:p>
                  <w:pPr>
                    <w:pStyle w:val="Compact"/>
                    <w:jc w:val="right"/>
                    <w:jc w:val="center"/>
                  </w:pPr>
                  <w:r>
                    <w:t xml:space="preserve">CFI</w:t>
                  </w:r>
                </w:p>
              </w:tc>
              <w:tc>
                <w:tcPr/>
                <w:p>
                  <w:pPr>
                    <w:pStyle w:val="Compact"/>
                    <w:jc w:val="right"/>
                    <w:jc w:val="center"/>
                  </w:pPr>
                  <w:r>
                    <w:t xml:space="preserve">RMSEA</w:t>
                  </w:r>
                </w:p>
              </w:tc>
              <w:tc>
                <w:tcPr/>
                <w:p>
                  <w:pPr>
                    <w:pStyle w:val="Compact"/>
                    <w:jc w:val="right"/>
                    <w:jc w:val="center"/>
                  </w:pPr>
                  <w:r>
                    <w:t xml:space="preserve">SRMR</w:t>
                  </w:r>
                </w:p>
              </w:tc>
              <w:tc>
                <w:tcPr/>
                <w:p>
                  <w:pPr>
                    <w:pStyle w:val="Compact"/>
                    <w:jc w:val="right"/>
                    <w:jc w:val="center"/>
                  </w:pPr>
                  <w:r>
                    <w:t xml:space="preserve">Δχ²</w:t>
                  </w:r>
                </w:p>
              </w:tc>
              <w:tc>
                <w:tcPr/>
                <w:p>
                  <w:pPr>
                    <w:pStyle w:val="Compact"/>
                    <w:jc w:val="right"/>
                    <w:jc w:val="center"/>
                  </w:pPr>
                  <w:r>
                    <w:t xml:space="preserve">Δdf</w:t>
                  </w:r>
                </w:p>
              </w:tc>
              <w:tc>
                <w:tcPr/>
                <w:p>
                  <w:pPr>
                    <w:pStyle w:val="Compact"/>
                    <w:jc w:val="right"/>
                    <w:jc w:val="center"/>
                  </w:pPr>
                  <w:r>
                    <w:t xml:space="preserve">p</w:t>
                  </w:r>
                </w:p>
              </w:tc>
            </w:tr>
            <w:tr>
              <w:tc>
                <w:tcPr/>
                <w:p>
                  <w:pPr>
                    <w:pStyle w:val="Compact"/>
                    <w:jc w:val="left"/>
                    <w:jc w:val="center"/>
                  </w:pPr>
                  <w:r>
                    <w:t xml:space="preserve">Configural</w:t>
                  </w:r>
                </w:p>
              </w:tc>
              <w:tc>
                <w:tcPr/>
                <w:p>
                  <w:pPr>
                    <w:pStyle w:val="Compact"/>
                    <w:jc w:val="right"/>
                    <w:jc w:val="center"/>
                  </w:pPr>
                  <w:r>
                    <w:t xml:space="preserve">9.23</w:t>
                  </w:r>
                </w:p>
              </w:tc>
              <w:tc>
                <w:tcPr/>
                <w:p>
                  <w:pPr>
                    <w:pStyle w:val="Compact"/>
                    <w:jc w:val="right"/>
                    <w:jc w:val="center"/>
                  </w:pPr>
                  <w:r>
                    <w:t xml:space="preserve">5</w:t>
                  </w:r>
                </w:p>
              </w:tc>
              <w:tc>
                <w:tcPr/>
                <w:p>
                  <w:pPr>
                    <w:pStyle w:val="Compact"/>
                    <w:jc w:val="right"/>
                    <w:jc w:val="center"/>
                  </w:pPr>
                  <w:r>
                    <w:t xml:space="preserve">1.000</w:t>
                  </w:r>
                </w:p>
              </w:tc>
              <w:tc>
                <w:tcPr/>
                <w:p>
                  <w:pPr>
                    <w:pStyle w:val="Compact"/>
                    <w:jc w:val="right"/>
                    <w:jc w:val="center"/>
                  </w:pPr>
                  <w:r>
                    <w:t xml:space="preserve">0.018</w:t>
                  </w:r>
                </w:p>
              </w:tc>
              <w:tc>
                <w:tcPr/>
                <w:p>
                  <w:pPr>
                    <w:pStyle w:val="Compact"/>
                    <w:jc w:val="right"/>
                    <w:jc w:val="center"/>
                  </w:pPr>
                  <w:r>
                    <w:t xml:space="preserve">0.006</w:t>
                  </w:r>
                </w:p>
              </w:tc>
              <w:tc>
                <w:tcPr/>
                <w:p>
                  <w:pPr>
                    <w:pStyle w:val="Compact"/>
                  </w:pPr>
                </w:p>
              </w:tc>
              <w:tc>
                <w:tcPr/>
                <w:p>
                  <w:pPr>
                    <w:pStyle w:val="Compact"/>
                  </w:pPr>
                </w:p>
              </w:tc>
              <w:tc>
                <w:tcPr/>
                <w:p>
                  <w:pPr>
                    <w:pStyle w:val="Compact"/>
                  </w:pPr>
                </w:p>
              </w:tc>
            </w:tr>
            <w:tr>
              <w:tc>
                <w:tcPr/>
                <w:p>
                  <w:pPr>
                    <w:pStyle w:val="Compact"/>
                    <w:jc w:val="left"/>
                    <w:jc w:val="center"/>
                  </w:pPr>
                  <w:r>
                    <w:t xml:space="preserve">Thresholds</w:t>
                  </w:r>
                </w:p>
              </w:tc>
              <w:tc>
                <w:tcPr/>
                <w:p>
                  <w:pPr>
                    <w:pStyle w:val="Compact"/>
                    <w:jc w:val="right"/>
                    <w:jc w:val="center"/>
                  </w:pPr>
                  <w:r>
                    <w:t xml:space="preserve">10.69</w:t>
                  </w:r>
                </w:p>
              </w:tc>
              <w:tc>
                <w:tcPr/>
                <w:p>
                  <w:pPr>
                    <w:pStyle w:val="Compact"/>
                    <w:jc w:val="right"/>
                    <w:jc w:val="center"/>
                  </w:pPr>
                  <w:r>
                    <w:t xml:space="preserve">8</w:t>
                  </w:r>
                </w:p>
              </w:tc>
              <w:tc>
                <w:tcPr/>
                <w:p>
                  <w:pPr>
                    <w:pStyle w:val="Compact"/>
                    <w:jc w:val="right"/>
                    <w:jc w:val="center"/>
                  </w:pPr>
                  <w:r>
                    <w:t xml:space="preserve">1.000</w:t>
                  </w:r>
                </w:p>
              </w:tc>
              <w:tc>
                <w:tcPr/>
                <w:p>
                  <w:pPr>
                    <w:pStyle w:val="Compact"/>
                    <w:jc w:val="right"/>
                    <w:jc w:val="center"/>
                  </w:pPr>
                  <w:r>
                    <w:t xml:space="preserve">0.011</w:t>
                  </w:r>
                </w:p>
              </w:tc>
              <w:tc>
                <w:tcPr/>
                <w:p>
                  <w:pPr>
                    <w:pStyle w:val="Compact"/>
                    <w:jc w:val="right"/>
                    <w:jc w:val="center"/>
                  </w:pPr>
                  <w:r>
                    <w:t xml:space="preserve">0.006</w:t>
                  </w:r>
                </w:p>
              </w:tc>
              <w:tc>
                <w:tcPr/>
                <w:p>
                  <w:pPr>
                    <w:pStyle w:val="Compact"/>
                  </w:pPr>
                </w:p>
              </w:tc>
              <w:tc>
                <w:tcPr/>
                <w:p>
                  <w:pPr>
                    <w:pStyle w:val="Compact"/>
                  </w:pPr>
                </w:p>
              </w:tc>
              <w:tc>
                <w:tcPr/>
                <w:p>
                  <w:pPr>
                    <w:pStyle w:val="Compact"/>
                  </w:pPr>
                </w:p>
              </w:tc>
            </w:tr>
            <w:tr>
              <w:tc>
                <w:tcPr/>
                <w:p>
                  <w:pPr>
                    <w:pStyle w:val="Compact"/>
                    <w:jc w:val="left"/>
                    <w:jc w:val="center"/>
                  </w:pPr>
                  <w:r>
                    <w:t xml:space="preserve">+ Loadings</w:t>
                  </w:r>
                </w:p>
              </w:tc>
              <w:tc>
                <w:tcPr/>
                <w:p>
                  <w:pPr>
                    <w:pStyle w:val="Compact"/>
                    <w:jc w:val="right"/>
                    <w:jc w:val="center"/>
                  </w:pPr>
                  <w:r>
                    <w:t xml:space="preserve">33.81</w:t>
                  </w:r>
                </w:p>
              </w:tc>
              <w:tc>
                <w:tcPr/>
                <w:p>
                  <w:pPr>
                    <w:pStyle w:val="Compact"/>
                    <w:jc w:val="right"/>
                    <w:jc w:val="center"/>
                  </w:pPr>
                  <w:r>
                    <w:t xml:space="preserve">10</w:t>
                  </w:r>
                </w:p>
              </w:tc>
              <w:tc>
                <w:tcPr/>
                <w:p>
                  <w:pPr>
                    <w:pStyle w:val="Compact"/>
                    <w:jc w:val="right"/>
                    <w:jc w:val="center"/>
                  </w:pPr>
                  <w:r>
                    <w:t xml:space="preserve">0.999</w:t>
                  </w:r>
                </w:p>
              </w:tc>
              <w:tc>
                <w:tcPr/>
                <w:p>
                  <w:pPr>
                    <w:pStyle w:val="Compact"/>
                    <w:jc w:val="right"/>
                    <w:jc w:val="center"/>
                  </w:pPr>
                  <w:r>
                    <w:t xml:space="preserve">0.031</w:t>
                  </w:r>
                </w:p>
              </w:tc>
              <w:tc>
                <w:tcPr/>
                <w:p>
                  <w:pPr>
                    <w:pStyle w:val="Compact"/>
                    <w:jc w:val="right"/>
                    <w:jc w:val="center"/>
                  </w:pPr>
                  <w:r>
                    <w:t xml:space="preserve">0.008</w:t>
                  </w:r>
                </w:p>
              </w:tc>
              <w:tc>
                <w:tcPr/>
                <w:p>
                  <w:pPr>
                    <w:pStyle w:val="Compact"/>
                    <w:jc w:val="right"/>
                    <w:jc w:val="center"/>
                  </w:pPr>
                  <w:r>
                    <w:t xml:space="preserve">15.87</w:t>
                  </w:r>
                </w:p>
              </w:tc>
              <w:tc>
                <w:tcPr/>
                <w:p>
                  <w:pPr>
                    <w:pStyle w:val="Compact"/>
                    <w:jc w:val="right"/>
                    <w:jc w:val="center"/>
                  </w:pPr>
                  <w:r>
                    <w:t xml:space="preserve">2</w:t>
                  </w:r>
                </w:p>
              </w:tc>
              <w:tc>
                <w:tcPr/>
                <w:p>
                  <w:pPr>
                    <w:pStyle w:val="Compact"/>
                    <w:jc w:val="right"/>
                    <w:jc w:val="center"/>
                  </w:pPr>
                  <w:r>
                    <w:t xml:space="preserve">&lt; .001</w:t>
                  </w:r>
                </w:p>
              </w:tc>
            </w:tr>
            <w:tr>
              <w:tc>
                <w:tcPr/>
                <w:p>
                  <w:pPr>
                    <w:pStyle w:val="Compact"/>
                    <w:jc w:val="left"/>
                    <w:jc w:val="center"/>
                  </w:pPr>
                  <w:r>
                    <w:t xml:space="preserve">+ Intercepts</w:t>
                  </w:r>
                </w:p>
              </w:tc>
              <w:tc>
                <w:tcPr/>
                <w:p>
                  <w:pPr>
                    <w:pStyle w:val="Compact"/>
                    <w:jc w:val="right"/>
                    <w:jc w:val="center"/>
                  </w:pPr>
                  <w:r>
                    <w:t xml:space="preserve">47.52</w:t>
                  </w:r>
                </w:p>
              </w:tc>
              <w:tc>
                <w:tcPr/>
                <w:p>
                  <w:pPr>
                    <w:pStyle w:val="Compact"/>
                    <w:jc w:val="right"/>
                    <w:jc w:val="center"/>
                  </w:pPr>
                  <w:r>
                    <w:t xml:space="preserve">12</w:t>
                  </w:r>
                </w:p>
              </w:tc>
              <w:tc>
                <w:tcPr/>
                <w:p>
                  <w:pPr>
                    <w:pStyle w:val="Compact"/>
                    <w:jc w:val="right"/>
                    <w:jc w:val="center"/>
                  </w:pPr>
                  <w:r>
                    <w:t xml:space="preserve">0.998</w:t>
                  </w:r>
                </w:p>
              </w:tc>
              <w:tc>
                <w:tcPr/>
                <w:p>
                  <w:pPr>
                    <w:pStyle w:val="Compact"/>
                    <w:jc w:val="right"/>
                    <w:jc w:val="center"/>
                  </w:pPr>
                  <w:r>
                    <w:t xml:space="preserve">0.034</w:t>
                  </w:r>
                </w:p>
              </w:tc>
              <w:tc>
                <w:tcPr/>
                <w:p>
                  <w:pPr>
                    <w:pStyle w:val="Compact"/>
                    <w:jc w:val="right"/>
                    <w:jc w:val="center"/>
                  </w:pPr>
                  <w:r>
                    <w:t xml:space="preserve">0.009</w:t>
                  </w:r>
                </w:p>
              </w:tc>
              <w:tc>
                <w:tcPr/>
                <w:p>
                  <w:pPr>
                    <w:pStyle w:val="Compact"/>
                    <w:jc w:val="right"/>
                    <w:jc w:val="center"/>
                  </w:pPr>
                  <w:r>
                    <w:t xml:space="preserve">13.43</w:t>
                  </w:r>
                </w:p>
              </w:tc>
              <w:tc>
                <w:tcPr/>
                <w:p>
                  <w:pPr>
                    <w:pStyle w:val="Compact"/>
                    <w:jc w:val="right"/>
                    <w:jc w:val="center"/>
                  </w:pPr>
                  <w:r>
                    <w:t xml:space="preserve">2</w:t>
                  </w:r>
                </w:p>
              </w:tc>
              <w:tc>
                <w:tcPr/>
                <w:p>
                  <w:pPr>
                    <w:pStyle w:val="Compact"/>
                    <w:jc w:val="right"/>
                    <w:jc w:val="center"/>
                  </w:pPr>
                  <w:r>
                    <w:t xml:space="preserve">.001</w:t>
                  </w:r>
                </w:p>
              </w:tc>
            </w:tr>
          </w:tbl>
          <w:bookmarkEnd w:id="20"/>
          <w:p/>
        </w:tc>
      </w:tr>
    </w:tbl>
    <w:bookmarkEnd w:id="21"/>
    <w:bookmarkStart w:id="27" w:name="X7e1148b8b612caac9a94efe9c11f869ecc19d44"/>
    <w:p>
      <w:pPr>
        <w:pStyle w:val="Heading2"/>
      </w:pPr>
      <w:r>
        <w:t xml:space="preserve">Values, civic orientations, and change in expert trust</w:t>
      </w:r>
    </w:p>
    <w:p>
      <w:pPr>
        <w:pStyle w:val="FirstParagraph"/>
      </w:pPr>
      <w:hyperlink w:anchor="tbl-main">
        <w:r>
          <w:rPr>
            <w:rStyle w:val="Hyperlink"/>
          </w:rPr>
          <w:t xml:space="preserve">Table 2</w:t>
        </w:r>
      </w:hyperlink>
      <w:r>
        <w:t xml:space="preserve"> </w:t>
      </w:r>
      <w:r>
        <w:t xml:space="preserve">reports the baseline and change models. As expected, egalitarianism was strongly associated with expert trust in 2017 (β = 0.68). Religiosity (β = -0.18) and political inefficacy (β = -0.21) were associated with lower expert trust, social distrust had a small negative association (β = -0.05), and authoritarianism was unrelated to expert trust. These associations changed little when party ID and ideology were added. Neither party ID nor ideology was associated with baseline expert trust net of the values and civic orientations.</w:t>
      </w:r>
    </w:p>
    <w:p>
      <w:pPr>
        <w:pStyle w:val="BodyText"/>
      </w:pPr>
      <w:r>
        <w:t xml:space="preserve">Egalitarianism was also the primary predictor of change. In the conditional change models, egalitarianism was associated with higher expert trust in 2020 after accounting for expert trust in 2017 (β = 0.35 in Block 1 and 0.22 in Block 2). The latent change models show the same pattern. As shown in</w:t>
      </w:r>
      <w:r>
        <w:t xml:space="preserve"> </w:t>
      </w:r>
      <w:hyperlink w:anchor="fig-change">
        <w:r>
          <w:rPr>
            <w:rStyle w:val="Hyperlink"/>
          </w:rPr>
          <w:t xml:space="preserve">Figure 2</w:t>
        </w:r>
      </w:hyperlink>
      <w:r>
        <w:t xml:space="preserve">, a one standard deviation difference in egalitarianism was associated with 0.33 standard deviations more growth in expert trust in Block 1 and 0.17 in Block 2. Because the average increase was 0.32 standard deviations, respondents one standard deviation toward the individualist end of the scale gained approximately no expert trust over the period.</w:t>
      </w:r>
    </w:p>
    <w:p>
      <w:pPr>
        <w:pStyle w:val="BodyText"/>
      </w:pPr>
      <w:r>
        <w:t xml:space="preserve">Religiosity had a small positive association with latent change (0.07 in Block 1 and 0.09 in Block 2) but was not significant in the conditional change models. This is likely because religious respondents had lower expert trust in 2017, and the latent change model does not adjust for starting levels. Authoritarianism, social distrust and political inefficacy were not associated with change in either model.</w:t>
      </w:r>
    </w:p>
    <w:p>
      <w:pPr>
        <w:pStyle w:val="BodyText"/>
      </w:pPr>
      <w:r>
        <w:t xml:space="preserve">Party ID was associated with less growth in expert trust (-0.09 standard deviations per standard deviation of party ID), and ideology had a negative association that was significant in the conditional change model (β = -0.05) but not in the latent change model (p = .058). Adding party ID and ideology reduced the egalitarianism coefficient by about half, but it remained significant (p = .001).</w:t>
      </w:r>
    </w:p>
    <w:tbl>
      <w:tblPr>
        <w:tblStyle w:val="Table"/>
        <w:tblW w:type="pct" w:w="5000"/>
        <w:tblLayout w:type="fixed"/>
        <w:tblLook w:firstRow="0" w:lastRow="0" w:firstColumn="0" w:lastColumn="0" w:noHBand="0" w:noVBand="0" w:val="0000"/>
      </w:tblPr>
      <w:tblGrid>
        <w:gridCol w:w="7920"/>
      </w:tblGrid>
      <w:tr>
        <w:tc>
          <w:tcPr/>
          <w:bookmarkStart w:id="22" w:name="tbl-main"/>
          <w:p>
            <w:pPr>
              <w:jc w:val="center"/>
            </w:pPr>
            <w:pPr>
              <w:jc w:val="left"/>
              <w:spacing w:before="200"/>
              <w:pStyle w:val="ImageCaption"/>
            </w:pPr>
            <w:r>
              <w:t xml:space="preserve">Table 2: Core values, civic orientations, and expert trust at baseline (2017) and change to November 2020. Standardized coefficients from structural equation models with latent values, civic orientations and expert trust. Baseline and latent change are from the latent change score model; conditional change regresses 2020 expert trust on 2017 expert trust. Block 1 controls for age, gender, race/ethnicity, education, income (with a missing-income indicator) and news interest; Block 2 adds party ID and ideology. * p &lt; .05, ** p &lt; .01, *** p &lt; .001.</w:t>
            </w:r>
          </w:p>
          <w:tbl>
            <w:tblPr>
              <w:tblStyle w:val="Table"/>
              <w:tblW w:type="pct" w:w="5000"/>
              <w:tblLayout w:type="fixed"/>
              <w:tblLook w:firstRow="1" w:lastRow="0" w:firstColumn="0" w:lastColumn="0" w:noHBand="0" w:noVBand="0" w:val="0020"/>
            </w:tblPr>
            <w:tblGrid>
              <w:gridCol w:w="2023"/>
              <w:gridCol w:w="693"/>
              <w:gridCol w:w="693"/>
              <w:gridCol w:w="1271"/>
              <w:gridCol w:w="1271"/>
              <w:gridCol w:w="982"/>
              <w:gridCol w:w="982"/>
            </w:tblGrid>
            <w:tr>
              <w:trPr>
                <w:tblHeader w:val="on"/>
              </w:trPr>
              <w:tc>
                <w:tcPr/>
                <w:p>
                  <w:pPr>
                    <w:pStyle w:val="Compact"/>
                    <w:jc w:val="left"/>
                    <w:jc w:val="center"/>
                  </w:pPr>
                  <w:r>
                    <w:t xml:space="preserve">Predictor</w:t>
                  </w:r>
                </w:p>
              </w:tc>
              <w:tc>
                <w:tcPr/>
                <w:p>
                  <w:pPr>
                    <w:pStyle w:val="Compact"/>
                    <w:jc w:val="right"/>
                    <w:jc w:val="center"/>
                  </w:pPr>
                  <w:r>
                    <w:t xml:space="preserve">Baseline B1</w:t>
                  </w:r>
                </w:p>
              </w:tc>
              <w:tc>
                <w:tcPr/>
                <w:p>
                  <w:pPr>
                    <w:pStyle w:val="Compact"/>
                    <w:jc w:val="right"/>
                    <w:jc w:val="center"/>
                  </w:pPr>
                  <w:r>
                    <w:t xml:space="preserve">Baseline B2</w:t>
                  </w:r>
                </w:p>
              </w:tc>
              <w:tc>
                <w:tcPr/>
                <w:p>
                  <w:pPr>
                    <w:pStyle w:val="Compact"/>
                    <w:jc w:val="right"/>
                    <w:jc w:val="center"/>
                  </w:pPr>
                  <w:r>
                    <w:t xml:space="preserve">Conditional change B1</w:t>
                  </w:r>
                </w:p>
              </w:tc>
              <w:tc>
                <w:tcPr/>
                <w:p>
                  <w:pPr>
                    <w:pStyle w:val="Compact"/>
                    <w:jc w:val="right"/>
                    <w:jc w:val="center"/>
                  </w:pPr>
                  <w:r>
                    <w:t xml:space="preserve">Conditional change B2</w:t>
                  </w:r>
                </w:p>
              </w:tc>
              <w:tc>
                <w:tcPr/>
                <w:p>
                  <w:pPr>
                    <w:pStyle w:val="Compact"/>
                    <w:jc w:val="right"/>
                    <w:jc w:val="center"/>
                  </w:pPr>
                  <w:r>
                    <w:t xml:space="preserve">Latent change B1</w:t>
                  </w:r>
                </w:p>
              </w:tc>
              <w:tc>
                <w:tcPr/>
                <w:p>
                  <w:pPr>
                    <w:pStyle w:val="Compact"/>
                    <w:jc w:val="right"/>
                    <w:jc w:val="center"/>
                  </w:pPr>
                  <w:r>
                    <w:t xml:space="preserve">Latent change B2</w:t>
                  </w:r>
                </w:p>
              </w:tc>
            </w:tr>
            <w:tr>
              <w:tc>
                <w:tcPr/>
                <w:p>
                  <w:pPr>
                    <w:pStyle w:val="Compact"/>
                    <w:jc w:val="left"/>
                    <w:jc w:val="center"/>
                  </w:pPr>
                  <w:r>
                    <w:t xml:space="preserve">Egalitarianism (vs. individualism)</w:t>
                  </w:r>
                </w:p>
              </w:tc>
              <w:tc>
                <w:tcPr/>
                <w:p>
                  <w:pPr>
                    <w:pStyle w:val="Compact"/>
                    <w:jc w:val="right"/>
                    <w:jc w:val="center"/>
                  </w:pPr>
                  <w:r>
                    <w:t xml:space="preserve">0.68***</w:t>
                  </w:r>
                </w:p>
              </w:tc>
              <w:tc>
                <w:tcPr/>
                <w:p>
                  <w:pPr>
                    <w:pStyle w:val="Compact"/>
                    <w:jc w:val="right"/>
                    <w:jc w:val="center"/>
                  </w:pPr>
                  <w:r>
                    <w:t xml:space="preserve">0.65***</w:t>
                  </w:r>
                </w:p>
              </w:tc>
              <w:tc>
                <w:tcPr/>
                <w:p>
                  <w:pPr>
                    <w:pStyle w:val="Compact"/>
                    <w:jc w:val="right"/>
                    <w:jc w:val="center"/>
                  </w:pPr>
                  <w:r>
                    <w:t xml:space="preserve">0.35***</w:t>
                  </w:r>
                </w:p>
              </w:tc>
              <w:tc>
                <w:tcPr/>
                <w:p>
                  <w:pPr>
                    <w:pStyle w:val="Compact"/>
                    <w:jc w:val="right"/>
                    <w:jc w:val="center"/>
                  </w:pPr>
                  <w:r>
                    <w:t xml:space="preserve">0.22***</w:t>
                  </w:r>
                </w:p>
              </w:tc>
              <w:tc>
                <w:tcPr/>
                <w:p>
                  <w:pPr>
                    <w:pStyle w:val="Compact"/>
                    <w:jc w:val="right"/>
                    <w:jc w:val="center"/>
                  </w:pPr>
                  <w:r>
                    <w:t xml:space="preserve">0.45***</w:t>
                  </w:r>
                </w:p>
              </w:tc>
              <w:tc>
                <w:tcPr/>
                <w:p>
                  <w:pPr>
                    <w:pStyle w:val="Compact"/>
                    <w:jc w:val="right"/>
                    <w:jc w:val="center"/>
                  </w:pPr>
                  <w:r>
                    <w:t xml:space="preserve">0.24**</w:t>
                  </w:r>
                </w:p>
              </w:tc>
            </w:tr>
            <w:tr>
              <w:tc>
                <w:tcPr/>
                <w:p>
                  <w:pPr>
                    <w:pStyle w:val="Compact"/>
                    <w:jc w:val="left"/>
                    <w:jc w:val="center"/>
                  </w:pPr>
                  <w:r>
                    <w:t xml:space="preserve">Authoritarianism</w:t>
                  </w:r>
                </w:p>
              </w:tc>
              <w:tc>
                <w:tcPr/>
                <w:p>
                  <w:pPr>
                    <w:pStyle w:val="Compact"/>
                    <w:jc w:val="right"/>
                    <w:jc w:val="center"/>
                  </w:pPr>
                  <w:r>
                    <w:t xml:space="preserve">-0.04</w:t>
                  </w:r>
                </w:p>
              </w:tc>
              <w:tc>
                <w:tcPr/>
                <w:p>
                  <w:pPr>
                    <w:pStyle w:val="Compact"/>
                    <w:jc w:val="right"/>
                    <w:jc w:val="center"/>
                  </w:pPr>
                  <w:r>
                    <w:t xml:space="preserve">-0.04</w:t>
                  </w:r>
                </w:p>
              </w:tc>
              <w:tc>
                <w:tcPr/>
                <w:p>
                  <w:pPr>
                    <w:pStyle w:val="Compact"/>
                    <w:jc w:val="right"/>
                    <w:jc w:val="center"/>
                  </w:pPr>
                  <w:r>
                    <w:t xml:space="preserve">-0.04</w:t>
                  </w:r>
                </w:p>
              </w:tc>
              <w:tc>
                <w:tcPr/>
                <w:p>
                  <w:pPr>
                    <w:pStyle w:val="Compact"/>
                    <w:jc w:val="right"/>
                    <w:jc w:val="center"/>
                  </w:pPr>
                  <w:r>
                    <w:t xml:space="preserve">-0.04</w:t>
                  </w:r>
                </w:p>
              </w:tc>
              <w:tc>
                <w:tcPr/>
                <w:p>
                  <w:pPr>
                    <w:pStyle w:val="Compact"/>
                    <w:jc w:val="right"/>
                    <w:jc w:val="center"/>
                  </w:pPr>
                  <w:r>
                    <w:t xml:space="preserve">-0.06</w:t>
                  </w:r>
                </w:p>
              </w:tc>
              <w:tc>
                <w:tcPr/>
                <w:p>
                  <w:pPr>
                    <w:pStyle w:val="Compact"/>
                    <w:jc w:val="right"/>
                    <w:jc w:val="center"/>
                  </w:pPr>
                  <w:r>
                    <w:t xml:space="preserve">-0.07</w:t>
                  </w:r>
                </w:p>
              </w:tc>
            </w:tr>
            <w:tr>
              <w:tc>
                <w:tcPr/>
                <w:p>
                  <w:pPr>
                    <w:pStyle w:val="Compact"/>
                    <w:jc w:val="left"/>
                    <w:jc w:val="center"/>
                  </w:pPr>
                  <w:r>
                    <w:t xml:space="preserve">Religiosity</w:t>
                  </w:r>
                </w:p>
              </w:tc>
              <w:tc>
                <w:tcPr/>
                <w:p>
                  <w:pPr>
                    <w:pStyle w:val="Compact"/>
                    <w:jc w:val="right"/>
                    <w:jc w:val="center"/>
                  </w:pPr>
                  <w:r>
                    <w:t xml:space="preserve">-0.18***</w:t>
                  </w:r>
                </w:p>
              </w:tc>
              <w:tc>
                <w:tcPr/>
                <w:p>
                  <w:pPr>
                    <w:pStyle w:val="Compact"/>
                    <w:jc w:val="right"/>
                    <w:jc w:val="center"/>
                  </w:pPr>
                  <w:r>
                    <w:t xml:space="preserve">-0.19***</w:t>
                  </w:r>
                </w:p>
              </w:tc>
              <w:tc>
                <w:tcPr/>
                <w:p>
                  <w:pPr>
                    <w:pStyle w:val="Compact"/>
                    <w:jc w:val="right"/>
                    <w:jc w:val="center"/>
                  </w:pPr>
                  <w:r>
                    <w:t xml:space="preserve">0.02</w:t>
                  </w:r>
                </w:p>
              </w:tc>
              <w:tc>
                <w:tcPr/>
                <w:p>
                  <w:pPr>
                    <w:pStyle w:val="Compact"/>
                    <w:jc w:val="right"/>
                    <w:jc w:val="center"/>
                  </w:pPr>
                  <w:r>
                    <w:t xml:space="preserve">0.04</w:t>
                  </w:r>
                </w:p>
              </w:tc>
              <w:tc>
                <w:tcPr/>
                <w:p>
                  <w:pPr>
                    <w:pStyle w:val="Compact"/>
                    <w:jc w:val="right"/>
                    <w:jc w:val="center"/>
                  </w:pPr>
                  <w:r>
                    <w:t xml:space="preserve">0.09*</w:t>
                  </w:r>
                </w:p>
              </w:tc>
              <w:tc>
                <w:tcPr/>
                <w:p>
                  <w:pPr>
                    <w:pStyle w:val="Compact"/>
                    <w:jc w:val="right"/>
                    <w:jc w:val="center"/>
                  </w:pPr>
                  <w:r>
                    <w:t xml:space="preserve">0.13**</w:t>
                  </w:r>
                </w:p>
              </w:tc>
            </w:tr>
            <w:tr>
              <w:tc>
                <w:tcPr/>
                <w:p>
                  <w:pPr>
                    <w:pStyle w:val="Compact"/>
                    <w:jc w:val="left"/>
                    <w:jc w:val="center"/>
                  </w:pPr>
                  <w:r>
                    <w:t xml:space="preserve">Social distrust</w:t>
                  </w:r>
                </w:p>
              </w:tc>
              <w:tc>
                <w:tcPr/>
                <w:p>
                  <w:pPr>
                    <w:pStyle w:val="Compact"/>
                    <w:jc w:val="right"/>
                    <w:jc w:val="center"/>
                  </w:pPr>
                  <w:r>
                    <w:t xml:space="preserve">-0.05*</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-0.02</w:t>
                  </w:r>
                </w:p>
              </w:tc>
              <w:tc>
                <w:tcPr/>
                <w:p>
                  <w:pPr>
                    <w:pStyle w:val="Compact"/>
                    <w:jc w:val="right"/>
                    <w:jc w:val="center"/>
                  </w:pPr>
                  <w:r>
                    <w:t xml:space="preserve">0.00</w:t>
                  </w:r>
                </w:p>
              </w:tc>
            </w:tr>
            <w:tr>
              <w:tc>
                <w:tcPr/>
                <w:p>
                  <w:pPr>
                    <w:pStyle w:val="Compact"/>
                    <w:jc w:val="left"/>
                    <w:jc w:val="center"/>
                  </w:pPr>
                  <w:r>
                    <w:t xml:space="preserve">Political inefficacy</w:t>
                  </w:r>
                </w:p>
              </w:tc>
              <w:tc>
                <w:tcPr/>
                <w:p>
                  <w:pPr>
                    <w:pStyle w:val="Compact"/>
                    <w:jc w:val="right"/>
                    <w:jc w:val="center"/>
                  </w:pPr>
                  <w:r>
                    <w:t xml:space="preserve">-0.21***</w:t>
                  </w:r>
                </w:p>
              </w:tc>
              <w:tc>
                <w:tcPr/>
                <w:p>
                  <w:pPr>
                    <w:pStyle w:val="Compact"/>
                    <w:jc w:val="right"/>
                    <w:jc w:val="center"/>
                  </w:pPr>
                  <w:r>
                    <w:t xml:space="preserve">-0.20***</w:t>
                  </w:r>
                </w:p>
              </w:tc>
              <w:tc>
                <w:tcPr/>
                <w:p>
                  <w:pPr>
                    <w:pStyle w:val="Compact"/>
                    <w:jc w:val="right"/>
                    <w:jc w:val="center"/>
                  </w:pPr>
                  <w:r>
                    <w:t xml:space="preserve">-0.01</w:t>
                  </w:r>
                </w:p>
              </w:tc>
              <w:tc>
                <w:tcPr/>
                <w:p>
                  <w:pPr>
                    <w:pStyle w:val="Compact"/>
                    <w:jc w:val="right"/>
                    <w:jc w:val="center"/>
                  </w:pPr>
                  <w:r>
                    <w:t xml:space="preserve">-0.02</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Party ID (Republican high)</w:t>
                  </w:r>
                </w:p>
              </w:tc>
              <w:tc>
                <w:tcPr/>
                <w:p>
                  <w:pPr>
                    <w:pStyle w:val="Compact"/>
                  </w:pPr>
                </w:p>
              </w:tc>
              <w:tc>
                <w:tcPr/>
                <w:p>
                  <w:pPr>
                    <w:pStyle w:val="Compact"/>
                    <w:jc w:val="right"/>
                    <w:jc w:val="center"/>
                  </w:pPr>
                  <w:r>
                    <w:t xml:space="preserve">0.01</w:t>
                  </w:r>
                </w:p>
              </w:tc>
              <w:tc>
                <w:tcPr/>
                <w:p>
                  <w:pPr>
                    <w:pStyle w:val="Compact"/>
                  </w:pPr>
                </w:p>
              </w:tc>
              <w:tc>
                <w:tcPr/>
                <w:p>
                  <w:pPr>
                    <w:pStyle w:val="Compact"/>
                    <w:jc w:val="right"/>
                    <w:jc w:val="center"/>
                  </w:pPr>
                  <w:r>
                    <w:t xml:space="preserve">-0.07**</w:t>
                  </w:r>
                </w:p>
              </w:tc>
              <w:tc>
                <w:tcPr/>
                <w:p>
                  <w:pPr>
                    <w:pStyle w:val="Compact"/>
                  </w:pPr>
                </w:p>
              </w:tc>
              <w:tc>
                <w:tcPr/>
                <w:p>
                  <w:pPr>
                    <w:pStyle w:val="Compact"/>
                    <w:jc w:val="right"/>
                    <w:jc w:val="center"/>
                  </w:pPr>
                  <w:r>
                    <w:t xml:space="preserve">-0.13**</w:t>
                  </w:r>
                </w:p>
              </w:tc>
            </w:tr>
            <w:tr>
              <w:tc>
                <w:tcPr/>
                <w:p>
                  <w:pPr>
                    <w:pStyle w:val="Compact"/>
                    <w:jc w:val="left"/>
                    <w:jc w:val="center"/>
                  </w:pPr>
                  <w:r>
                    <w:t xml:space="preserve">Ideology (conservative high)</w:t>
                  </w:r>
                </w:p>
              </w:tc>
              <w:tc>
                <w:tcPr/>
                <w:p>
                  <w:pPr>
                    <w:pStyle w:val="Compact"/>
                  </w:pPr>
                </w:p>
              </w:tc>
              <w:tc>
                <w:tcPr/>
                <w:p>
                  <w:pPr>
                    <w:pStyle w:val="Compact"/>
                    <w:jc w:val="right"/>
                    <w:jc w:val="center"/>
                  </w:pPr>
                  <w:r>
                    <w:t xml:space="preserve">-0.01</w:t>
                  </w:r>
                </w:p>
              </w:tc>
              <w:tc>
                <w:tcPr/>
                <w:p>
                  <w:pPr>
                    <w:pStyle w:val="Compact"/>
                  </w:pPr>
                </w:p>
              </w:tc>
              <w:tc>
                <w:tcPr/>
                <w:p>
                  <w:pPr>
                    <w:pStyle w:val="Compact"/>
                    <w:jc w:val="right"/>
                    <w:jc w:val="center"/>
                  </w:pPr>
                  <w:r>
                    <w:t xml:space="preserve">-0.05*</w:t>
                  </w:r>
                </w:p>
              </w:tc>
              <w:tc>
                <w:tcPr/>
                <w:p>
                  <w:pPr>
                    <w:pStyle w:val="Compact"/>
                  </w:pPr>
                </w:p>
              </w:tc>
              <w:tc>
                <w:tcPr/>
                <w:p>
                  <w:pPr>
                    <w:pStyle w:val="Compact"/>
                    <w:jc w:val="right"/>
                    <w:jc w:val="center"/>
                  </w:pPr>
                  <w:r>
                    <w:t xml:space="preserve">-0.08</w:t>
                  </w:r>
                </w:p>
              </w:tc>
            </w:tr>
            <w:tr>
              <w:tc>
                <w:tcPr/>
                <w:p>
                  <w:pPr>
                    <w:pStyle w:val="Compact"/>
                    <w:jc w:val="left"/>
                    <w:jc w:val="center"/>
                  </w:pPr>
                  <w:r>
                    <w:t xml:space="preserve">Expert trust, 2017</w:t>
                  </w:r>
                </w:p>
              </w:tc>
              <w:tc>
                <w:tcPr/>
                <w:p>
                  <w:pPr>
                    <w:pStyle w:val="Compact"/>
                  </w:pPr>
                </w:p>
              </w:tc>
              <w:tc>
                <w:tcPr/>
                <w:p>
                  <w:pPr>
                    <w:pStyle w:val="Compact"/>
                  </w:pPr>
                </w:p>
              </w:tc>
              <w:tc>
                <w:tcPr/>
                <w:p>
                  <w:pPr>
                    <w:pStyle w:val="Compact"/>
                    <w:jc w:val="right"/>
                    <w:jc w:val="center"/>
                  </w:pPr>
                  <w:r>
                    <w:t xml:space="preserve">0.58***</w:t>
                  </w:r>
                </w:p>
              </w:tc>
              <w:tc>
                <w:tcPr/>
                <w:p>
                  <w:pPr>
                    <w:pStyle w:val="Compact"/>
                    <w:jc w:val="right"/>
                    <w:jc w:val="center"/>
                  </w:pPr>
                  <w:r>
                    <w:t xml:space="preserve">0.62***</w:t>
                  </w:r>
                </w:p>
              </w:tc>
              <w:tc>
                <w:tcPr/>
                <w:p>
                  <w:pPr>
                    <w:pStyle w:val="Compact"/>
                  </w:pPr>
                </w:p>
              </w:tc>
              <w:tc>
                <w:tcPr/>
                <w:p>
                  <w:pPr>
                    <w:pStyle w:val="Compact"/>
                  </w:pPr>
                </w:p>
              </w:tc>
            </w:tr>
            <w:tr>
              <w:tc>
                <w:tcPr/>
                <w:p>
                  <w:pPr>
                    <w:pStyle w:val="Compact"/>
                    <w:jc w:val="left"/>
                    <w:jc w:val="center"/>
                  </w:pPr>
                  <w:r>
                    <w:t xml:space="preserve">N</w:t>
                  </w:r>
                </w:p>
              </w:tc>
              <w:tc>
                <w:tcPr/>
                <w:p>
                  <w:pPr>
                    <w:pStyle w:val="Compact"/>
                    <w:jc w:val="right"/>
                    <w:jc w:val="center"/>
                  </w:pPr>
                  <w:r>
                    <w:t xml:space="preserve">2522</w:t>
                  </w:r>
                </w:p>
              </w:tc>
              <w:tc>
                <w:tcPr/>
                <w:p>
                  <w:pPr>
                    <w:pStyle w:val="Compact"/>
                    <w:jc w:val="right"/>
                    <w:jc w:val="center"/>
                  </w:pPr>
                  <w:r>
                    <w:t xml:space="preserve">2447</w:t>
                  </w:r>
                </w:p>
              </w:tc>
              <w:tc>
                <w:tcPr/>
                <w:p>
                  <w:pPr>
                    <w:pStyle w:val="Compact"/>
                    <w:jc w:val="right"/>
                    <w:jc w:val="center"/>
                  </w:pPr>
                  <w:r>
                    <w:t xml:space="preserve">2522</w:t>
                  </w:r>
                </w:p>
              </w:tc>
              <w:tc>
                <w:tcPr/>
                <w:p>
                  <w:pPr>
                    <w:pStyle w:val="Compact"/>
                    <w:jc w:val="right"/>
                    <w:jc w:val="center"/>
                  </w:pPr>
                  <w:r>
                    <w:t xml:space="preserve">2447</w:t>
                  </w:r>
                </w:p>
              </w:tc>
              <w:tc>
                <w:tcPr/>
                <w:p>
                  <w:pPr>
                    <w:pStyle w:val="Compact"/>
                    <w:jc w:val="right"/>
                    <w:jc w:val="center"/>
                  </w:pPr>
                  <w:r>
                    <w:t xml:space="preserve">2522</w:t>
                  </w:r>
                </w:p>
              </w:tc>
              <w:tc>
                <w:tcPr/>
                <w:p>
                  <w:pPr>
                    <w:pStyle w:val="Compact"/>
                    <w:jc w:val="right"/>
                    <w:jc w:val="center"/>
                  </w:pPr>
                  <w:r>
                    <w:t xml:space="preserve">2447</w:t>
                  </w:r>
                </w:p>
              </w:tc>
            </w:tr>
            <w:tr>
              <w:tc>
                <w:tcPr/>
                <w:p>
                  <w:pPr>
                    <w:pStyle w:val="Compact"/>
                    <w:jc w:val="left"/>
                    <w:jc w:val="center"/>
                  </w:pPr>
                  <w:r>
                    <w:t xml:space="preserve">CFI</w:t>
                  </w:r>
                </w:p>
              </w:tc>
              <w:tc>
                <w:tcPr/>
                <w:p>
                  <w:pPr>
                    <w:pStyle w:val="Compact"/>
                    <w:jc w:val="right"/>
                    <w:jc w:val="center"/>
                  </w:pPr>
                  <w:r>
                    <w:t xml:space="preserve">0.972</w:t>
                  </w:r>
                </w:p>
              </w:tc>
              <w:tc>
                <w:tcPr/>
                <w:p>
                  <w:pPr>
                    <w:pStyle w:val="Compact"/>
                    <w:jc w:val="right"/>
                    <w:jc w:val="center"/>
                  </w:pPr>
                  <w:r>
                    <w:t xml:space="preserve">0.906</w:t>
                  </w:r>
                </w:p>
              </w:tc>
              <w:tc>
                <w:tcPr/>
                <w:p>
                  <w:pPr>
                    <w:pStyle w:val="Compact"/>
                    <w:jc w:val="right"/>
                    <w:jc w:val="center"/>
                  </w:pPr>
                  <w:r>
                    <w:t xml:space="preserve">0.972</w:t>
                  </w:r>
                </w:p>
              </w:tc>
              <w:tc>
                <w:tcPr/>
                <w:p>
                  <w:pPr>
                    <w:pStyle w:val="Compact"/>
                    <w:jc w:val="right"/>
                    <w:jc w:val="center"/>
                  </w:pPr>
                  <w:r>
                    <w:t xml:space="preserve">0.906</w:t>
                  </w:r>
                </w:p>
              </w:tc>
              <w:tc>
                <w:tcPr/>
                <w:p>
                  <w:pPr>
                    <w:pStyle w:val="Compact"/>
                    <w:jc w:val="right"/>
                    <w:jc w:val="center"/>
                  </w:pPr>
                  <w:r>
                    <w:t xml:space="preserve">0.972</w:t>
                  </w:r>
                </w:p>
              </w:tc>
              <w:tc>
                <w:tcPr/>
                <w:p>
                  <w:pPr>
                    <w:pStyle w:val="Compact"/>
                    <w:jc w:val="right"/>
                    <w:jc w:val="center"/>
                  </w:pPr>
                  <w:r>
                    <w:t xml:space="preserve">0.906</w:t>
                  </w:r>
                </w:p>
              </w:tc>
            </w:tr>
            <w:tr>
              <w:tc>
                <w:tcPr/>
                <w:p>
                  <w:pPr>
                    <w:pStyle w:val="Compact"/>
                    <w:jc w:val="left"/>
                    <w:jc w:val="center"/>
                  </w:pPr>
                  <w:r>
                    <w:t xml:space="preserve">RMSEA</w:t>
                  </w:r>
                </w:p>
              </w:tc>
              <w:tc>
                <w:tcPr/>
                <w:p>
                  <w:pPr>
                    <w:pStyle w:val="Compact"/>
                    <w:jc w:val="right"/>
                    <w:jc w:val="center"/>
                  </w:pPr>
                  <w:r>
                    <w:t xml:space="preserve">0.050</w:t>
                  </w:r>
                </w:p>
              </w:tc>
              <w:tc>
                <w:tcPr/>
                <w:p>
                  <w:pPr>
                    <w:pStyle w:val="Compact"/>
                    <w:jc w:val="right"/>
                    <w:jc w:val="center"/>
                  </w:pPr>
                  <w:r>
                    <w:t xml:space="preserve">0.047</w:t>
                  </w:r>
                </w:p>
              </w:tc>
              <w:tc>
                <w:tcPr/>
                <w:p>
                  <w:pPr>
                    <w:pStyle w:val="Compact"/>
                    <w:jc w:val="right"/>
                    <w:jc w:val="center"/>
                  </w:pPr>
                  <w:r>
                    <w:t xml:space="preserve">0.050</w:t>
                  </w:r>
                </w:p>
              </w:tc>
              <w:tc>
                <w:tcPr/>
                <w:p>
                  <w:pPr>
                    <w:pStyle w:val="Compact"/>
                    <w:jc w:val="right"/>
                    <w:jc w:val="center"/>
                  </w:pPr>
                  <w:r>
                    <w:t xml:space="preserve">0.047</w:t>
                  </w:r>
                </w:p>
              </w:tc>
              <w:tc>
                <w:tcPr/>
                <w:p>
                  <w:pPr>
                    <w:pStyle w:val="Compact"/>
                    <w:jc w:val="right"/>
                    <w:jc w:val="center"/>
                  </w:pPr>
                  <w:r>
                    <w:t xml:space="preserve">0.050</w:t>
                  </w:r>
                </w:p>
              </w:tc>
              <w:tc>
                <w:tcPr/>
                <w:p>
                  <w:pPr>
                    <w:pStyle w:val="Compact"/>
                    <w:jc w:val="right"/>
                    <w:jc w:val="center"/>
                  </w:pPr>
                  <w:r>
                    <w:t xml:space="preserve">0.047</w:t>
                  </w:r>
                </w:p>
              </w:tc>
            </w:tr>
          </w:tbl>
          <w:bookmarkEnd w:id="22"/>
          <w:p/>
        </w:tc>
      </w:tr>
    </w:tbl>
    <w:tbl>
      <w:tblPr>
        <w:tblStyle w:val="Table"/>
        <w:tblW w:type="pct" w:w="5000"/>
        <w:tblLayout w:type="fixed"/>
        <w:tblLook w:firstRow="0" w:lastRow="0" w:firstColumn="0" w:lastColumn="0" w:noHBand="0" w:noVBand="0" w:val="0000"/>
      </w:tblPr>
      <w:tblGrid>
        <w:gridCol w:w="7920"/>
      </w:tblGrid>
      <w:tr>
        <w:tc>
          <w:tcPr/>
          <w:bookmarkStart w:id="26" w:name="fig-change"/>
          <w:p>
            <w:pPr>
              <w:jc w:val="center"/>
            </w:pPr>
            <w:pPr>
              <w:jc w:val="left"/>
              <w:spacing w:before="200"/>
              <w:pStyle w:val="ImageCaption"/>
            </w:pPr>
            <w:r>
              <w:t xml:space="preserve">Figure 2: Difference in latent change in expert trust, 2017 to November 2020, associated with a one standard deviation difference in each predictor, in 2017 standard deviation units, with 95% confidence intervals. From the latent change score models in</w:t>
            </w:r>
            <w:r>
              <w:t xml:space="preserve"> </w:t>
            </w:r>
            <w:hyperlink w:anchor="tbl-main">
              <w:r>
                <w:rPr>
                  <w:rStyle w:val="Hyperlink"/>
                </w:rPr>
                <w:t xml:space="preserve">Table 2</w:t>
              </w:r>
            </w:hyperlink>
            <w:r>
              <w:t xml:space="preserve">.</w:t>
            </w:r>
          </w:p>
          <w:p>
            <w:pPr>
              <w:pStyle w:val="Compact"/>
              <w:jc w:val="center"/>
            </w:pPr>
            <w:r>
              <w:drawing>
                <wp:inline>
                  <wp:extent cx="5334000" cy="3429000"/>
                  <wp:effectExtent b="0" l="0" r="0" t="0"/>
                  <wp:docPr descr="" title="" id="24" name="Picture"/>
                  <a:graphic>
                    <a:graphicData uri="http://schemas.openxmlformats.org/drawingml/2006/picture">
                      <pic:pic>
                        <pic:nvPicPr>
                          <pic:cNvPr descr="values-expert-trust-covid_files/figure-docx/fig-change-1.png" id="25" name="Picture"/>
                          <pic:cNvPicPr>
                            <a:picLocks noChangeArrowheads="1" noChangeAspect="1"/>
                          </pic:cNvPicPr>
                        </pic:nvPicPr>
                        <pic:blipFill>
                          <a:blip r:embed="rId23"/>
                          <a:stretch>
                            <a:fillRect/>
                          </a:stretch>
                        </pic:blipFill>
                        <pic:spPr bwMode="auto">
                          <a:xfrm>
                            <a:off x="0" y="0"/>
                            <a:ext cx="5334000" cy="3429000"/>
                          </a:xfrm>
                          <a:prstGeom prst="rect">
                            <a:avLst/>
                          </a:prstGeom>
                          <a:noFill/>
                          <a:ln w="9525">
                            <a:noFill/>
                            <a:headEnd/>
                            <a:tailEnd/>
                          </a:ln>
                        </pic:spPr>
                      </pic:pic>
                    </a:graphicData>
                  </a:graphic>
                </wp:inline>
              </w:drawing>
            </w:r>
          </w:p>
          <w:bookmarkEnd w:id="26"/>
        </w:tc>
      </w:tr>
    </w:tbl>
    <w:bookmarkEnd w:id="27"/>
    <w:bookmarkStart w:id="29" w:name="specificity-and-pre-trends"/>
    <w:p>
      <w:pPr>
        <w:pStyle w:val="Heading2"/>
      </w:pPr>
      <w:r>
        <w:t xml:space="preserve">Specificity and pre-trends</w:t>
      </w:r>
    </w:p>
    <w:p>
      <w:pPr>
        <w:pStyle w:val="FirstParagraph"/>
      </w:pPr>
      <w:hyperlink w:anchor="tbl-items">
        <w:r>
          <w:rPr>
            <w:rStyle w:val="Hyperlink"/>
          </w:rPr>
          <w:t xml:space="preserve">Table 3</w:t>
        </w:r>
      </w:hyperlink>
      <w:r>
        <w:t xml:space="preserve"> </w:t>
      </w:r>
      <w:r>
        <w:t xml:space="preserve">reports models for single trust items. Egalitarianism was associated with increases in each of the three expert items (β = 0.38 to 0.52) and with higher confidence in the CDC in 2020 net of expert trust in 2017 (β = 0.31). The association was weaker for trust in the federal government (β = 0.23). Egalitarianism was associated with declines or no change in confidence in the Supreme Court (β = -0.16), big business (β = -0.09) and the military (β = -0.03). Value-based change was therefore larger for experts and science than for government and other institutions.</w:t>
      </w:r>
    </w:p>
    <w:p>
      <w:pPr>
        <w:pStyle w:val="BodyText"/>
      </w:pPr>
      <w:r>
        <w:t xml:space="preserve">However, egalitarianism predicted change in media trust before the pandemic (β = 0.35 from January to November 2019) about as strongly as during it (β = 0.41 from November 2019 to November 2020), although the two windows differ in length. Egalitarians and individualists were already diverging in their trust of information sources before COVID-19, and the change in expert trust likely reflects, in part, a trend that predates the pandemic.</w:t>
      </w:r>
    </w:p>
    <w:p>
      <w:pPr>
        <w:pStyle w:val="BodyText"/>
      </w:pPr>
      <w:r>
        <w:t xml:space="preserve">The civic orientations show a different pattern from the values. Political inefficacy was associated with declines in the experts-help item (β = -0.10) and in media trust in both periods (β = -0.08). Social distrust was associated with lower confidence in the CDC (β = -0.14) and with declines in confidence in the military, the Supreme Court and big business.</w:t>
      </w:r>
    </w:p>
    <w:tbl>
      <w:tblPr>
        <w:tblStyle w:val="Table"/>
        <w:tblW w:type="pct" w:w="5000"/>
        <w:tblLayout w:type="fixed"/>
        <w:tblLook w:firstRow="0" w:lastRow="0" w:firstColumn="0" w:lastColumn="0" w:noHBand="0" w:noVBand="0" w:val="0000"/>
      </w:tblPr>
      <w:tblGrid>
        <w:gridCol w:w="7920"/>
      </w:tblGrid>
      <w:tr>
        <w:tc>
          <w:tcPr/>
          <w:bookmarkStart w:id="28" w:name="tbl-items"/>
          <w:p>
            <w:pPr>
              <w:jc w:val="center"/>
            </w:pPr>
            <w:pPr>
              <w:jc w:val="left"/>
              <w:spacing w:before="200"/>
              <w:pStyle w:val="ImageCaption"/>
            </w:pPr>
            <w:r>
              <w:t xml:space="preserve">Table 3: Values, civic orientations, and change in single trust items. Standardized coefficients from models with each item’s later wave as an ordinal outcome, the earlier wave as a lagged predictor, and Block 1 controls. Windows: expert items and trust in the federal government, 2017 to November 2020; confidence in the military, Supreme Court and big business, January 2019 to November 2020; media trust as labeled. Confidence in the CDC was asked only in November 2020; its model uses latent 2017 expert trust as the lag. * p &lt; .05, ** p &lt; .01, *** p &lt; .001.</w:t>
            </w:r>
          </w:p>
          <w:tbl>
            <w:tblPr>
              <w:tblStyle w:val="Table"/>
              <w:tblW w:type="pct" w:w="5000"/>
              <w:tblLayout w:type="fixed"/>
              <w:tblLook w:firstRow="1" w:lastRow="0" w:firstColumn="0" w:lastColumn="0" w:noHBand="0" w:noVBand="0" w:val="0020"/>
            </w:tblPr>
            <w:tblGrid>
              <w:gridCol w:w="3122"/>
              <w:gridCol w:w="380"/>
              <w:gridCol w:w="913"/>
              <w:gridCol w:w="1066"/>
              <w:gridCol w:w="913"/>
              <w:gridCol w:w="685"/>
              <w:gridCol w:w="837"/>
            </w:tblGrid>
            <w:tr>
              <w:trPr>
                <w:tblHeader w:val="on"/>
              </w:trPr>
              <w:tc>
                <w:tcPr/>
                <w:p>
                  <w:pPr>
                    <w:pStyle w:val="Compact"/>
                    <w:jc w:val="left"/>
                    <w:jc w:val="center"/>
                  </w:pPr>
                  <w:r>
                    <w:t xml:space="preserve">Outcome</w:t>
                  </w:r>
                </w:p>
              </w:tc>
              <w:tc>
                <w:tcPr/>
                <w:p>
                  <w:pPr>
                    <w:pStyle w:val="Compact"/>
                    <w:jc w:val="right"/>
                    <w:jc w:val="center"/>
                  </w:pPr>
                  <w:r>
                    <w:t xml:space="preserve">N</w:t>
                  </w:r>
                </w:p>
              </w:tc>
              <w:tc>
                <w:tcPr/>
                <w:p>
                  <w:pPr>
                    <w:pStyle w:val="Compact"/>
                    <w:jc w:val="right"/>
                    <w:jc w:val="center"/>
                  </w:pPr>
                  <w:r>
                    <w:t xml:space="preserve">Egalitarian</w:t>
                  </w:r>
                </w:p>
              </w:tc>
              <w:tc>
                <w:tcPr/>
                <w:p>
                  <w:pPr>
                    <w:pStyle w:val="Compact"/>
                    <w:jc w:val="right"/>
                    <w:jc w:val="center"/>
                  </w:pPr>
                  <w:r>
                    <w:t xml:space="preserve">Authoritarian</w:t>
                  </w:r>
                </w:p>
              </w:tc>
              <w:tc>
                <w:tcPr/>
                <w:p>
                  <w:pPr>
                    <w:pStyle w:val="Compact"/>
                    <w:jc w:val="right"/>
                    <w:jc w:val="center"/>
                  </w:pPr>
                  <w:r>
                    <w:t xml:space="preserve">Religiosity</w:t>
                  </w:r>
                </w:p>
              </w:tc>
              <w:tc>
                <w:tcPr/>
                <w:p>
                  <w:pPr>
                    <w:pStyle w:val="Compact"/>
                    <w:jc w:val="right"/>
                    <w:jc w:val="center"/>
                  </w:pPr>
                  <w:r>
                    <w:t xml:space="preserve">Distrust</w:t>
                  </w:r>
                </w:p>
              </w:tc>
              <w:tc>
                <w:tcPr/>
                <w:p>
                  <w:pPr>
                    <w:pStyle w:val="Compact"/>
                    <w:jc w:val="right"/>
                    <w:jc w:val="center"/>
                  </w:pPr>
                  <w:r>
                    <w:t xml:space="preserve">Inefficacy</w:t>
                  </w:r>
                </w:p>
              </w:tc>
            </w:tr>
            <w:tr>
              <w:tc>
                <w:tcPr/>
                <w:p>
                  <w:pPr>
                    <w:pStyle w:val="Compact"/>
                    <w:jc w:val="left"/>
                    <w:jc w:val="center"/>
                  </w:pPr>
                  <w:r>
                    <w:t xml:space="preserve">Experts help (science, health)</w:t>
                  </w:r>
                </w:p>
              </w:tc>
              <w:tc>
                <w:tcPr/>
                <w:p>
                  <w:pPr>
                    <w:pStyle w:val="Compact"/>
                    <w:jc w:val="right"/>
                    <w:jc w:val="center"/>
                  </w:pPr>
                  <w:r>
                    <w:t xml:space="preserve">2502</w:t>
                  </w:r>
                </w:p>
              </w:tc>
              <w:tc>
                <w:tcPr/>
                <w:p>
                  <w:pPr>
                    <w:pStyle w:val="Compact"/>
                    <w:jc w:val="right"/>
                    <w:jc w:val="center"/>
                  </w:pPr>
                  <w:r>
                    <w:t xml:space="preserve">0.52***</w:t>
                  </w:r>
                </w:p>
              </w:tc>
              <w:tc>
                <w:tcPr/>
                <w:p>
                  <w:pPr>
                    <w:pStyle w:val="Compact"/>
                    <w:jc w:val="right"/>
                    <w:jc w:val="center"/>
                  </w:pPr>
                  <w:r>
                    <w:t xml:space="preserve">-0.01</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-0.10***</w:t>
                  </w:r>
                </w:p>
              </w:tc>
            </w:tr>
            <w:tr>
              <w:tc>
                <w:tcPr/>
                <w:p>
                  <w:pPr>
                    <w:pStyle w:val="Compact"/>
                    <w:jc w:val="left"/>
                    <w:jc w:val="center"/>
                  </w:pPr>
                  <w:r>
                    <w:t xml:space="preserve">Scientific facts help</w:t>
                  </w:r>
                </w:p>
              </w:tc>
              <w:tc>
                <w:tcPr/>
                <w:p>
                  <w:pPr>
                    <w:pStyle w:val="Compact"/>
                    <w:jc w:val="right"/>
                    <w:jc w:val="center"/>
                  </w:pPr>
                  <w:r>
                    <w:t xml:space="preserve">2504</w:t>
                  </w:r>
                </w:p>
              </w:tc>
              <w:tc>
                <w:tcPr/>
                <w:p>
                  <w:pPr>
                    <w:pStyle w:val="Compact"/>
                    <w:jc w:val="right"/>
                    <w:jc w:val="center"/>
                  </w:pPr>
                  <w:r>
                    <w:t xml:space="preserve">0.38***</w:t>
                  </w:r>
                </w:p>
              </w:tc>
              <w:tc>
                <w:tcPr/>
                <w:p>
                  <w:pPr>
                    <w:pStyle w:val="Compact"/>
                    <w:jc w:val="right"/>
                    <w:jc w:val="center"/>
                  </w:pPr>
                  <w:r>
                    <w:t xml:space="preserve">-0.07*</w:t>
                  </w:r>
                </w:p>
              </w:tc>
              <w:tc>
                <w:tcPr/>
                <w:p>
                  <w:pPr>
                    <w:pStyle w:val="Compact"/>
                    <w:jc w:val="right"/>
                    <w:jc w:val="center"/>
                  </w:pPr>
                  <w:r>
                    <w:t xml:space="preserve">-0.05*</w:t>
                  </w:r>
                </w:p>
              </w:tc>
              <w:tc>
                <w:tcPr/>
                <w:p>
                  <w:pPr>
                    <w:pStyle w:val="Compact"/>
                    <w:jc w:val="right"/>
                    <w:jc w:val="center"/>
                  </w:pPr>
                  <w:r>
                    <w:t xml:space="preserve">-0.05</w:t>
                  </w:r>
                </w:p>
              </w:tc>
              <w:tc>
                <w:tcPr/>
                <w:p>
                  <w:pPr>
                    <w:pStyle w:val="Compact"/>
                    <w:jc w:val="right"/>
                    <w:jc w:val="center"/>
                  </w:pPr>
                  <w:r>
                    <w:t xml:space="preserve">-0.04</w:t>
                  </w:r>
                </w:p>
              </w:tc>
            </w:tr>
            <w:tr>
              <w:tc>
                <w:tcPr/>
                <w:p>
                  <w:pPr>
                    <w:pStyle w:val="Compact"/>
                    <w:jc w:val="left"/>
                    <w:jc w:val="center"/>
                  </w:pPr>
                  <w:r>
                    <w:t xml:space="preserve">Trust experts over ordinary people</w:t>
                  </w:r>
                </w:p>
              </w:tc>
              <w:tc>
                <w:tcPr/>
                <w:p>
                  <w:pPr>
                    <w:pStyle w:val="Compact"/>
                    <w:jc w:val="right"/>
                    <w:jc w:val="center"/>
                  </w:pPr>
                  <w:r>
                    <w:t xml:space="preserve">2501</w:t>
                  </w:r>
                </w:p>
              </w:tc>
              <w:tc>
                <w:tcPr/>
                <w:p>
                  <w:pPr>
                    <w:pStyle w:val="Compact"/>
                    <w:jc w:val="right"/>
                    <w:jc w:val="center"/>
                  </w:pPr>
                  <w:r>
                    <w:t xml:space="preserve">0.44***</w:t>
                  </w:r>
                </w:p>
              </w:tc>
              <w:tc>
                <w:tcPr/>
                <w:p>
                  <w:pPr>
                    <w:pStyle w:val="Compact"/>
                    <w:jc w:val="right"/>
                    <w:jc w:val="center"/>
                  </w:pPr>
                  <w:r>
                    <w:t xml:space="preserve">-0.05</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-0.06*</w:t>
                  </w:r>
                </w:p>
              </w:tc>
            </w:tr>
            <w:tr>
              <w:tc>
                <w:tcPr/>
                <w:p>
                  <w:pPr>
                    <w:pStyle w:val="Compact"/>
                    <w:jc w:val="left"/>
                    <w:jc w:val="center"/>
                  </w:pPr>
                  <w:r>
                    <w:t xml:space="preserve">Confidence: CDC</w:t>
                  </w:r>
                </w:p>
              </w:tc>
              <w:tc>
                <w:tcPr/>
                <w:p>
                  <w:pPr>
                    <w:pStyle w:val="Compact"/>
                    <w:jc w:val="right"/>
                    <w:jc w:val="center"/>
                  </w:pPr>
                  <w:r>
                    <w:t xml:space="preserve">2522</w:t>
                  </w:r>
                </w:p>
              </w:tc>
              <w:tc>
                <w:tcPr/>
                <w:p>
                  <w:pPr>
                    <w:pStyle w:val="Compact"/>
                    <w:jc w:val="right"/>
                    <w:jc w:val="center"/>
                  </w:pPr>
                  <w:r>
                    <w:t xml:space="preserve">0.31***</w:t>
                  </w:r>
                </w:p>
              </w:tc>
              <w:tc>
                <w:tcPr/>
                <w:p>
                  <w:pPr>
                    <w:pStyle w:val="Compact"/>
                    <w:jc w:val="right"/>
                    <w:jc w:val="center"/>
                  </w:pPr>
                  <w:r>
                    <w:t xml:space="preserve">0.06</w:t>
                  </w:r>
                </w:p>
              </w:tc>
              <w:tc>
                <w:tcPr/>
                <w:p>
                  <w:pPr>
                    <w:pStyle w:val="Compact"/>
                    <w:jc w:val="right"/>
                    <w:jc w:val="center"/>
                  </w:pPr>
                  <w:r>
                    <w:t xml:space="preserve">0.06*</w:t>
                  </w:r>
                </w:p>
              </w:tc>
              <w:tc>
                <w:tcPr/>
                <w:p>
                  <w:pPr>
                    <w:pStyle w:val="Compact"/>
                    <w:jc w:val="right"/>
                    <w:jc w:val="center"/>
                  </w:pPr>
                  <w:r>
                    <w:t xml:space="preserve">-0.14***</w:t>
                  </w:r>
                </w:p>
              </w:tc>
              <w:tc>
                <w:tcPr/>
                <w:p>
                  <w:pPr>
                    <w:pStyle w:val="Compact"/>
                    <w:jc w:val="right"/>
                    <w:jc w:val="center"/>
                  </w:pPr>
                  <w:r>
                    <w:t xml:space="preserve">-0.00</w:t>
                  </w:r>
                </w:p>
              </w:tc>
            </w:tr>
            <w:tr>
              <w:tc>
                <w:tcPr/>
                <w:p>
                  <w:pPr>
                    <w:pStyle w:val="Compact"/>
                    <w:jc w:val="left"/>
                    <w:jc w:val="center"/>
                  </w:pPr>
                  <w:r>
                    <w:t xml:space="preserve">Trust federal government</w:t>
                  </w:r>
                </w:p>
              </w:tc>
              <w:tc>
                <w:tcPr/>
                <w:p>
                  <w:pPr>
                    <w:pStyle w:val="Compact"/>
                    <w:jc w:val="right"/>
                    <w:jc w:val="center"/>
                  </w:pPr>
                  <w:r>
                    <w:t xml:space="preserve">2515</w:t>
                  </w:r>
                </w:p>
              </w:tc>
              <w:tc>
                <w:tcPr/>
                <w:p>
                  <w:pPr>
                    <w:pStyle w:val="Compact"/>
                    <w:jc w:val="right"/>
                    <w:jc w:val="center"/>
                  </w:pPr>
                  <w:r>
                    <w:t xml:space="preserve">0.23***</w:t>
                  </w:r>
                </w:p>
              </w:tc>
              <w:tc>
                <w:tcPr/>
                <w:p>
                  <w:pPr>
                    <w:pStyle w:val="Compact"/>
                    <w:jc w:val="right"/>
                    <w:jc w:val="center"/>
                  </w:pPr>
                  <w:r>
                    <w:t xml:space="preserve">0.09</w:t>
                  </w:r>
                </w:p>
              </w:tc>
              <w:tc>
                <w:tcPr/>
                <w:p>
                  <w:pPr>
                    <w:pStyle w:val="Compact"/>
                    <w:jc w:val="right"/>
                    <w:jc w:val="center"/>
                  </w:pPr>
                  <w:r>
                    <w:t xml:space="preserve">0.04</w:t>
                  </w:r>
                </w:p>
              </w:tc>
              <w:tc>
                <w:tcPr/>
                <w:p>
                  <w:pPr>
                    <w:pStyle w:val="Compact"/>
                    <w:jc w:val="right"/>
                    <w:jc w:val="center"/>
                  </w:pPr>
                  <w:r>
                    <w:t xml:space="preserve">-0.05</w:t>
                  </w:r>
                </w:p>
              </w:tc>
              <w:tc>
                <w:tcPr/>
                <w:p>
                  <w:pPr>
                    <w:pStyle w:val="Compact"/>
                    <w:jc w:val="right"/>
                    <w:jc w:val="center"/>
                  </w:pPr>
                  <w:r>
                    <w:t xml:space="preserve">-0.08</w:t>
                  </w:r>
                </w:p>
              </w:tc>
            </w:tr>
            <w:tr>
              <w:tc>
                <w:tcPr/>
                <w:p>
                  <w:pPr>
                    <w:pStyle w:val="Compact"/>
                    <w:jc w:val="left"/>
                    <w:jc w:val="center"/>
                  </w:pPr>
                  <w:r>
                    <w:t xml:space="preserve">Confidence: military</w:t>
                  </w:r>
                </w:p>
              </w:tc>
              <w:tc>
                <w:tcPr/>
                <w:p>
                  <w:pPr>
                    <w:pStyle w:val="Compact"/>
                    <w:jc w:val="right"/>
                    <w:jc w:val="center"/>
                  </w:pPr>
                  <w:r>
                    <w:t xml:space="preserve">2402</w:t>
                  </w:r>
                </w:p>
              </w:tc>
              <w:tc>
                <w:tcPr/>
                <w:p>
                  <w:pPr>
                    <w:pStyle w:val="Compact"/>
                    <w:jc w:val="right"/>
                    <w:jc w:val="center"/>
                  </w:pPr>
                  <w:r>
                    <w:t xml:space="preserve">-0.03</w:t>
                  </w:r>
                </w:p>
              </w:tc>
              <w:tc>
                <w:tcPr/>
                <w:p>
                  <w:pPr>
                    <w:pStyle w:val="Compact"/>
                    <w:jc w:val="right"/>
                    <w:jc w:val="center"/>
                  </w:pPr>
                  <w:r>
                    <w:t xml:space="preserve">0.08*</w:t>
                  </w:r>
                </w:p>
              </w:tc>
              <w:tc>
                <w:tcPr/>
                <w:p>
                  <w:pPr>
                    <w:pStyle w:val="Compact"/>
                    <w:jc w:val="right"/>
                    <w:jc w:val="center"/>
                  </w:pPr>
                  <w:r>
                    <w:t xml:space="preserve">0.01</w:t>
                  </w:r>
                </w:p>
              </w:tc>
              <w:tc>
                <w:tcPr/>
                <w:p>
                  <w:pPr>
                    <w:pStyle w:val="Compact"/>
                    <w:jc w:val="right"/>
                    <w:jc w:val="center"/>
                  </w:pPr>
                  <w:r>
                    <w:t xml:space="preserve">-0.08**</w:t>
                  </w:r>
                </w:p>
              </w:tc>
              <w:tc>
                <w:tcPr/>
                <w:p>
                  <w:pPr>
                    <w:pStyle w:val="Compact"/>
                    <w:jc w:val="right"/>
                    <w:jc w:val="center"/>
                  </w:pPr>
                  <w:r>
                    <w:t xml:space="preserve">-0.07**</w:t>
                  </w:r>
                </w:p>
              </w:tc>
            </w:tr>
            <w:tr>
              <w:tc>
                <w:tcPr/>
                <w:p>
                  <w:pPr>
                    <w:pStyle w:val="Compact"/>
                    <w:jc w:val="left"/>
                    <w:jc w:val="center"/>
                  </w:pPr>
                  <w:r>
                    <w:t xml:space="preserve">Confidence: Supreme Court</w:t>
                  </w:r>
                </w:p>
              </w:tc>
              <w:tc>
                <w:tcPr/>
                <w:p>
                  <w:pPr>
                    <w:pStyle w:val="Compact"/>
                    <w:jc w:val="right"/>
                    <w:jc w:val="center"/>
                  </w:pPr>
                  <w:r>
                    <w:t xml:space="preserve">2410</w:t>
                  </w:r>
                </w:p>
              </w:tc>
              <w:tc>
                <w:tcPr/>
                <w:p>
                  <w:pPr>
                    <w:pStyle w:val="Compact"/>
                    <w:jc w:val="right"/>
                    <w:jc w:val="center"/>
                  </w:pPr>
                  <w:r>
                    <w:t xml:space="preserve">-0.16***</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-0.10***</w:t>
                  </w:r>
                </w:p>
              </w:tc>
              <w:tc>
                <w:tcPr/>
                <w:p>
                  <w:pPr>
                    <w:pStyle w:val="Compact"/>
                    <w:jc w:val="right"/>
                    <w:jc w:val="center"/>
                  </w:pPr>
                  <w:r>
                    <w:t xml:space="preserve">-0.05</w:t>
                  </w:r>
                </w:p>
              </w:tc>
            </w:tr>
            <w:tr>
              <w:tc>
                <w:tcPr/>
                <w:p>
                  <w:pPr>
                    <w:pStyle w:val="Compact"/>
                    <w:jc w:val="left"/>
                    <w:jc w:val="center"/>
                  </w:pPr>
                  <w:r>
                    <w:t xml:space="preserve">Confidence: big business</w:t>
                  </w:r>
                </w:p>
              </w:tc>
              <w:tc>
                <w:tcPr/>
                <w:p>
                  <w:pPr>
                    <w:pStyle w:val="Compact"/>
                    <w:jc w:val="right"/>
                    <w:jc w:val="center"/>
                  </w:pPr>
                  <w:r>
                    <w:t xml:space="preserve">2404</w:t>
                  </w:r>
                </w:p>
              </w:tc>
              <w:tc>
                <w:tcPr/>
                <w:p>
                  <w:pPr>
                    <w:pStyle w:val="Compact"/>
                    <w:jc w:val="right"/>
                    <w:jc w:val="center"/>
                  </w:pPr>
                  <w:r>
                    <w:t xml:space="preserve">-0.09**</w:t>
                  </w:r>
                </w:p>
              </w:tc>
              <w:tc>
                <w:tcPr/>
                <w:p>
                  <w:pPr>
                    <w:pStyle w:val="Compact"/>
                    <w:jc w:val="right"/>
                    <w:jc w:val="center"/>
                  </w:pPr>
                  <w:r>
                    <w:t xml:space="preserve">0.10*</w:t>
                  </w:r>
                </w:p>
              </w:tc>
              <w:tc>
                <w:tcPr/>
                <w:p>
                  <w:pPr>
                    <w:pStyle w:val="Compact"/>
                    <w:jc w:val="right"/>
                    <w:jc w:val="center"/>
                  </w:pPr>
                  <w:r>
                    <w:t xml:space="preserve">0.03</w:t>
                  </w:r>
                </w:p>
              </w:tc>
              <w:tc>
                <w:tcPr/>
                <w:p>
                  <w:pPr>
                    <w:pStyle w:val="Compact"/>
                    <w:jc w:val="right"/>
                    <w:jc w:val="center"/>
                  </w:pPr>
                  <w:r>
                    <w:t xml:space="preserve">-0.08**</w:t>
                  </w:r>
                </w:p>
              </w:tc>
              <w:tc>
                <w:tcPr/>
                <w:p>
                  <w:pPr>
                    <w:pStyle w:val="Compact"/>
                    <w:jc w:val="right"/>
                    <w:jc w:val="center"/>
                  </w:pPr>
                  <w:r>
                    <w:t xml:space="preserve">-0.08**</w:t>
                  </w:r>
                </w:p>
              </w:tc>
            </w:tr>
            <w:tr>
              <w:tc>
                <w:tcPr/>
                <w:p>
                  <w:pPr>
                    <w:pStyle w:val="Compact"/>
                    <w:jc w:val="left"/>
                    <w:jc w:val="center"/>
                  </w:pPr>
                  <w:r>
                    <w:t xml:space="preserve">Media trust, pre (Jan to Nov 2019)</w:t>
                  </w:r>
                </w:p>
              </w:tc>
              <w:tc>
                <w:tcPr/>
                <w:p>
                  <w:pPr>
                    <w:pStyle w:val="Compact"/>
                    <w:jc w:val="right"/>
                    <w:jc w:val="center"/>
                  </w:pPr>
                  <w:r>
                    <w:t xml:space="preserve">2410</w:t>
                  </w:r>
                </w:p>
              </w:tc>
              <w:tc>
                <w:tcPr/>
                <w:p>
                  <w:pPr>
                    <w:pStyle w:val="Compact"/>
                    <w:jc w:val="right"/>
                    <w:jc w:val="center"/>
                  </w:pPr>
                  <w:r>
                    <w:t xml:space="preserve">0.35***</w:t>
                  </w:r>
                </w:p>
              </w:tc>
              <w:tc>
                <w:tcPr/>
                <w:p>
                  <w:pPr>
                    <w:pStyle w:val="Compact"/>
                    <w:jc w:val="right"/>
                    <w:jc w:val="center"/>
                  </w:pPr>
                  <w:r>
                    <w:t xml:space="preserve">0.01</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-0.08***</w:t>
                  </w:r>
                </w:p>
              </w:tc>
            </w:tr>
            <w:tr>
              <w:tc>
                <w:tcPr/>
                <w:p>
                  <w:pPr>
                    <w:pStyle w:val="Compact"/>
                    <w:jc w:val="left"/>
                    <w:jc w:val="center"/>
                  </w:pPr>
                  <w:r>
                    <w:t xml:space="preserve">Media trust, post (Nov 2019 to Nov 2020)</w:t>
                  </w:r>
                </w:p>
              </w:tc>
              <w:tc>
                <w:tcPr/>
                <w:p>
                  <w:pPr>
                    <w:pStyle w:val="Compact"/>
                    <w:jc w:val="right"/>
                    <w:jc w:val="center"/>
                  </w:pPr>
                  <w:r>
                    <w:t xml:space="preserve">2431</w:t>
                  </w:r>
                </w:p>
              </w:tc>
              <w:tc>
                <w:tcPr/>
                <w:p>
                  <w:pPr>
                    <w:pStyle w:val="Compact"/>
                    <w:jc w:val="right"/>
                    <w:jc w:val="center"/>
                  </w:pPr>
                  <w:r>
                    <w:t xml:space="preserve">0.41***</w:t>
                  </w:r>
                </w:p>
              </w:tc>
              <w:tc>
                <w:tcPr/>
                <w:p>
                  <w:pPr>
                    <w:pStyle w:val="Compact"/>
                    <w:jc w:val="right"/>
                    <w:jc w:val="center"/>
                  </w:pPr>
                  <w:r>
                    <w:t xml:space="preserve">-0.01</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-0.08***</w:t>
                  </w:r>
                </w:p>
              </w:tc>
            </w:tr>
          </w:tbl>
          <w:bookmarkEnd w:id="28"/>
          <w:p/>
        </w:tc>
      </w:tr>
    </w:tbl>
    <w:bookmarkEnd w:id="29"/>
    <w:bookmarkStart w:id="31" w:name="covid-19-exposure"/>
    <w:p>
      <w:pPr>
        <w:pStyle w:val="Heading2"/>
      </w:pPr>
      <w:r>
        <w:t xml:space="preserve">COVID-19 exposure</w:t>
      </w:r>
    </w:p>
    <w:p>
      <w:pPr>
        <w:pStyle w:val="FirstParagraph"/>
      </w:pPr>
      <w:hyperlink w:anchor="tbl-exposure">
        <w:r>
          <w:rPr>
            <w:rStyle w:val="Hyperlink"/>
          </w:rPr>
          <w:t xml:space="preserve">Table 4</w:t>
        </w:r>
      </w:hyperlink>
      <w:r>
        <w:t xml:space="preserve"> </w:t>
      </w:r>
      <w:r>
        <w:t xml:space="preserve">compares respondents who reported someone sick with COVID-19 in at least one circle (n = 1,404) with those who did not (n = 1,118). The association between egalitarianism and change in expert trust was smaller among exposed respondents (0.34 compared with 0.58), which is consistent with exposure reducing value-based divergence. However, the difference was not statistically significant at conventional levels (p = .059). Religiosity was associated with increases in expert trust only among exposed respondents (0.24 compared with -0.01, p = .015). Authoritarianism had a negative association with change among exposed respondents and a positive association among those not exposed, but neither coefficient nor the difference between them was significant (p = .060). Differences for social distrust and political inefficacy were not significant.</w:t>
      </w:r>
    </w:p>
    <w:tbl>
      <w:tblPr>
        <w:tblStyle w:val="Table"/>
        <w:tblW w:type="pct" w:w="5000"/>
        <w:tblLayout w:type="fixed"/>
        <w:tblLook w:firstRow="0" w:lastRow="0" w:firstColumn="0" w:lastColumn="0" w:noHBand="0" w:noVBand="0" w:val="0000"/>
      </w:tblPr>
      <w:tblGrid>
        <w:gridCol w:w="7920"/>
      </w:tblGrid>
      <w:tr>
        <w:tc>
          <w:tcPr/>
          <w:bookmarkStart w:id="30" w:name="tbl-exposure"/>
          <w:p>
            <w:pPr>
              <w:jc w:val="center"/>
            </w:pPr>
            <w:pPr>
              <w:jc w:val="left"/>
              <w:spacing w:before="200"/>
              <w:pStyle w:val="ImageCaption"/>
            </w:pPr>
            <w:r>
              <w:t xml:space="preserve">Table 4: Values, civic orientations, and latent change in expert trust by personal exposure to COVID-19. Multigroup latent change score model (Block 1); exposed respondents reported someone sick with COVID-19 in at least one circle (self, immediate family, work, close friend) in September or November 2020. Unstandardized coefficients (standard errors), with loadings and thresholds equal across groups. Difference p is from a Wald test of equal coefficients across groups. * p &lt; .05, ** p &lt; .01, *** p &lt; .001.</w:t>
            </w:r>
          </w:p>
          <w:tbl>
            <w:tblPr>
              <w:tblStyle w:val="Table"/>
              <w:tblW w:type="pct" w:w="5000"/>
              <w:tblLayout w:type="fixed"/>
              <w:tblLook w:firstRow="1" w:lastRow="0" w:firstColumn="0" w:lastColumn="0" w:noHBand="0" w:noVBand="0" w:val="0020"/>
            </w:tblPr>
            <w:tblGrid>
              <w:gridCol w:w="3553"/>
              <w:gridCol w:w="1523"/>
              <w:gridCol w:w="1523"/>
              <w:gridCol w:w="1320"/>
            </w:tblGrid>
            <w:tr>
              <w:trPr>
                <w:tblHeader w:val="on"/>
              </w:trPr>
              <w:tc>
                <w:tcPr/>
                <w:p>
                  <w:pPr>
                    <w:pStyle w:val="Compact"/>
                    <w:jc w:val="left"/>
                    <w:jc w:val="center"/>
                  </w:pPr>
                  <w:r>
                    <w:t xml:space="preserve">Predictor</w:t>
                  </w:r>
                </w:p>
              </w:tc>
              <w:tc>
                <w:tcPr/>
                <w:p>
                  <w:pPr>
                    <w:pStyle w:val="Compact"/>
                    <w:jc w:val="right"/>
                    <w:jc w:val="center"/>
                  </w:pPr>
                  <w:r>
                    <w:t xml:space="preserve">Not exposed</w:t>
                  </w:r>
                </w:p>
              </w:tc>
              <w:tc>
                <w:tcPr/>
                <w:p>
                  <w:pPr>
                    <w:pStyle w:val="Compact"/>
                    <w:jc w:val="right"/>
                    <w:jc w:val="center"/>
                  </w:pPr>
                  <w:r>
                    <w:t xml:space="preserve">Exposed</w:t>
                  </w:r>
                </w:p>
              </w:tc>
              <w:tc>
                <w:tcPr/>
                <w:p>
                  <w:pPr>
                    <w:pStyle w:val="Compact"/>
                    <w:jc w:val="right"/>
                    <w:jc w:val="center"/>
                  </w:pPr>
                  <w:r>
                    <w:t xml:space="preserve">Difference p</w:t>
                  </w:r>
                </w:p>
              </w:tc>
            </w:tr>
            <w:tr>
              <w:tc>
                <w:tcPr/>
                <w:p>
                  <w:pPr>
                    <w:pStyle w:val="Compact"/>
                    <w:jc w:val="left"/>
                    <w:jc w:val="center"/>
                  </w:pPr>
                  <w:r>
                    <w:t xml:space="preserve">Egalitarianism (vs. individualism)</w:t>
                  </w:r>
                </w:p>
              </w:tc>
              <w:tc>
                <w:tcPr/>
                <w:p>
                  <w:pPr>
                    <w:pStyle w:val="Compact"/>
                    <w:jc w:val="right"/>
                    <w:jc w:val="center"/>
                  </w:pPr>
                  <w:r>
                    <w:t xml:space="preserve">0.58 (0.12)***</w:t>
                  </w:r>
                </w:p>
              </w:tc>
              <w:tc>
                <w:tcPr/>
                <w:p>
                  <w:pPr>
                    <w:pStyle w:val="Compact"/>
                    <w:jc w:val="right"/>
                    <w:jc w:val="center"/>
                  </w:pPr>
                  <w:r>
                    <w:t xml:space="preserve">0.34 (0.07)***</w:t>
                  </w:r>
                </w:p>
              </w:tc>
              <w:tc>
                <w:tcPr/>
                <w:p>
                  <w:pPr>
                    <w:pStyle w:val="Compact"/>
                    <w:jc w:val="right"/>
                    <w:jc w:val="center"/>
                  </w:pPr>
                  <w:r>
                    <w:t xml:space="preserve">0.059</w:t>
                  </w:r>
                </w:p>
              </w:tc>
            </w:tr>
            <w:tr>
              <w:tc>
                <w:tcPr/>
                <w:p>
                  <w:pPr>
                    <w:pStyle w:val="Compact"/>
                    <w:jc w:val="left"/>
                    <w:jc w:val="center"/>
                  </w:pPr>
                  <w:r>
                    <w:t xml:space="preserve">Authoritarianism</w:t>
                  </w:r>
                </w:p>
              </w:tc>
              <w:tc>
                <w:tcPr/>
                <w:p>
                  <w:pPr>
                    <w:pStyle w:val="Compact"/>
                    <w:jc w:val="right"/>
                    <w:jc w:val="center"/>
                  </w:pPr>
                  <w:r>
                    <w:t xml:space="preserve">0.06 (0.09)</w:t>
                  </w:r>
                </w:p>
              </w:tc>
              <w:tc>
                <w:tcPr/>
                <w:p>
                  <w:pPr>
                    <w:pStyle w:val="Compact"/>
                    <w:jc w:val="right"/>
                    <w:jc w:val="center"/>
                  </w:pPr>
                  <w:r>
                    <w:t xml:space="preserve">-0.20 (0.10)</w:t>
                  </w:r>
                </w:p>
              </w:tc>
              <w:tc>
                <w:tcPr/>
                <w:p>
                  <w:pPr>
                    <w:pStyle w:val="Compact"/>
                    <w:jc w:val="right"/>
                    <w:jc w:val="center"/>
                  </w:pPr>
                  <w:r>
                    <w:t xml:space="preserve">0.060</w:t>
                  </w:r>
                </w:p>
              </w:tc>
            </w:tr>
            <w:tr>
              <w:tc>
                <w:tcPr/>
                <w:p>
                  <w:pPr>
                    <w:pStyle w:val="Compact"/>
                    <w:jc w:val="left"/>
                    <w:jc w:val="center"/>
                  </w:pPr>
                  <w:r>
                    <w:t xml:space="preserve">Religiosity</w:t>
                  </w:r>
                </w:p>
              </w:tc>
              <w:tc>
                <w:tcPr/>
                <w:p>
                  <w:pPr>
                    <w:pStyle w:val="Compact"/>
                    <w:jc w:val="right"/>
                    <w:jc w:val="center"/>
                  </w:pPr>
                  <w:r>
                    <w:t xml:space="preserve">-0.01 (0.07)</w:t>
                  </w:r>
                </w:p>
              </w:tc>
              <w:tc>
                <w:tcPr/>
                <w:p>
                  <w:pPr>
                    <w:pStyle w:val="Compact"/>
                    <w:jc w:val="right"/>
                    <w:jc w:val="center"/>
                  </w:pPr>
                  <w:r>
                    <w:t xml:space="preserve">0.24 (0.07)***</w:t>
                  </w:r>
                </w:p>
              </w:tc>
              <w:tc>
                <w:tcPr/>
                <w:p>
                  <w:pPr>
                    <w:pStyle w:val="Compact"/>
                    <w:jc w:val="right"/>
                    <w:jc w:val="center"/>
                  </w:pPr>
                  <w:r>
                    <w:t xml:space="preserve">0.015</w:t>
                  </w:r>
                </w:p>
              </w:tc>
            </w:tr>
            <w:tr>
              <w:tc>
                <w:tcPr/>
                <w:p>
                  <w:pPr>
                    <w:pStyle w:val="Compact"/>
                    <w:jc w:val="left"/>
                    <w:jc w:val="center"/>
                  </w:pPr>
                  <w:r>
                    <w:t xml:space="preserve">Social distrust</w:t>
                  </w:r>
                </w:p>
              </w:tc>
              <w:tc>
                <w:tcPr/>
                <w:p>
                  <w:pPr>
                    <w:pStyle w:val="Compact"/>
                    <w:jc w:val="right"/>
                    <w:jc w:val="center"/>
                  </w:pPr>
                  <w:r>
                    <w:t xml:space="preserve">-0.11 (0.08)</w:t>
                  </w:r>
                </w:p>
              </w:tc>
              <w:tc>
                <w:tcPr/>
                <w:p>
                  <w:pPr>
                    <w:pStyle w:val="Compact"/>
                    <w:jc w:val="right"/>
                    <w:jc w:val="center"/>
                  </w:pPr>
                  <w:r>
                    <w:t xml:space="preserve">0.06 (0.10)</w:t>
                  </w:r>
                </w:p>
              </w:tc>
              <w:tc>
                <w:tcPr/>
                <w:p>
                  <w:pPr>
                    <w:pStyle w:val="Compact"/>
                    <w:jc w:val="right"/>
                    <w:jc w:val="center"/>
                  </w:pPr>
                  <w:r>
                    <w:t xml:space="preserve">0.191</w:t>
                  </w:r>
                </w:p>
              </w:tc>
            </w:tr>
            <w:tr>
              <w:tc>
                <w:tcPr/>
                <w:p>
                  <w:pPr>
                    <w:pStyle w:val="Compact"/>
                    <w:jc w:val="left"/>
                    <w:jc w:val="center"/>
                  </w:pPr>
                  <w:r>
                    <w:t xml:space="preserve">Political inefficacy</w:t>
                  </w:r>
                </w:p>
              </w:tc>
              <w:tc>
                <w:tcPr/>
                <w:p>
                  <w:pPr>
                    <w:pStyle w:val="Compact"/>
                    <w:jc w:val="right"/>
                    <w:jc w:val="center"/>
                  </w:pPr>
                  <w:r>
                    <w:t xml:space="preserve">-0.02 (0.08)</w:t>
                  </w:r>
                </w:p>
              </w:tc>
              <w:tc>
                <w:tcPr/>
                <w:p>
                  <w:pPr>
                    <w:pStyle w:val="Compact"/>
                    <w:jc w:val="right"/>
                    <w:jc w:val="center"/>
                  </w:pPr>
                  <w:r>
                    <w:t xml:space="preserve">0.11 (0.07)</w:t>
                  </w:r>
                </w:p>
              </w:tc>
              <w:tc>
                <w:tcPr/>
                <w:p>
                  <w:pPr>
                    <w:pStyle w:val="Compact"/>
                    <w:jc w:val="right"/>
                    <w:jc w:val="center"/>
                  </w:pPr>
                  <w:r>
                    <w:t xml:space="preserve">0.230</w:t>
                  </w:r>
                </w:p>
              </w:tc>
            </w:tr>
          </w:tbl>
          <w:bookmarkEnd w:id="30"/>
          <w:p/>
        </w:tc>
      </w:tr>
    </w:tbl>
    <w:bookmarkEnd w:id="31"/>
    <w:bookmarkStart w:id="33" w:name="X5ab0ed16c26d329a9c54826ccd64063b175ff72"/>
    <w:p>
      <w:pPr>
        <w:pStyle w:val="Heading2"/>
      </w:pPr>
      <w:r>
        <w:t xml:space="preserve">Change in expert trust and COVID-19 attitudes</w:t>
      </w:r>
    </w:p>
    <w:p>
      <w:pPr>
        <w:pStyle w:val="FirstParagraph"/>
      </w:pPr>
      <w:hyperlink w:anchor="tbl-consequences">
        <w:r>
          <w:rPr>
            <w:rStyle w:val="Hyperlink"/>
          </w:rPr>
          <w:t xml:space="preserve">Table 5</w:t>
        </w:r>
      </w:hyperlink>
      <w:r>
        <w:t xml:space="preserve"> </w:t>
      </w:r>
      <w:r>
        <w:t xml:space="preserve">shows the association between change in expert trust and COVID-19 attitudes in November 2020, controlling for expert trust in 2017, the values and civic orientations, party ID, ideology and approval of Trump in 2017. Respondents whose expert trust increased more were less approving of Trump’s handling of COVID-19 (β = -0.20), more approving of their governor’s handling (β = 0.18) and more likely to worry that restrictions would be lifted too quickly (β = 0.31). Trump’s messaging on COVID-19 likely contributed to declines in expert trust, so the association with approval of Trump likely runs in both directions. I therefore interpret these results as associations rather than effects of change in expert trust.</w:t>
      </w:r>
    </w:p>
    <w:tbl>
      <w:tblPr>
        <w:tblStyle w:val="Table"/>
        <w:tblW w:type="pct" w:w="5000"/>
        <w:tblLayout w:type="fixed"/>
        <w:tblLook w:firstRow="0" w:lastRow="0" w:firstColumn="0" w:lastColumn="0" w:noHBand="0" w:noVBand="0" w:val="0000"/>
      </w:tblPr>
      <w:tblGrid>
        <w:gridCol w:w="7920"/>
      </w:tblGrid>
      <w:tr>
        <w:tc>
          <w:tcPr/>
          <w:bookmarkStart w:id="32" w:name="tbl-consequences"/>
          <w:p>
            <w:pPr>
              <w:jc w:val="center"/>
            </w:pPr>
            <w:pPr>
              <w:jc w:val="left"/>
              <w:spacing w:before="200"/>
              <w:pStyle w:val="ImageCaption"/>
            </w:pPr>
            <w:r>
              <w:t xml:space="preserve">Table 5: Latent change in expert trust (2017 to November 2020) and November 2020 COVID-19 attitudes. Standardized coefficients from a latent change score model with the three attitudes as ordinal outcomes, controlling for 2017 expert trust, core values, civic orientations, Block 2 covariates and 2017 approval of Trump. * p &lt; .05, ** p &lt; .01, *** p &lt; .001.</w:t>
            </w:r>
          </w:p>
          <w:tbl>
            <w:tblPr>
              <w:tblStyle w:val="Table"/>
              <w:tblW w:type="pct" w:w="5000"/>
              <w:tblLayout w:type="fixed"/>
              <w:tblLook w:firstRow="1" w:lastRow="0" w:firstColumn="0" w:lastColumn="0" w:noHBand="0" w:noVBand="0" w:val="0020"/>
            </w:tblPr>
            <w:tblGrid>
              <w:gridCol w:w="3762"/>
              <w:gridCol w:w="2277"/>
              <w:gridCol w:w="1881"/>
            </w:tblGrid>
            <w:tr>
              <w:trPr>
                <w:tblHeader w:val="on"/>
              </w:trPr>
              <w:tc>
                <w:tcPr/>
                <w:p>
                  <w:pPr>
                    <w:pStyle w:val="Compact"/>
                    <w:jc w:val="left"/>
                    <w:jc w:val="center"/>
                  </w:pPr>
                  <w:r>
                    <w:t xml:space="preserve">Outcome</w:t>
                  </w:r>
                </w:p>
              </w:tc>
              <w:tc>
                <w:tcPr/>
                <w:p>
                  <w:pPr>
                    <w:pStyle w:val="Compact"/>
                    <w:jc w:val="right"/>
                    <w:jc w:val="center"/>
                  </w:pPr>
                  <w:r>
                    <w:t xml:space="preserve">Change in expert trust</w:t>
                  </w:r>
                </w:p>
              </w:tc>
              <w:tc>
                <w:tcPr/>
                <w:p>
                  <w:pPr>
                    <w:pStyle w:val="Compact"/>
                    <w:jc w:val="right"/>
                    <w:jc w:val="center"/>
                  </w:pPr>
                  <w:r>
                    <w:t xml:space="preserve">Expert trust, 2017</w:t>
                  </w:r>
                </w:p>
              </w:tc>
            </w:tr>
            <w:tr>
              <w:tc>
                <w:tcPr/>
                <w:p>
                  <w:pPr>
                    <w:pStyle w:val="Compact"/>
                    <w:jc w:val="left"/>
                    <w:jc w:val="center"/>
                  </w:pPr>
                  <w:r>
                    <w:t xml:space="preserve">Approve of Trump’s COVID handling</w:t>
                  </w:r>
                </w:p>
              </w:tc>
              <w:tc>
                <w:tcPr/>
                <w:p>
                  <w:pPr>
                    <w:pStyle w:val="Compact"/>
                    <w:jc w:val="right"/>
                    <w:jc w:val="center"/>
                  </w:pPr>
                  <w:r>
                    <w:t xml:space="preserve">-0.20***</w:t>
                  </w:r>
                </w:p>
              </w:tc>
              <w:tc>
                <w:tcPr/>
                <w:p>
                  <w:pPr>
                    <w:pStyle w:val="Compact"/>
                    <w:jc w:val="right"/>
                    <w:jc w:val="center"/>
                  </w:pPr>
                  <w:r>
                    <w:t xml:space="preserve">-0.24***</w:t>
                  </w:r>
                </w:p>
              </w:tc>
            </w:tr>
            <w:tr>
              <w:tc>
                <w:tcPr/>
                <w:p>
                  <w:pPr>
                    <w:pStyle w:val="Compact"/>
                    <w:jc w:val="left"/>
                    <w:jc w:val="center"/>
                  </w:pPr>
                  <w:r>
                    <w:t xml:space="preserve">Approve of governor’s COVID handling</w:t>
                  </w:r>
                </w:p>
              </w:tc>
              <w:tc>
                <w:tcPr/>
                <w:p>
                  <w:pPr>
                    <w:pStyle w:val="Compact"/>
                    <w:jc w:val="right"/>
                    <w:jc w:val="center"/>
                  </w:pPr>
                  <w:r>
                    <w:t xml:space="preserve">0.18***</w:t>
                  </w:r>
                </w:p>
              </w:tc>
              <w:tc>
                <w:tcPr/>
                <w:p>
                  <w:pPr>
                    <w:pStyle w:val="Compact"/>
                    <w:jc w:val="right"/>
                    <w:jc w:val="center"/>
                  </w:pPr>
                  <w:r>
                    <w:t xml:space="preserve">-0.04</w:t>
                  </w:r>
                </w:p>
              </w:tc>
            </w:tr>
            <w:tr>
              <w:tc>
                <w:tcPr/>
                <w:p>
                  <w:pPr>
                    <w:pStyle w:val="Compact"/>
                    <w:jc w:val="left"/>
                    <w:jc w:val="center"/>
                  </w:pPr>
                  <w:r>
                    <w:t xml:space="preserve">Worry restrictions lifted too quickly</w:t>
                  </w:r>
                </w:p>
              </w:tc>
              <w:tc>
                <w:tcPr/>
                <w:p>
                  <w:pPr>
                    <w:pStyle w:val="Compact"/>
                    <w:jc w:val="right"/>
                    <w:jc w:val="center"/>
                  </w:pPr>
                  <w:r>
                    <w:t xml:space="preserve">0.31***</w:t>
                  </w:r>
                </w:p>
              </w:tc>
              <w:tc>
                <w:tcPr/>
                <w:p>
                  <w:pPr>
                    <w:pStyle w:val="Compact"/>
                    <w:jc w:val="right"/>
                    <w:jc w:val="center"/>
                  </w:pPr>
                  <w:r>
                    <w:t xml:space="preserve">0.17**</w:t>
                  </w:r>
                </w:p>
              </w:tc>
            </w:tr>
          </w:tbl>
          <w:bookmarkEnd w:id="32"/>
          <w:p/>
        </w:tc>
      </w:tr>
    </w:tbl>
    <w:bookmarkEnd w:id="33"/>
    <w:bookmarkStart w:id="35" w:name="robustness"/>
    <w:p>
      <w:pPr>
        <w:pStyle w:val="Heading2"/>
      </w:pPr>
      <w:r>
        <w:t xml:space="preserve">Robustness</w:t>
      </w:r>
    </w:p>
    <w:p>
      <w:pPr>
        <w:pStyle w:val="FirstParagraph"/>
      </w:pPr>
      <w:hyperlink w:anchor="tbl-robust">
        <w:r>
          <w:rPr>
            <w:rStyle w:val="Hyperlink"/>
          </w:rPr>
          <w:t xml:space="preserve">Table 6</w:t>
        </w:r>
      </w:hyperlink>
      <w:r>
        <w:t xml:space="preserve"> </w:t>
      </w:r>
      <w:r>
        <w:t xml:space="preserve">compares the latent change estimates across specifications. Egalitarianism remained the strongest predictor of change when party ID alone was added (0.22) and when both party ID and ideology were added (0.17). The religiosity coefficient was stable across specifications, and party ID was negatively associated with change with or without ideology in the model.</w:t>
      </w:r>
    </w:p>
    <w:tbl>
      <w:tblPr>
        <w:tblStyle w:val="Table"/>
        <w:tblW w:type="pct" w:w="5000"/>
        <w:tblLayout w:type="fixed"/>
        <w:tblLook w:firstRow="0" w:lastRow="0" w:firstColumn="0" w:lastColumn="0" w:noHBand="0" w:noVBand="0" w:val="0000"/>
      </w:tblPr>
      <w:tblGrid>
        <w:gridCol w:w="7920"/>
      </w:tblGrid>
      <w:tr>
        <w:tc>
          <w:tcPr/>
          <w:bookmarkStart w:id="34" w:name="tbl-robust"/>
          <w:p>
            <w:pPr>
              <w:jc w:val="center"/>
            </w:pPr>
            <w:pPr>
              <w:jc w:val="left"/>
              <w:spacing w:before="200"/>
              <w:pStyle w:val="ImageCaption"/>
            </w:pPr>
            <w:r>
              <w:t xml:space="preserve">Table 6: Latent change in expert trust per one standard deviation of each predictor (2017 standard deviation units), with and without party ID and ideology. * p &lt; .05, ** p &lt; .01, *** p &lt; .001.</w:t>
            </w:r>
          </w:p>
          <w:tbl>
            <w:tblPr>
              <w:tblStyle w:val="Table"/>
              <w:tblW w:type="pct" w:w="5000"/>
              <w:tblLayout w:type="fixed"/>
              <w:tblLook w:firstRow="1" w:lastRow="0" w:firstColumn="0" w:lastColumn="0" w:noHBand="0" w:noVBand="0" w:val="0020"/>
            </w:tblPr>
            <w:tblGrid>
              <w:gridCol w:w="3046"/>
              <w:gridCol w:w="696"/>
              <w:gridCol w:w="1740"/>
              <w:gridCol w:w="2436"/>
            </w:tblGrid>
            <w:tr>
              <w:trPr>
                <w:tblHeader w:val="on"/>
              </w:trPr>
              <w:tc>
                <w:tcPr/>
                <w:p>
                  <w:pPr>
                    <w:pStyle w:val="Compact"/>
                    <w:jc w:val="left"/>
                    <w:jc w:val="center"/>
                  </w:pPr>
                  <w:r>
                    <w:t xml:space="preserve">Predictor</w:t>
                  </w:r>
                </w:p>
              </w:tc>
              <w:tc>
                <w:tcPr/>
                <w:p>
                  <w:pPr>
                    <w:pStyle w:val="Compact"/>
                    <w:jc w:val="right"/>
                    <w:jc w:val="center"/>
                  </w:pPr>
                  <w:r>
                    <w:t xml:space="preserve">Block 1</w:t>
                  </w:r>
                </w:p>
              </w:tc>
              <w:tc>
                <w:tcPr/>
                <w:p>
                  <w:pPr>
                    <w:pStyle w:val="Compact"/>
                    <w:jc w:val="right"/>
                    <w:jc w:val="center"/>
                  </w:pPr>
                  <w:r>
                    <w:t xml:space="preserve">Block 2: party only</w:t>
                  </w:r>
                </w:p>
              </w:tc>
              <w:tc>
                <w:tcPr/>
                <w:p>
                  <w:pPr>
                    <w:pStyle w:val="Compact"/>
                    <w:jc w:val="right"/>
                    <w:jc w:val="center"/>
                  </w:pPr>
                  <w:r>
                    <w:t xml:space="preserve">Block 2: party and ideology</w:t>
                  </w:r>
                </w:p>
              </w:tc>
            </w:tr>
            <w:tr>
              <w:tc>
                <w:tcPr/>
                <w:p>
                  <w:pPr>
                    <w:pStyle w:val="Compact"/>
                    <w:jc w:val="left"/>
                    <w:jc w:val="center"/>
                  </w:pPr>
                  <w:r>
                    <w:t xml:space="preserve">Egalitarianism (vs. individualism)</w:t>
                  </w:r>
                </w:p>
              </w:tc>
              <w:tc>
                <w:tcPr/>
                <w:p>
                  <w:pPr>
                    <w:pStyle w:val="Compact"/>
                    <w:jc w:val="right"/>
                    <w:jc w:val="center"/>
                  </w:pPr>
                  <w:r>
                    <w:t xml:space="preserve">0.33***</w:t>
                  </w:r>
                </w:p>
              </w:tc>
              <w:tc>
                <w:tcPr/>
                <w:p>
                  <w:pPr>
                    <w:pStyle w:val="Compact"/>
                    <w:jc w:val="right"/>
                    <w:jc w:val="center"/>
                  </w:pPr>
                  <w:r>
                    <w:t xml:space="preserve">0.22***</w:t>
                  </w:r>
                </w:p>
              </w:tc>
              <w:tc>
                <w:tcPr/>
                <w:p>
                  <w:pPr>
                    <w:pStyle w:val="Compact"/>
                    <w:jc w:val="right"/>
                    <w:jc w:val="center"/>
                  </w:pPr>
                  <w:r>
                    <w:t xml:space="preserve">0.17**</w:t>
                  </w:r>
                </w:p>
              </w:tc>
            </w:tr>
            <w:tr>
              <w:tc>
                <w:tcPr/>
                <w:p>
                  <w:pPr>
                    <w:pStyle w:val="Compact"/>
                    <w:jc w:val="left"/>
                    <w:jc w:val="center"/>
                  </w:pPr>
                  <w:r>
                    <w:t xml:space="preserve">Authoritarianism</w:t>
                  </w:r>
                </w:p>
              </w:tc>
              <w:tc>
                <w:tcPr/>
                <w:p>
                  <w:pPr>
                    <w:pStyle w:val="Compact"/>
                    <w:jc w:val="right"/>
                    <w:jc w:val="center"/>
                  </w:pPr>
                  <w:r>
                    <w:t xml:space="preserve">-0.04</w:t>
                  </w:r>
                </w:p>
              </w:tc>
              <w:tc>
                <w:tcPr/>
                <w:p>
                  <w:pPr>
                    <w:pStyle w:val="Compact"/>
                    <w:jc w:val="right"/>
                    <w:jc w:val="center"/>
                  </w:pPr>
                  <w:r>
                    <w:t xml:space="preserve">-0.05</w:t>
                  </w:r>
                </w:p>
              </w:tc>
              <w:tc>
                <w:tcPr/>
                <w:p>
                  <w:pPr>
                    <w:pStyle w:val="Compact"/>
                    <w:jc w:val="right"/>
                    <w:jc w:val="center"/>
                  </w:pPr>
                  <w:r>
                    <w:t xml:space="preserve">-0.05</w:t>
                  </w:r>
                </w:p>
              </w:tc>
            </w:tr>
            <w:tr>
              <w:tc>
                <w:tcPr/>
                <w:p>
                  <w:pPr>
                    <w:pStyle w:val="Compact"/>
                    <w:jc w:val="left"/>
                    <w:jc w:val="center"/>
                  </w:pPr>
                  <w:r>
                    <w:t xml:space="preserve">Religiosity</w:t>
                  </w:r>
                </w:p>
              </w:tc>
              <w:tc>
                <w:tcPr/>
                <w:p>
                  <w:pPr>
                    <w:pStyle w:val="Compact"/>
                    <w:jc w:val="right"/>
                    <w:jc w:val="center"/>
                  </w:pPr>
                  <w:r>
                    <w:t xml:space="preserve">0.07*</w:t>
                  </w:r>
                </w:p>
              </w:tc>
              <w:tc>
                <w:tcPr/>
                <w:p>
                  <w:pPr>
                    <w:pStyle w:val="Compact"/>
                    <w:jc w:val="right"/>
                    <w:jc w:val="center"/>
                  </w:pPr>
                  <w:r>
                    <w:t xml:space="preserve">0.07*</w:t>
                  </w:r>
                </w:p>
              </w:tc>
              <w:tc>
                <w:tcPr/>
                <w:p>
                  <w:pPr>
                    <w:pStyle w:val="Compact"/>
                    <w:jc w:val="right"/>
                    <w:jc w:val="center"/>
                  </w:pPr>
                  <w:r>
                    <w:t xml:space="preserve">0.09**</w:t>
                  </w:r>
                </w:p>
              </w:tc>
            </w:tr>
            <w:tr>
              <w:tc>
                <w:tcPr/>
                <w:p>
                  <w:pPr>
                    <w:pStyle w:val="Compact"/>
                    <w:jc w:val="left"/>
                    <w:jc w:val="center"/>
                  </w:pPr>
                  <w:r>
                    <w:t xml:space="preserve">Social distrust</w:t>
                  </w:r>
                </w:p>
              </w:tc>
              <w:tc>
                <w:tcPr/>
                <w:p>
                  <w:pPr>
                    <w:pStyle w:val="Compact"/>
                    <w:jc w:val="right"/>
                    <w:jc w:val="center"/>
                  </w:pPr>
                  <w:r>
                    <w:t xml:space="preserve">-0.02</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Political inefficacy</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Party ID (Republican high)</w:t>
                  </w:r>
                </w:p>
              </w:tc>
              <w:tc>
                <w:tcPr/>
                <w:p>
                  <w:pPr>
                    <w:pStyle w:val="Compact"/>
                  </w:pPr>
                </w:p>
              </w:tc>
              <w:tc>
                <w:tcPr/>
                <w:p>
                  <w:pPr>
                    <w:pStyle w:val="Compact"/>
                    <w:jc w:val="right"/>
                    <w:jc w:val="center"/>
                  </w:pPr>
                  <w:r>
                    <w:t xml:space="preserve">-0.11***</w:t>
                  </w:r>
                </w:p>
              </w:tc>
              <w:tc>
                <w:tcPr/>
                <w:p>
                  <w:pPr>
                    <w:pStyle w:val="Compact"/>
                    <w:jc w:val="right"/>
                    <w:jc w:val="center"/>
                  </w:pPr>
                  <w:r>
                    <w:t xml:space="preserve">-0.09**</w:t>
                  </w:r>
                </w:p>
              </w:tc>
            </w:tr>
            <w:tr>
              <w:tc>
                <w:tcPr/>
                <w:p>
                  <w:pPr>
                    <w:pStyle w:val="Compact"/>
                    <w:jc w:val="left"/>
                    <w:jc w:val="center"/>
                  </w:pPr>
                  <w:r>
                    <w:t xml:space="preserve">Ideology (conservative high)</w:t>
                  </w:r>
                </w:p>
              </w:tc>
              <w:tc>
                <w:tcPr/>
                <w:p>
                  <w:pPr>
                    <w:pStyle w:val="Compact"/>
                  </w:pPr>
                </w:p>
              </w:tc>
              <w:tc>
                <w:tcPr/>
                <w:p>
                  <w:pPr>
                    <w:pStyle w:val="Compact"/>
                  </w:pPr>
                </w:p>
              </w:tc>
              <w:tc>
                <w:tcPr/>
                <w:p>
                  <w:pPr>
                    <w:pStyle w:val="Compact"/>
                    <w:jc w:val="right"/>
                    <w:jc w:val="center"/>
                  </w:pPr>
                  <w:r>
                    <w:t xml:space="preserve">-0.06</w:t>
                  </w:r>
                </w:p>
              </w:tc>
            </w:tr>
          </w:tbl>
          <w:bookmarkEnd w:id="34"/>
          <w:p/>
        </w:tc>
      </w:tr>
    </w:tbl>
    <w:bookmarkEnd w:id="35"/>
    <w:bookmarkEnd w:id="36"/>
    <w:bookmarkStart w:id="37" w:name="discussion"/>
    <w:p>
      <w:pPr>
        <w:pStyle w:val="Heading1"/>
      </w:pPr>
      <w:r>
        <w:t xml:space="preserve">Discussion</w:t>
      </w:r>
    </w:p>
    <w:bookmarkEnd w:id="37"/>
    <w:bookmarkStart w:id="38" w:name="conclusion"/>
    <w:p>
      <w:pPr>
        <w:pStyle w:val="Heading1"/>
      </w:pPr>
      <w:r>
        <w:t xml:space="preserve">Conclusion</w:t>
      </w:r>
    </w:p>
    <w:p>
      <w:r>
        <w:br w:type="page"/>
      </w:r>
    </w:p>
    <w:bookmarkEnd w:id="38"/>
    <w:bookmarkStart w:id="39" w:name="references"/>
    <w:p>
      <w:pPr>
        <w:pStyle w:val="Heading1"/>
      </w:pPr>
      <w:r>
        <w:t xml:space="preserve">References</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Values and Trust in Experts Before and After COVID-19</dc:title>
  <dc:creator>Matthew C. Nowlin</dc:creator>
  <cp:keywords/>
  <dcterms:created xsi:type="dcterms:W3CDTF">2026-10-01T22:24:06Z</dcterms:created>
  <dcterms:modified xsi:type="dcterms:W3CDTF">2026-10-01T22:24:06Z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