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0F7A83"/>
          <w:spacing w:val="60"/>
          <w:sz w:val="17"/>
          <w:szCs w:val="17"/>
        </w:rPr>
        <w:t xml:space="preserve">VIEWER PRODUCT</w:t>
      </w:r>
    </w:p>
    <w:p>
      <w:pPr>
        <w:pBdr>
          <w:bottom w:val="single" w:color="D9D7D1" w:sz="8" w:space="10"/>
        </w:pBdr>
        <w:spacing w:after="100"/>
      </w:pPr>
      <w:r>
        <w:rPr>
          <w:rFonts w:ascii="Calibri" w:cs="Calibri" w:eastAsia="Calibri" w:hAnsi="Calibri"/>
          <w:b/>
          <w:bCs/>
          <w:color w:val="1B2027"/>
          <w:sz w:val="52"/>
          <w:szCs w:val="52"/>
        </w:rPr>
        <w:t xml:space="preserve">Integration Guide</w:t>
      </w:r>
    </w:p>
    <w:p>
      <w:pPr>
        <w:spacing w:after="200" w:before="140"/>
      </w:pPr>
      <w:r>
        <w:rPr>
          <w:rFonts w:ascii="Calibri" w:cs="Calibri" w:eastAsia="Calibri" w:hAnsi="Calibri"/>
          <w:color w:val="5F6875"/>
          <w:sz w:val="23"/>
          <w:szCs w:val="23"/>
        </w:rPr>
        <w:t xml:space="preserve">For an engineer at a common data environment — Asite, Procore, Dalux, or your own — who has to make this viewer open your customers’ documents.</w:t>
      </w:r>
    </w:p>
    <w:p>
      <w:pPr>
        <w:pBdr>
          <w:left w:val="single" w:color="C4342A" w:sz="18" w:space="8"/>
        </w:pBdr>
        <w:shd w:fill="FBEDEC" w:color="auto" w:val="clear"/>
        <w:spacing w:after="180" w:before="140"/>
        <w:ind w:left="120" w:right="120"/>
      </w:pPr>
      <w:r>
        <w:rPr>
          <w:rFonts w:ascii="Calibri" w:cs="Calibri" w:eastAsia="Calibri" w:hAnsi="Calibri"/>
          <w:b/>
          <w:bCs/>
          <w:color w:val="1B2027"/>
          <w:sz w:val="21"/>
          <w:szCs w:val="21"/>
        </w:rPr>
        <w:t xml:space="preserve">Read section 1 before planning anything.</w:t>
      </w:r>
      <w:r>
        <w:rPr>
          <w:rFonts w:ascii="Calibri" w:cs="Calibri" w:eastAsia="Calibri" w:hAnsi="Calibri"/>
          <w:b w:val="false"/>
          <w:bCs w:val="false"/>
          <w:color w:val="1B2027"/>
          <w:sz w:val="21"/>
          <w:szCs w:val="21"/>
        </w:rPr>
        <w:t xml:space="preserve"> One of the four exchanges an integration needs is built. The other three are not, and this guide says so rather than describing an interface you would then fail to find.</w:t>
      </w:r>
    </w:p>
    <w:p>
      <w:pPr>
        <w:spacing w:after="140" w:line="276"/>
      </w:pPr>
      <w:r>
        <w:rPr>
          <w:rFonts w:ascii="Calibri" w:cs="Calibri" w:eastAsia="Calibri" w:hAnsi="Calibri"/>
          <w:b w:val="false"/>
          <w:bCs w:val="false"/>
          <w:color w:val="1B2027"/>
          <w:sz w:val="21"/>
          <w:szCs w:val="21"/>
        </w:rPr>
        <w:t xml:space="preserve">Companion document: </w:t>
      </w:r>
      <w:r>
        <w:rPr>
          <w:rFonts w:ascii="Calibri" w:cs="Calibri" w:eastAsia="Calibri" w:hAnsi="Calibri"/>
          <w:b/>
          <w:bCs/>
          <w:color w:val="1B2027"/>
          <w:sz w:val="21"/>
          <w:szCs w:val="21"/>
        </w:rPr>
        <w:t xml:space="preserve">Technical Architecture</w:t>
      </w:r>
      <w:r>
        <w:rPr>
          <w:rFonts w:ascii="Calibri" w:cs="Calibri" w:eastAsia="Calibri" w:hAnsi="Calibri"/>
          <w:b w:val="false"/>
          <w:bCs w:val="false"/>
          <w:color w:val="1B2027"/>
          <w:sz w:val="21"/>
          <w:szCs w:val="21"/>
        </w:rPr>
        <w:t xml:space="preserve">, for how the thing works internally.</w:t>
      </w:r>
    </w:p>
    <w:p>
      <w:r>
        <w:br w:type="page"/>
      </w:r>
    </w:p>
    <w:p>
      <w:pPr>
        <w:pStyle w:val="Heading1"/>
        <w:spacing w:after="160" w:before="360"/>
      </w:pPr>
      <w:r>
        <w:rPr>
          <w:rFonts w:ascii="Calibri" w:cs="Calibri" w:eastAsia="Calibri" w:hAnsi="Calibri"/>
          <w:b/>
          <w:bCs/>
          <w:color w:val="1B2027"/>
          <w:sz w:val="30"/>
          <w:szCs w:val="30"/>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60"/>
      </w:pPr>
      <w:r>
        <w:rPr>
          <w:rFonts w:ascii="Calibri" w:cs="Calibri" w:eastAsia="Calibri" w:hAnsi="Calibri"/>
          <w:b/>
          <w:bCs/>
          <w:color w:val="1B2027"/>
          <w:sz w:val="30"/>
          <w:szCs w:val="30"/>
        </w:rPr>
        <w:t xml:space="preserve">1.  What you can build against today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100"/>
        <w:gridCol w:w="3546"/>
        <w:gridCol w:w="3100"/>
      </w:tblGrid>
      <w:tr>
        <w:trPr>
          <w:tblHeader/>
        </w:trPr>
        <w:tc>
          <w:tcPr>
            <w:tcW w:type="dxa" w:w="31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HOST CDE</w:t>
            </w:r>
          </w:p>
        </w:tc>
        <w:tc>
          <w:tcPr>
            <w:tcW w:type="dxa" w:w="35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color w:val="5F6875"/>
                <w:sz w:val="19"/>
                <w:szCs w:val="19"/>
              </w:rPr>
              <w:t xml:space="preserve">EXCHANGE</w:t>
            </w:r>
          </w:p>
        </w:tc>
        <w:tc>
          <w:tcPr>
            <w:tcW w:type="dxa" w:w="31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color w:val="5F6875"/>
                <w:sz w:val="19"/>
                <w:szCs w:val="19"/>
              </w:rPr>
              <w:t xml:space="preserve">VIEWER PRODUCT</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Their document store</w:t>
            </w:r>
          </w:p>
          <w:p>
            <w:pPr>
              <w:spacing w:after="40" w:line="240"/>
            </w:pPr>
            <w:r>
              <w:rPr>
                <w:rFonts w:ascii="Calibri" w:cs="Calibri" w:eastAsia="Calibri" w:hAnsi="Calibri"/>
                <w:b w:val="false"/>
                <w:bCs w:val="false"/>
                <w:color w:val="1B2027"/>
                <w:sz w:val="19"/>
                <w:szCs w:val="19"/>
              </w:rPr>
              <w:t xml:space="preserve">SharePoint / S3 / Blob</w:t>
            </w:r>
          </w:p>
        </w:tc>
        <w:tc>
          <w:tcPr>
            <w:tcW w:type="dxa" w:w="35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color w:val="C4342A"/>
                <w:sz w:val="19"/>
                <w:szCs w:val="19"/>
              </w:rPr>
              <w:t xml:space="preserve">1.  mount the viewer</w:t>
            </w:r>
          </w:p>
          <w:p>
            <w:pPr>
              <w:spacing w:after="40" w:line="240"/>
              <w:jc w:val="center"/>
            </w:pPr>
            <w:r>
              <w:rPr>
                <w:rFonts w:ascii="Calibri" w:cs="Calibri" w:eastAsia="Calibri" w:hAnsi="Calibri"/>
                <w:b w:val="false"/>
                <w:bCs w:val="false"/>
                <w:color w:val="C4342A"/>
                <w:sz w:val="19"/>
                <w:szCs w:val="19"/>
              </w:rPr>
              <w:t xml:space="preserve">✗  NOT BUILT — no embed surface</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viewer-core</w:t>
            </w:r>
          </w:p>
          <w:p>
            <w:pPr>
              <w:spacing w:after="40" w:line="240"/>
            </w:pPr>
            <w:r>
              <w:rPr>
                <w:rFonts w:ascii="Calibri" w:cs="Calibri" w:eastAsia="Calibri" w:hAnsi="Calibri"/>
                <w:b w:val="false"/>
                <w:bCs w:val="false"/>
                <w:color w:val="1B2027"/>
                <w:sz w:val="19"/>
                <w:szCs w:val="19"/>
              </w:rPr>
              <w:t xml:space="preserve">6 components · 6 services</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Their identity provider</w:t>
            </w:r>
          </w:p>
          <w:p>
            <w:pPr>
              <w:spacing w:after="40" w:line="240"/>
            </w:pPr>
            <w:r>
              <w:rPr>
                <w:rFonts w:ascii="Calibri" w:cs="Calibri" w:eastAsia="Calibri" w:hAnsi="Calibri"/>
                <w:b w:val="false"/>
                <w:bCs w:val="false"/>
                <w:color w:val="1B2027"/>
                <w:sz w:val="19"/>
                <w:szCs w:val="19"/>
              </w:rPr>
              <w:t xml:space="preserve">Entra / Okta / own</w:t>
            </w:r>
          </w:p>
        </w:tc>
        <w:tc>
          <w:tcPr>
            <w:tcW w:type="dxa" w:w="35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color w:val="C4342A"/>
                <w:sz w:val="19"/>
                <w:szCs w:val="19"/>
              </w:rPr>
              <w:t xml:space="preserve">2.  identify the user</w:t>
            </w:r>
          </w:p>
          <w:p>
            <w:pPr>
              <w:spacing w:after="40" w:line="240"/>
              <w:jc w:val="center"/>
            </w:pPr>
            <w:r>
              <w:rPr>
                <w:rFonts w:ascii="Calibri" w:cs="Calibri" w:eastAsia="Calibri" w:hAnsi="Calibri"/>
                <w:b w:val="false"/>
                <w:bCs w:val="false"/>
                <w:color w:val="C4342A"/>
                <w:sz w:val="19"/>
                <w:szCs w:val="19"/>
              </w:rPr>
              <w:t xml:space="preserve">✗  NOT BUILT — no token exchange</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Conversion pipeline</w:t>
            </w:r>
          </w:p>
          <w:p>
            <w:pPr>
              <w:spacing w:after="40" w:line="240"/>
            </w:pPr>
            <w:r>
              <w:rPr>
                <w:rFonts w:ascii="Calibri" w:cs="Calibri" w:eastAsia="Calibri" w:hAnsi="Calibri"/>
                <w:b w:val="false"/>
                <w:bCs w:val="false"/>
                <w:color w:val="1B2027"/>
                <w:sz w:val="19"/>
                <w:szCs w:val="19"/>
              </w:rPr>
              <w:t xml:space="preserve">fetch → scan → render</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Their web interface</w:t>
            </w:r>
          </w:p>
          <w:p>
            <w:pPr>
              <w:spacing w:after="40" w:line="240"/>
            </w:pPr>
            <w:r>
              <w:rPr>
                <w:rFonts w:ascii="Calibri" w:cs="Calibri" w:eastAsia="Calibri" w:hAnsi="Calibri"/>
                <w:b w:val="false"/>
                <w:bCs w:val="false"/>
                <w:color w:val="1B2027"/>
                <w:sz w:val="19"/>
                <w:szCs w:val="19"/>
              </w:rPr>
              <w:t xml:space="preserve">where the viewer appears</w:t>
            </w:r>
          </w:p>
        </w:tc>
        <w:tc>
          <w:tcPr>
            <w:tcW w:type="dxa" w:w="35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3.  hand over the document  →</w:t>
            </w:r>
          </w:p>
          <w:p>
            <w:pPr>
              <w:spacing w:after="40" w:line="240"/>
              <w:jc w:val="center"/>
            </w:pPr>
            <w:r>
              <w:rPr>
                <w:rFonts w:ascii="Calibri" w:cs="Calibri" w:eastAsia="Calibri" w:hAnsi="Calibri"/>
                <w:b/>
                <w:bCs/>
                <w:color w:val="0F7A83"/>
                <w:sz w:val="19"/>
                <w:szCs w:val="19"/>
              </w:rPr>
              <w:t xml:space="preserve">✓  BUILT</w:t>
            </w:r>
          </w:p>
          <w:p>
            <w:pPr>
              <w:spacing w:after="40" w:line="240"/>
              <w:jc w:val="center"/>
            </w:pPr>
            <w:r>
              <w:rPr>
                <w:rFonts w:ascii="Calibri" w:cs="Calibri" w:eastAsia="Calibri" w:hAnsi="Calibri"/>
                <w:b/>
                <w:bCs/>
                <w:color w:val="0F7A83"/>
                <w:sz w:val="19"/>
                <w:szCs w:val="19"/>
              </w:rPr>
              <w:t xml:space="preserve">POST /api/conversions</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Markup store</w:t>
            </w:r>
          </w:p>
          <w:p>
            <w:pPr>
              <w:spacing w:after="40" w:line="240"/>
            </w:pPr>
            <w:r>
              <w:rPr>
                <w:rFonts w:ascii="Calibri" w:cs="Calibri" w:eastAsia="Calibri" w:hAnsi="Calibri"/>
                <w:b w:val="false"/>
                <w:bCs w:val="false"/>
                <w:color w:val="1B2027"/>
                <w:sz w:val="19"/>
                <w:szCs w:val="19"/>
              </w:rPr>
              <w:t xml:space="preserve">tied to our user table</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color w:val="1B2027"/>
                <w:sz w:val="19"/>
                <w:szCs w:val="19"/>
              </w:rPr>
              <w:t xml:space="preserve"/>
            </w:r>
          </w:p>
        </w:tc>
        <w:tc>
          <w:tcPr>
            <w:tcW w:type="dxa" w:w="35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color w:val="C4342A"/>
                <w:sz w:val="19"/>
                <w:szCs w:val="19"/>
              </w:rPr>
              <w:t xml:space="preserve">←  4.  return the markups</w:t>
            </w:r>
          </w:p>
          <w:p>
            <w:pPr>
              <w:spacing w:after="40" w:line="240"/>
              <w:jc w:val="center"/>
            </w:pPr>
            <w:r>
              <w:rPr>
                <w:rFonts w:ascii="Calibri" w:cs="Calibri" w:eastAsia="Calibri" w:hAnsi="Calibri"/>
                <w:b w:val="false"/>
                <w:bCs w:val="false"/>
                <w:color w:val="C4342A"/>
                <w:sz w:val="19"/>
                <w:szCs w:val="19"/>
              </w:rPr>
              <w:t xml:space="preserve">✗  NOT BUILT — 17 operations undecided</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color w:val="1B2027"/>
                <w:sz w:val="19"/>
                <w:szCs w:val="19"/>
              </w:rPr>
              <w:t xml:space="preserve"/>
            </w:r>
          </w:p>
        </w:tc>
      </w:tr>
    </w:tbl>
    <w:p>
      <w:pPr>
        <w:spacing w:after="240" w:before="80"/>
      </w:pPr>
      <w:r>
        <w:rPr>
          <w:rFonts w:ascii="Calibri" w:cs="Calibri" w:eastAsia="Calibri" w:hAnsi="Calibri"/>
          <w:b w:val="false"/>
          <w:bCs w:val="false"/>
          <w:color w:val="5F6875"/>
          <w:sz w:val="17"/>
          <w:szCs w:val="17"/>
        </w:rPr>
        <w:t xml:space="preserve">Figure 1 — Three of the four exchanges do not exist. The viewer can already take a document from anyone’s storage; it cannot yet be mounted, be told who is looking, or give anything back.</w:t>
      </w:r>
    </w:p>
    <w:p>
      <w:pPr>
        <w:spacing w:after="140" w:line="276"/>
      </w:pPr>
      <w:r>
        <w:rPr>
          <w:rFonts w:ascii="Calibri" w:cs="Calibri" w:eastAsia="Calibri" w:hAnsi="Calibri"/>
          <w:b w:val="false"/>
          <w:bCs w:val="false"/>
          <w:color w:val="1B2027"/>
          <w:sz w:val="21"/>
          <w:szCs w:val="21"/>
        </w:rPr>
        <w:t xml:space="preserve">So: you can convert and render your customers’ documents through our API today, inside your own interface, using your own rendering. Embedding our viewer is specified but not yet built — the contract is settled (section 5), the code is not.</w:t>
      </w:r>
    </w:p>
    <w:p>
      <w:pPr>
        <w:spacing w:after="140" w:line="276"/>
      </w:pPr>
      <w:r>
        <w:rPr>
          <w:rFonts w:ascii="Calibri" w:cs="Calibri" w:eastAsia="Calibri" w:hAnsi="Calibri"/>
          <w:b w:val="false"/>
          <w:bCs w:val="false"/>
          <w:color w:val="1B2027"/>
          <w:sz w:val="21"/>
          <w:szCs w:val="21"/>
        </w:rPr>
        <w:t xml:space="preserve">If that is enough — and for a “preview any file format” feature it often is — section 3 is a complete, working integration. If you need markup round-tripping, section 6 is what you are waiting for.</w:t>
      </w:r>
    </w:p>
    <w:p>
      <w:pPr>
        <w:pStyle w:val="Heading1"/>
        <w:spacing w:after="160" w:before="360"/>
      </w:pPr>
      <w:r>
        <w:rPr>
          <w:rFonts w:ascii="Calibri" w:cs="Calibri" w:eastAsia="Calibri" w:hAnsi="Calibri"/>
          <w:b/>
          <w:bCs/>
          <w:color w:val="1B2027"/>
          <w:sz w:val="30"/>
          <w:szCs w:val="30"/>
        </w:rPr>
        <w:t xml:space="preserve">2.  The shape of it</w:t>
      </w:r>
    </w:p>
    <w:p>
      <w:pPr>
        <w:spacing w:after="140" w:line="276"/>
      </w:pPr>
      <w:r>
        <w:rPr>
          <w:rFonts w:ascii="Calibri" w:cs="Calibri" w:eastAsia="Calibri" w:hAnsi="Calibri"/>
          <w:b w:val="false"/>
          <w:bCs w:val="false"/>
          <w:color w:val="1B2027"/>
          <w:sz w:val="21"/>
          <w:szCs w:val="21"/>
        </w:rPr>
        <w:t xml:space="preserve">Your CDE keeps its documents and its users. The viewer borrows a document briefly, converts it, and discards it.</w:t>
      </w:r>
    </w:p>
    <w:p>
      <w:pPr>
        <w:spacing w:after="140" w:line="276"/>
      </w:pPr>
      <w:r>
        <w:rPr>
          <w:rFonts w:ascii="Calibri" w:cs="Calibri" w:eastAsia="Calibri" w:hAnsi="Calibri"/>
          <w:b/>
          <w:bCs/>
          <w:color w:val="1B2027"/>
          <w:sz w:val="21"/>
          <w:szCs w:val="21"/>
        </w:rPr>
        <w:t xml:space="preserve">We never hold your credentials</w:t>
      </w:r>
      <w:r>
        <w:rPr>
          <w:rFonts w:ascii="Calibri" w:cs="Calibri" w:eastAsia="Calibri" w:hAnsi="Calibri"/>
          <w:b w:val="false"/>
          <w:bCs w:val="false"/>
          <w:color w:val="1B2027"/>
          <w:sz w:val="21"/>
          <w:szCs w:val="21"/>
        </w:rPr>
        <w:t xml:space="preserve"> and never learn which storage platform your link points at. SharePoint, S3, Azure Blob and GCS all reduce to “a URL that works for fifteen minutes”, which is the property that makes this portable across CDEs rather than a per-vendor connector.</w:t>
      </w:r>
    </w:p>
    <w:p>
      <w:pPr>
        <w:pStyle w:val="Heading1"/>
        <w:spacing w:after="160" w:before="360"/>
      </w:pPr>
      <w:r>
        <w:rPr>
          <w:rFonts w:ascii="Calibri" w:cs="Calibri" w:eastAsia="Calibri" w:hAnsi="Calibri"/>
          <w:b/>
          <w:bCs/>
          <w:color w:val="1B2027"/>
          <w:sz w:val="30"/>
          <w:szCs w:val="30"/>
        </w:rPr>
        <w:t xml:space="preserve">3.  Converting a document from your storage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00"/>
        <w:gridCol w:w="3200"/>
        <w:gridCol w:w="5846"/>
      </w:tblGrid>
      <w:tr>
        <w:trPr>
          <w:tblHeader/>
        </w:trPr>
        <w:tc>
          <w:tcPr>
            <w:tcW w:type="dxa" w:w="7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color w:val="1B2027"/>
                <w:sz w:val="19"/>
                <w:szCs w:val="19"/>
              </w:rPr>
              <w:t xml:space="preserve">#</w:t>
            </w:r>
          </w:p>
        </w:tc>
        <w:tc>
          <w:tcPr>
            <w:tcW w:type="dxa" w:w="32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STAGE</w:t>
            </w:r>
          </w:p>
        </w:tc>
        <w:tc>
          <w:tcPr>
            <w:tcW w:type="dxa" w:w="58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WHAT HAPPENS</w:t>
            </w:r>
          </w:p>
        </w:tc>
      </w:tr>
      <w:tr>
        <w:tc>
          <w:tcPr>
            <w:tcW w:type="dxa" w:w="7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1</w:t>
            </w:r>
          </w:p>
        </w:tc>
        <w:tc>
          <w:tcPr>
            <w:tcW w:type="dxa" w:w="32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Host mints a link</w:t>
            </w:r>
          </w:p>
        </w:tc>
        <w:tc>
          <w:tcPr>
            <w:tcW w:type="dxa" w:w="58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Short-lived, single-object, your credentials. We never hold them.</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2</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Submit</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POST /api/conversions { sourceUrl, targetFormat } — 202 + Location header, under one second</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3</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Destination policy</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Resolves the hostname and validates the ADDRESS, not the string. Refuses loopback, link-local, 169.254.169.254, RFC 1918, .internal. Redirects are NOT followed.</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4</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Bounded fetch</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Size cap enforced during the stream, not after. Connect and read timeouts.</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5</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Quarantine + scan</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Magic-byte type check, then ClamAV. Not referenced by the application until clean.</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6</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Convert</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Sandboxed, resource-limited, network-isolated worker, out of process.</w:t>
            </w:r>
          </w:p>
        </w:tc>
      </w:tr>
      <w:tr>
        <w:tc>
          <w:tcPr>
            <w:tcW w:type="dxa" w:w="7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7</w:t>
            </w:r>
          </w:p>
        </w:tc>
        <w:tc>
          <w:tcPr>
            <w:tcW w:type="dxa" w:w="32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Poll</w:t>
            </w:r>
          </w:p>
        </w:tc>
        <w:tc>
          <w:tcPr>
            <w:tcW w:type="dxa" w:w="58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GET /api/conversions/{jobId} — PENDING, RUNNING, then SUCCEEDED / FAILED / CANCELLED (terminal)</w:t>
            </w:r>
          </w:p>
        </w:tc>
      </w:tr>
      <w:tr>
        <w:tc>
          <w:tcPr>
            <w:tcW w:type="dxa" w:w="7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8</w:t>
            </w:r>
          </w:p>
        </w:tc>
        <w:tc>
          <w:tcPr>
            <w:tcW w:type="dxa" w:w="32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Collect</w:t>
            </w:r>
          </w:p>
        </w:tc>
        <w:tc>
          <w:tcPr>
            <w:tcW w:type="dxa" w:w="58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GET /api/conversions/{jobId}/content — streamed</w:t>
            </w:r>
          </w:p>
        </w:tc>
      </w:tr>
    </w:tbl>
    <w:p>
      <w:pPr>
        <w:spacing w:after="240" w:before="80"/>
      </w:pPr>
      <w:r>
        <w:rPr>
          <w:rFonts w:ascii="Calibri" w:cs="Calibri" w:eastAsia="Calibri" w:hAnsi="Calibri"/>
          <w:b w:val="false"/>
          <w:bCs w:val="false"/>
          <w:color w:val="5F6875"/>
          <w:sz w:val="17"/>
          <w:szCs w:val="17"/>
        </w:rPr>
        <w:t xml:space="preserve">Figure 2 — The one exchange that is built, end to end. Stages 1, 7 and 8 are yours; 2 to 6 are ours. Always send an Idempotency-Key so a timed-out retry returns the same job rather than converting twice.</w:t>
      </w:r>
    </w:p>
    <w:p>
      <w:pPr>
        <w:pStyle w:val="Heading2"/>
        <w:spacing w:after="140" w:before="280"/>
      </w:pPr>
      <w:r>
        <w:rPr>
          <w:rFonts w:ascii="Calibri" w:cs="Calibri" w:eastAsia="Calibri" w:hAnsi="Calibri"/>
          <w:b/>
          <w:bCs/>
          <w:color w:val="0F7A83"/>
          <w:sz w:val="25"/>
          <w:szCs w:val="25"/>
        </w:rPr>
        <w:t xml:space="preserve">3.1  Mint the link</w:t>
      </w:r>
    </w:p>
    <w:p>
      <w:pPr>
        <w:spacing w:after="140" w:line="276"/>
      </w:pPr>
      <w:r>
        <w:rPr>
          <w:rFonts w:ascii="Calibri" w:cs="Calibri" w:eastAsia="Calibri" w:hAnsi="Calibri"/>
          <w:b w:val="false"/>
          <w:bCs w:val="false"/>
          <w:color w:val="1B2027"/>
          <w:sz w:val="21"/>
          <w:szCs w:val="21"/>
        </w:rPr>
        <w:t xml:space="preserve">Generate a short-lived, single-object download URL with your own credentials — a Microsoft Graph download URL, an S3 presigned GET, an Azure blob SAS, a GCS signed URL. Keep the expiry tight; we fetch once, immediately.</w:t>
      </w:r>
    </w:p>
    <w:p>
      <w:pPr>
        <w:spacing w:after="140" w:line="276"/>
      </w:pPr>
      <w:r>
        <w:rPr>
          <w:rFonts w:ascii="Calibri" w:cs="Calibri" w:eastAsia="Calibri" w:hAnsi="Calibri"/>
          <w:b w:val="false"/>
          <w:bCs w:val="false"/>
          <w:color w:val="1B2027"/>
          <w:sz w:val="21"/>
          <w:szCs w:val="21"/>
        </w:rPr>
        <w:t xml:space="preserve">Do </w:t>
      </w:r>
      <w:r>
        <w:rPr>
          <w:rFonts w:ascii="Calibri" w:cs="Calibri" w:eastAsia="Calibri" w:hAnsi="Calibri"/>
          <w:b/>
          <w:bCs/>
          <w:color w:val="1B2027"/>
          <w:sz w:val="21"/>
          <w:szCs w:val="21"/>
        </w:rPr>
        <w:t xml:space="preserve">not</w:t>
      </w:r>
      <w:r>
        <w:rPr>
          <w:rFonts w:ascii="Calibri" w:cs="Calibri" w:eastAsia="Calibri" w:hAnsi="Calibri"/>
          <w:b w:val="false"/>
          <w:bCs w:val="false"/>
          <w:color w:val="1B2027"/>
          <w:sz w:val="21"/>
          <w:szCs w:val="21"/>
        </w:rPr>
        <w:t xml:space="preserve"> send us a permanent URL, a URL that needs a credential we would have to store, or a path on your internal network — section 3.5 explains what happens.</w:t>
      </w:r>
    </w:p>
    <w:p>
      <w:pPr>
        <w:pStyle w:val="Heading2"/>
        <w:spacing w:after="140" w:before="280"/>
      </w:pPr>
      <w:r>
        <w:rPr>
          <w:rFonts w:ascii="Calibri" w:cs="Calibri" w:eastAsia="Calibri" w:hAnsi="Calibri"/>
          <w:b/>
          <w:bCs/>
          <w:color w:val="0F7A83"/>
          <w:sz w:val="25"/>
          <w:szCs w:val="25"/>
        </w:rPr>
        <w:t xml:space="preserve">3.2  Submit</w:t>
      </w:r>
    </w:p>
    <w:p>
      <w:pPr>
        <w:pBdr>
          <w:left w:val="single" w:color="0F7A83" w:sz="12" w:space="6"/>
        </w:pBdr>
        <w:shd w:fill="F2F1EE" w:color="auto" w:val="clear"/>
        <w:spacing w:after="160" w:before="100"/>
      </w:pPr>
      <w:r>
        <w:rPr>
          <w:rFonts w:ascii="Consolas" w:cs="Consolas" w:eastAsia="Consolas" w:hAnsi="Consolas"/>
          <w:color w:val="1B2027"/>
          <w:sz w:val="17"/>
          <w:szCs w:val="17"/>
        </w:rPr>
        <w:t xml:space="preserve">curl -X POST https://viewer.example.com/api/conversions \</w:t>
      </w:r>
      <w:r>
        <w:br/>
      </w:r>
      <w:r>
        <w:rPr>
          <w:rFonts w:ascii="Consolas" w:cs="Consolas" w:eastAsia="Consolas" w:hAnsi="Consolas"/>
          <w:color w:val="1B2027"/>
          <w:sz w:val="17"/>
          <w:szCs w:val="17"/>
        </w:rPr>
        <w:t xml:space="preserve">  -H "Authorization: Bearer $TOKEN" \</w:t>
      </w:r>
      <w:r>
        <w:br/>
      </w:r>
      <w:r>
        <w:rPr>
          <w:rFonts w:ascii="Consolas" w:cs="Consolas" w:eastAsia="Consolas" w:hAnsi="Consolas"/>
          <w:color w:val="1B2027"/>
          <w:sz w:val="17"/>
          <w:szCs w:val="17"/>
        </w:rPr>
        <w:t xml:space="preserve">  -H "Content-Type: application/json" \</w:t>
      </w:r>
      <w:r>
        <w:br/>
      </w:r>
      <w:r>
        <w:rPr>
          <w:rFonts w:ascii="Consolas" w:cs="Consolas" w:eastAsia="Consolas" w:hAnsi="Consolas"/>
          <w:color w:val="1B2027"/>
          <w:sz w:val="17"/>
          <w:szCs w:val="17"/>
        </w:rPr>
        <w:t xml:space="preserve">  -H "Idempotency-Key: 8f14e45f-ceea-467a-9f3a-1d2c9b7e4a51" \</w:t>
      </w:r>
      <w:r>
        <w:br/>
      </w:r>
      <w:r>
        <w:rPr>
          <w:rFonts w:ascii="Consolas" w:cs="Consolas" w:eastAsia="Consolas" w:hAnsi="Consolas"/>
          <w:color w:val="1B2027"/>
          <w:sz w:val="17"/>
          <w:szCs w:val="17"/>
        </w:rPr>
        <w:t xml:space="preserve">  -d '{</w:t>
      </w:r>
      <w:r>
        <w:br/>
      </w:r>
      <w:r>
        <w:rPr>
          <w:rFonts w:ascii="Consolas" w:cs="Consolas" w:eastAsia="Consolas" w:hAnsi="Consolas"/>
          <w:color w:val="1B2027"/>
          <w:sz w:val="17"/>
          <w:szCs w:val="17"/>
        </w:rPr>
        <w:t xml:space="preserve">        "sourceUrl": "https://files.example.test/drawings/site-plan.dwg?token=synthetic",</w:t>
      </w:r>
      <w:r>
        <w:br/>
      </w:r>
      <w:r>
        <w:rPr>
          <w:rFonts w:ascii="Consolas" w:cs="Consolas" w:eastAsia="Consolas" w:hAnsi="Consolas"/>
          <w:color w:val="1B2027"/>
          <w:sz w:val="17"/>
          <w:szCs w:val="17"/>
        </w:rPr>
        <w:t xml:space="preserve">        "targetFormat": "PDF"</w:t>
      </w:r>
      <w:r>
        <w:br/>
      </w:r>
      <w:r>
        <w:rPr>
          <w:rFonts w:ascii="Consolas" w:cs="Consolas" w:eastAsia="Consolas" w:hAnsi="Consolas"/>
          <w:color w:val="1B2027"/>
          <w:sz w:val="17"/>
          <w:szCs w:val="17"/>
        </w:rPr>
        <w:t xml:space="preserve">      }'</w:t>
      </w:r>
      <w:r>
        <w:br/>
      </w:r>
      <w:r>
        <w:rPr>
          <w:rFonts w:ascii="Consolas" w:cs="Consolas" w:eastAsia="Consolas" w:hAnsi="Consolas"/>
          <w:color w:val="1B2027"/>
          <w:sz w:val="17"/>
          <w:szCs w:val="17"/>
        </w:rPr>
        <w:t xml:space="preserve"/>
      </w:r>
      <w:r>
        <w:br/>
      </w:r>
      <w:r>
        <w:rPr>
          <w:rFonts w:ascii="Consolas" w:cs="Consolas" w:eastAsia="Consolas" w:hAnsi="Consolas"/>
          <w:color w:val="1B2027"/>
          <w:sz w:val="17"/>
          <w:szCs w:val="17"/>
        </w:rPr>
        <w:t xml:space="preserve">202 Accepted</w:t>
      </w:r>
      <w:r>
        <w:br/>
      </w:r>
      <w:r>
        <w:rPr>
          <w:rFonts w:ascii="Consolas" w:cs="Consolas" w:eastAsia="Consolas" w:hAnsi="Consolas"/>
          <w:color w:val="1B2027"/>
          <w:sz w:val="17"/>
          <w:szCs w:val="17"/>
        </w:rPr>
        <w:t xml:space="preserve">{ "jobId": "3f2a71c4-9b0e-4a2d-8c11-5e7d9a1b3f40", "status": "PENDING",</w:t>
      </w:r>
      <w:r>
        <w:br/>
      </w:r>
      <w:r>
        <w:rPr>
          <w:rFonts w:ascii="Consolas" w:cs="Consolas" w:eastAsia="Consolas" w:hAnsi="Consolas"/>
          <w:color w:val="1B2027"/>
          <w:sz w:val="17"/>
          <w:szCs w:val="17"/>
        </w:rPr>
        <w:t xml:space="preserve">  "sourceHost": "files.example.test", "targetFormat": "PDF" }</w:t>
      </w:r>
    </w:p>
    <w:p>
      <w:pPr>
        <w:spacing w:after="140" w:line="276"/>
      </w:pPr>
      <w:r>
        <w:rPr>
          <w:rFonts w:ascii="Calibri" w:cs="Calibri" w:eastAsia="Calibri" w:hAnsi="Calibri"/>
          <w:b w:val="false"/>
          <w:bCs w:val="false"/>
          <w:color w:val="1B2027"/>
          <w:sz w:val="21"/>
          <w:szCs w:val="21"/>
        </w:rPr>
        <w:t xml:space="preserve">Both fields are required. </w:t>
      </w:r>
      <w:r>
        <w:rPr>
          <w:rFonts w:ascii="Consolas" w:cs="Consolas" w:eastAsia="Consolas" w:hAnsi="Consolas"/>
          <w:b w:val="false"/>
          <w:bCs w:val="false"/>
          <w:color w:val="1B2027"/>
          <w:sz w:val="19"/>
          <w:szCs w:val="19"/>
        </w:rPr>
        <w:t xml:space="preserve">targetFormat</w:t>
      </w:r>
      <w:r>
        <w:rPr>
          <w:rFonts w:ascii="Calibri" w:cs="Calibri" w:eastAsia="Calibri" w:hAnsi="Calibri"/>
          <w:b w:val="false"/>
          <w:bCs w:val="false"/>
          <w:color w:val="1B2027"/>
          <w:sz w:val="21"/>
          <w:szCs w:val="21"/>
        </w:rPr>
        <w:t xml:space="preserve"> accepts </w:t>
      </w:r>
      <w:r>
        <w:rPr>
          <w:rFonts w:ascii="Consolas" w:cs="Consolas" w:eastAsia="Consolas" w:hAnsi="Consolas"/>
          <w:b w:val="false"/>
          <w:bCs w:val="false"/>
          <w:color w:val="1B2027"/>
          <w:sz w:val="19"/>
          <w:szCs w:val="19"/>
        </w:rPr>
        <w:t xml:space="preserve">PDF</w:t>
      </w:r>
      <w:r>
        <w:rPr>
          <w:rFonts w:ascii="Calibri" w:cs="Calibri" w:eastAsia="Calibri" w:hAnsi="Calibri"/>
          <w:b w:val="false"/>
          <w:bCs w:val="false"/>
          <w:color w:val="1B2027"/>
          <w:sz w:val="21"/>
          <w:szCs w:val="21"/>
        </w:rPr>
        <w:t xml:space="preserve"> and nothing else today — it is in the contract so that adding a second output is additive rather than breaking. The </w:t>
      </w:r>
      <w:r>
        <w:rPr>
          <w:rFonts w:ascii="Consolas" w:cs="Consolas" w:eastAsia="Consolas" w:hAnsi="Consolas"/>
          <w:b w:val="false"/>
          <w:bCs w:val="false"/>
          <w:color w:val="1B2027"/>
          <w:sz w:val="19"/>
          <w:szCs w:val="19"/>
        </w:rPr>
        <w:t xml:space="preserve">jobId</w:t>
      </w:r>
      <w:r>
        <w:rPr>
          <w:rFonts w:ascii="Calibri" w:cs="Calibri" w:eastAsia="Calibri" w:hAnsi="Calibri"/>
          <w:b w:val="false"/>
          <w:bCs w:val="false"/>
          <w:color w:val="1B2027"/>
          <w:sz w:val="21"/>
          <w:szCs w:val="21"/>
        </w:rPr>
        <w:t xml:space="preserve"> is a UUID; use it verbatim on every other endpoint.</w:t>
      </w:r>
    </w:p>
    <w:p>
      <w:pPr>
        <w:spacing w:after="140" w:line="276"/>
      </w:pPr>
      <w:r>
        <w:rPr>
          <w:rFonts w:ascii="Calibri" w:cs="Calibri" w:eastAsia="Calibri" w:hAnsi="Calibri"/>
          <w:b w:val="false"/>
          <w:bCs w:val="false"/>
          <w:color w:val="1B2027"/>
          <w:sz w:val="21"/>
          <w:szCs w:val="21"/>
        </w:rPr>
        <w:t xml:space="preserve">Requires the </w:t>
      </w:r>
      <w:r>
        <w:rPr>
          <w:rFonts w:ascii="Consolas" w:cs="Consolas" w:eastAsia="Consolas" w:hAnsi="Consolas"/>
          <w:b w:val="false"/>
          <w:bCs w:val="false"/>
          <w:color w:val="1B2027"/>
          <w:sz w:val="19"/>
          <w:szCs w:val="19"/>
        </w:rPr>
        <w:t xml:space="preserve">document:convert</w:t>
      </w:r>
      <w:r>
        <w:rPr>
          <w:rFonts w:ascii="Calibri" w:cs="Calibri" w:eastAsia="Calibri" w:hAnsi="Calibri"/>
          <w:b w:val="false"/>
          <w:bCs w:val="false"/>
          <w:color w:val="1B2027"/>
          <w:sz w:val="21"/>
          <w:szCs w:val="21"/>
        </w:rPr>
        <w:t xml:space="preserve"> permission. Returns in under a second — the work has not happened yet, and that is the design: an endpoint either answers in under a second or hands back a job id in under a second.</w:t>
      </w:r>
    </w:p>
    <w:p>
      <w:pPr>
        <w:pBdr>
          <w:left w:val="single" w:color="C4342A" w:sz="18" w:space="8"/>
        </w:pBdr>
        <w:shd w:fill="FBEDEC" w:color="auto" w:val="clear"/>
        <w:spacing w:after="180" w:before="140"/>
        <w:ind w:left="120" w:right="120"/>
      </w:pPr>
      <w:r>
        <w:rPr>
          <w:rFonts w:ascii="Calibri" w:cs="Calibri" w:eastAsia="Calibri" w:hAnsi="Calibri"/>
          <w:b/>
          <w:bCs/>
          <w:color w:val="1B2027"/>
          <w:sz w:val="21"/>
          <w:szCs w:val="21"/>
        </w:rPr>
        <w:t xml:space="preserve">Always send </w:t>
      </w:r>
      <w:r>
        <w:rPr>
          <w:rFonts w:ascii="Consolas" w:cs="Consolas" w:eastAsia="Consolas" w:hAnsi="Consolas"/>
          <w:b/>
          <w:bCs/>
          <w:color w:val="1B2027"/>
          <w:sz w:val="19"/>
          <w:szCs w:val="19"/>
        </w:rPr>
        <w:t xml:space="preserve">Idempotency-Key</w:t>
      </w:r>
      <w:r>
        <w:rPr>
          <w:rFonts w:ascii="Calibri" w:cs="Calibri" w:eastAsia="Calibri" w:hAnsi="Calibri"/>
          <w:b/>
          <w:bCs/>
          <w:color w:val="1B2027"/>
          <w:sz w:val="21"/>
          <w:szCs w:val="21"/>
        </w:rPr>
        <w:t xml:space="preserve">.</w:t>
      </w:r>
      <w:r>
        <w:rPr>
          <w:rFonts w:ascii="Calibri" w:cs="Calibri" w:eastAsia="Calibri" w:hAnsi="Calibri"/>
          <w:b w:val="false"/>
          <w:bCs w:val="false"/>
          <w:color w:val="1B2027"/>
          <w:sz w:val="21"/>
          <w:szCs w:val="21"/>
        </w:rPr>
        <w:t xml:space="preserve"> A timed-out retry then returns the same job rather than converting the same file twice, and conversion is the expensive operation in this system.</w:t>
      </w:r>
    </w:p>
    <w:p>
      <w:pPr>
        <w:spacing w:after="140" w:line="276"/>
      </w:pPr>
      <w:r>
        <w:rPr>
          <w:rFonts w:ascii="Calibri" w:cs="Calibri" w:eastAsia="Calibri" w:hAnsi="Calibri"/>
          <w:b/>
          <w:bCs/>
          <w:color w:val="1B2027"/>
          <w:sz w:val="21"/>
          <w:szCs w:val="21"/>
        </w:rPr>
        <w:t xml:space="preserve">Note what is not echoed back: the URL.</w:t>
      </w:r>
      <w:r>
        <w:rPr>
          <w:rFonts w:ascii="Calibri" w:cs="Calibri" w:eastAsia="Calibri" w:hAnsi="Calibri"/>
          <w:b w:val="false"/>
          <w:bCs w:val="false"/>
          <w:color w:val="1B2027"/>
          <w:sz w:val="21"/>
          <w:szCs w:val="21"/>
        </w:rPr>
        <w:t xml:space="preserve"> Only its host is kept on the job record. The link is a bearer credential, so it is never written to the database, a log, or a message — which also means you cannot read it back to find out what you sent.</w:t>
      </w:r>
    </w:p>
    <w:p>
      <w:pPr>
        <w:pStyle w:val="Heading2"/>
        <w:spacing w:after="140" w:before="280"/>
      </w:pPr>
      <w:r>
        <w:rPr>
          <w:rFonts w:ascii="Calibri" w:cs="Calibri" w:eastAsia="Calibri" w:hAnsi="Calibri"/>
          <w:b/>
          <w:bCs/>
          <w:color w:val="0F7A83"/>
          <w:sz w:val="25"/>
          <w:szCs w:val="25"/>
        </w:rPr>
        <w:t xml:space="preserve">3.3  Poll</w:t>
      </w:r>
    </w:p>
    <w:p>
      <w:pPr>
        <w:pBdr>
          <w:left w:val="single" w:color="0F7A83" w:sz="12" w:space="6"/>
        </w:pBdr>
        <w:shd w:fill="F2F1EE" w:color="auto" w:val="clear"/>
        <w:spacing w:after="160" w:before="100"/>
      </w:pPr>
      <w:r>
        <w:rPr>
          <w:rFonts w:ascii="Consolas" w:cs="Consolas" w:eastAsia="Consolas" w:hAnsi="Consolas"/>
          <w:color w:val="1B2027"/>
          <w:sz w:val="17"/>
          <w:szCs w:val="17"/>
        </w:rPr>
        <w:t xml:space="preserve">curl https://viewer.example.com/api/conversions/3f2a71c4-9b0e-4a2d-8c11-5e7d9a1b3f40 \</w:t>
      </w:r>
      <w:r>
        <w:br/>
      </w:r>
      <w:r>
        <w:rPr>
          <w:rFonts w:ascii="Consolas" w:cs="Consolas" w:eastAsia="Consolas" w:hAnsi="Consolas"/>
          <w:color w:val="1B2027"/>
          <w:sz w:val="17"/>
          <w:szCs w:val="17"/>
        </w:rPr>
        <w:t xml:space="preserve">  -H "Authorization: Bearer $TOKEN"</w:t>
      </w:r>
      <w:r>
        <w:br/>
      </w:r>
      <w:r>
        <w:rPr>
          <w:rFonts w:ascii="Consolas" w:cs="Consolas" w:eastAsia="Consolas" w:hAnsi="Consolas"/>
          <w:color w:val="1B2027"/>
          <w:sz w:val="17"/>
          <w:szCs w:val="17"/>
        </w:rPr>
        <w:t xml:space="preserve"/>
      </w:r>
      <w:r>
        <w:br/>
      </w:r>
      <w:r>
        <w:rPr>
          <w:rFonts w:ascii="Consolas" w:cs="Consolas" w:eastAsia="Consolas" w:hAnsi="Consolas"/>
          <w:color w:val="1B2027"/>
          <w:sz w:val="17"/>
          <w:szCs w:val="17"/>
        </w:rPr>
        <w:t xml:space="preserve">200 OK</w:t>
      </w:r>
      <w:r>
        <w:br/>
      </w:r>
      <w:r>
        <w:rPr>
          <w:rFonts w:ascii="Consolas" w:cs="Consolas" w:eastAsia="Consolas" w:hAnsi="Consolas"/>
          <w:color w:val="1B2027"/>
          <w:sz w:val="17"/>
          <w:szCs w:val="17"/>
        </w:rPr>
        <w:t xml:space="preserve">{ "jobId": "3f2a71c4-9b0e-4a2d-8c11-5e7d9a1b3f40", "status": "SUCCEEDED",</w:t>
      </w:r>
      <w:r>
        <w:br/>
      </w:r>
      <w:r>
        <w:rPr>
          <w:rFonts w:ascii="Consolas" w:cs="Consolas" w:eastAsia="Consolas" w:hAnsi="Consolas"/>
          <w:color w:val="1B2027"/>
          <w:sz w:val="17"/>
          <w:szCs w:val="17"/>
        </w:rPr>
        <w:t xml:space="preserve">  "sourceHost": "files.example.test", "sourceFileName": "site-plan.dwg",</w:t>
      </w:r>
      <w:r>
        <w:br/>
      </w:r>
      <w:r>
        <w:rPr>
          <w:rFonts w:ascii="Consolas" w:cs="Consolas" w:eastAsia="Consolas" w:hAnsi="Consolas"/>
          <w:color w:val="1B2027"/>
          <w:sz w:val="17"/>
          <w:szCs w:val="17"/>
        </w:rPr>
        <w:t xml:space="preserve">  "targetFormat": "PDF", "resultSizeBytes": 486213, "failureReason": null }</w:t>
      </w:r>
    </w:p>
    <w:p>
      <w:pPr>
        <w:spacing w:after="140" w:line="276"/>
      </w:pPr>
      <w:r>
        <w:rPr>
          <w:rFonts w:ascii="Consolas" w:cs="Consolas" w:eastAsia="Consolas" w:hAnsi="Consolas"/>
          <w:b w:val="false"/>
          <w:bCs w:val="false"/>
          <w:color w:val="1B2027"/>
          <w:sz w:val="19"/>
          <w:szCs w:val="19"/>
        </w:rPr>
        <w:t xml:space="preserve">PENDING</w:t>
      </w:r>
      <w:r>
        <w:rPr>
          <w:rFonts w:ascii="Calibri" w:cs="Calibri" w:eastAsia="Calibri" w:hAnsi="Calibri"/>
          <w:b w:val="false"/>
          <w:bCs w:val="false"/>
          <w:color w:val="1B2027"/>
          <w:sz w:val="21"/>
          <w:szCs w:val="21"/>
        </w:rPr>
        <w:t xml:space="preserve"> while queued, </w:t>
      </w:r>
      <w:r>
        <w:rPr>
          <w:rFonts w:ascii="Consolas" w:cs="Consolas" w:eastAsia="Consolas" w:hAnsi="Consolas"/>
          <w:b w:val="false"/>
          <w:bCs w:val="false"/>
          <w:color w:val="1B2027"/>
          <w:sz w:val="19"/>
          <w:szCs w:val="19"/>
        </w:rPr>
        <w:t xml:space="preserve">RUNNING</w:t>
      </w:r>
      <w:r>
        <w:rPr>
          <w:rFonts w:ascii="Calibri" w:cs="Calibri" w:eastAsia="Calibri" w:hAnsi="Calibri"/>
          <w:b w:val="false"/>
          <w:bCs w:val="false"/>
          <w:color w:val="1B2027"/>
          <w:sz w:val="21"/>
          <w:szCs w:val="21"/>
        </w:rPr>
        <w:t xml:space="preserve"> while working, then one of </w:t>
      </w:r>
      <w:r>
        <w:rPr>
          <w:rFonts w:ascii="Consolas" w:cs="Consolas" w:eastAsia="Consolas" w:hAnsi="Consolas"/>
          <w:b w:val="false"/>
          <w:bCs w:val="false"/>
          <w:color w:val="1B2027"/>
          <w:sz w:val="19"/>
          <w:szCs w:val="19"/>
        </w:rPr>
        <w:t xml:space="preserve">SUCCEEDED</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FAILED</w:t>
      </w:r>
      <w:r>
        <w:rPr>
          <w:rFonts w:ascii="Calibri" w:cs="Calibri" w:eastAsia="Calibri" w:hAnsi="Calibri"/>
          <w:b w:val="false"/>
          <w:bCs w:val="false"/>
          <w:color w:val="1B2027"/>
          <w:sz w:val="21"/>
          <w:szCs w:val="21"/>
        </w:rPr>
        <w:t xml:space="preserve"> or </w:t>
      </w:r>
      <w:r>
        <w:rPr>
          <w:rFonts w:ascii="Consolas" w:cs="Consolas" w:eastAsia="Consolas" w:hAnsi="Consolas"/>
          <w:b w:val="false"/>
          <w:bCs w:val="false"/>
          <w:color w:val="1B2027"/>
          <w:sz w:val="19"/>
          <w:szCs w:val="19"/>
        </w:rPr>
        <w:t xml:space="preserve">CANCELLED</w:t>
      </w:r>
      <w:r>
        <w:rPr>
          <w:rFonts w:ascii="Calibri" w:cs="Calibri" w:eastAsia="Calibri" w:hAnsi="Calibri"/>
          <w:b w:val="false"/>
          <w:bCs w:val="false"/>
          <w:color w:val="1B2027"/>
          <w:sz w:val="21"/>
          <w:szCs w:val="21"/>
        </w:rPr>
        <w:t xml:space="preserve">. </w:t>
      </w:r>
      <w:r>
        <w:rPr>
          <w:rFonts w:ascii="Calibri" w:cs="Calibri" w:eastAsia="Calibri" w:hAnsi="Calibri"/>
          <w:b/>
          <w:bCs/>
          <w:color w:val="1B2027"/>
          <w:sz w:val="21"/>
          <w:szCs w:val="21"/>
        </w:rPr>
        <w:t xml:space="preserve">Those three are terminal and never change again</w:t>
      </w:r>
      <w:r>
        <w:rPr>
          <w:rFonts w:ascii="Calibri" w:cs="Calibri" w:eastAsia="Calibri" w:hAnsi="Calibri"/>
          <w:b w:val="false"/>
          <w:bCs w:val="false"/>
          <w:color w:val="1B2027"/>
          <w:sz w:val="21"/>
          <w:szCs w:val="21"/>
        </w:rPr>
        <w:t xml:space="preserve">, so stop polling when you see one. On </w:t>
      </w:r>
      <w:r>
        <w:rPr>
          <w:rFonts w:ascii="Consolas" w:cs="Consolas" w:eastAsia="Consolas" w:hAnsi="Consolas"/>
          <w:b w:val="false"/>
          <w:bCs w:val="false"/>
          <w:color w:val="1B2027"/>
          <w:sz w:val="19"/>
          <w:szCs w:val="19"/>
        </w:rPr>
        <w:t xml:space="preserve">FAILED</w:t>
      </w:r>
      <w:r>
        <w:rPr>
          <w:rFonts w:ascii="Calibri" w:cs="Calibri" w:eastAsia="Calibri" w:hAnsi="Calibri"/>
          <w:b w:val="false"/>
          <w:bCs w:val="false"/>
          <w:color w:val="1B2027"/>
          <w:sz w:val="21"/>
          <w:szCs w:val="21"/>
        </w:rPr>
        <w:t xml:space="preserve">, read </w:t>
      </w:r>
      <w:r>
        <w:rPr>
          <w:rFonts w:ascii="Consolas" w:cs="Consolas" w:eastAsia="Consolas" w:hAnsi="Consolas"/>
          <w:b w:val="false"/>
          <w:bCs w:val="false"/>
          <w:color w:val="1B2027"/>
          <w:sz w:val="19"/>
          <w:szCs w:val="19"/>
        </w:rPr>
        <w:t xml:space="preserve">failureReason</w:t>
      </w:r>
      <w:r>
        <w:rPr>
          <w:rFonts w:ascii="Calibri" w:cs="Calibri" w:eastAsia="Calibri" w:hAnsi="Calibri"/>
          <w:b w:val="false"/>
          <w:bCs w:val="false"/>
          <w:color w:val="1B2027"/>
          <w:sz w:val="21"/>
          <w:szCs w:val="21"/>
        </w:rPr>
        <w:t xml:space="preserve">.</w:t>
      </w:r>
    </w:p>
    <w:p>
      <w:pPr>
        <w:spacing w:after="140" w:line="276"/>
      </w:pPr>
      <w:r>
        <w:rPr>
          <w:rFonts w:ascii="Calibri" w:cs="Calibri" w:eastAsia="Calibri" w:hAnsi="Calibri"/>
          <w:b w:val="false"/>
          <w:bCs w:val="false"/>
          <w:color w:val="1B2027"/>
          <w:sz w:val="21"/>
          <w:szCs w:val="21"/>
        </w:rPr>
        <w:t xml:space="preserve">There is no progress percentage and no sub-stage — the job reports the state it is in, not how far through it is. Back off as you poll; a large IFC will not finish in the first second, and hammering the endpoint only costs you rate limit.</w:t>
      </w:r>
    </w:p>
    <w:p>
      <w:pPr>
        <w:pStyle w:val="Heading2"/>
        <w:spacing w:after="140" w:before="280"/>
      </w:pPr>
      <w:r>
        <w:rPr>
          <w:rFonts w:ascii="Calibri" w:cs="Calibri" w:eastAsia="Calibri" w:hAnsi="Calibri"/>
          <w:b/>
          <w:bCs/>
          <w:color w:val="0F7A83"/>
          <w:sz w:val="25"/>
          <w:szCs w:val="25"/>
        </w:rPr>
        <w:t xml:space="preserve">3.4  Collect</w:t>
      </w:r>
    </w:p>
    <w:p>
      <w:pPr>
        <w:pBdr>
          <w:left w:val="single" w:color="0F7A83" w:sz="12" w:space="6"/>
        </w:pBdr>
        <w:shd w:fill="F2F1EE" w:color="auto" w:val="clear"/>
        <w:spacing w:after="160" w:before="100"/>
      </w:pPr>
      <w:r>
        <w:rPr>
          <w:rFonts w:ascii="Consolas" w:cs="Consolas" w:eastAsia="Consolas" w:hAnsi="Consolas"/>
          <w:color w:val="1B2027"/>
          <w:sz w:val="17"/>
          <w:szCs w:val="17"/>
        </w:rPr>
        <w:t xml:space="preserve">curl https://viewer.example.com/api/conversions/3f2a71c4-9b0e-4a2d-8c11-5e7d9a1b3f40/content \</w:t>
      </w:r>
      <w:r>
        <w:br/>
      </w:r>
      <w:r>
        <w:rPr>
          <w:rFonts w:ascii="Consolas" w:cs="Consolas" w:eastAsia="Consolas" w:hAnsi="Consolas"/>
          <w:color w:val="1B2027"/>
          <w:sz w:val="17"/>
          <w:szCs w:val="17"/>
        </w:rPr>
        <w:t xml:space="preserve">  -H "Authorization: Bearer $TOKEN" -o converted.pdf</w:t>
      </w:r>
    </w:p>
    <w:p>
      <w:pPr>
        <w:spacing w:after="140" w:line="276"/>
      </w:pPr>
      <w:r>
        <w:rPr>
          <w:rFonts w:ascii="Calibri" w:cs="Calibri" w:eastAsia="Calibri" w:hAnsi="Calibri"/>
          <w:b w:val="false"/>
          <w:bCs w:val="false"/>
          <w:color w:val="1B2027"/>
          <w:sz w:val="21"/>
          <w:szCs w:val="21"/>
        </w:rPr>
        <w:t xml:space="preserve">Streamed, with </w:t>
      </w:r>
      <w:r>
        <w:rPr>
          <w:rFonts w:ascii="Consolas" w:cs="Consolas" w:eastAsia="Consolas" w:hAnsi="Consolas"/>
          <w:b w:val="false"/>
          <w:bCs w:val="false"/>
          <w:color w:val="1B2027"/>
          <w:sz w:val="19"/>
          <w:szCs w:val="19"/>
        </w:rPr>
        <w:t xml:space="preserve">Content-Disposition: attachment</w:t>
      </w:r>
      <w:r>
        <w:rPr>
          <w:rFonts w:ascii="Calibri" w:cs="Calibri" w:eastAsia="Calibri" w:hAnsi="Calibri"/>
          <w:b w:val="false"/>
          <w:bCs w:val="false"/>
          <w:color w:val="1B2027"/>
          <w:sz w:val="21"/>
          <w:szCs w:val="21"/>
        </w:rPr>
        <w:t xml:space="preserve"> and </w:t>
      </w:r>
      <w:r>
        <w:rPr>
          <w:rFonts w:ascii="Consolas" w:cs="Consolas" w:eastAsia="Consolas" w:hAnsi="Consolas"/>
          <w:b w:val="false"/>
          <w:bCs w:val="false"/>
          <w:color w:val="1B2027"/>
          <w:sz w:val="19"/>
          <w:szCs w:val="19"/>
        </w:rPr>
        <w:t xml:space="preserve">X-Content-Type-Options: nosniff</w:t>
      </w:r>
      <w:r>
        <w:rPr>
          <w:rFonts w:ascii="Calibri" w:cs="Calibri" w:eastAsia="Calibri" w:hAnsi="Calibri"/>
          <w:b w:val="false"/>
          <w:bCs w:val="false"/>
          <w:color w:val="1B2027"/>
          <w:sz w:val="21"/>
          <w:szCs w:val="21"/>
        </w:rPr>
        <w:t xml:space="preserve">. Cancel an in-flight job with </w:t>
      </w:r>
      <w:r>
        <w:rPr>
          <w:rFonts w:ascii="Consolas" w:cs="Consolas" w:eastAsia="Consolas" w:hAnsi="Consolas"/>
          <w:b w:val="false"/>
          <w:bCs w:val="false"/>
          <w:color w:val="1B2027"/>
          <w:sz w:val="19"/>
          <w:szCs w:val="19"/>
        </w:rPr>
        <w:t xml:space="preserve">DELETE /api/conversions/{jobId}</w:t>
      </w:r>
      <w:r>
        <w:rPr>
          <w:rFonts w:ascii="Calibri" w:cs="Calibri" w:eastAsia="Calibri" w:hAnsi="Calibri"/>
          <w:b w:val="false"/>
          <w:bCs w:val="false"/>
          <w:color w:val="1B2027"/>
          <w:sz w:val="21"/>
          <w:szCs w:val="21"/>
        </w:rPr>
        <w:t xml:space="preserve">.</w:t>
      </w:r>
    </w:p>
    <w:p>
      <w:pPr>
        <w:pStyle w:val="Heading2"/>
        <w:spacing w:after="140" w:before="280"/>
      </w:pPr>
      <w:r>
        <w:rPr>
          <w:rFonts w:ascii="Calibri" w:cs="Calibri" w:eastAsia="Calibri" w:hAnsi="Calibri"/>
          <w:b/>
          <w:bCs/>
          <w:color w:val="0F7A83"/>
          <w:sz w:val="25"/>
          <w:szCs w:val="25"/>
        </w:rPr>
        <w:t xml:space="preserve">3.5  What we refuse, and why</w:t>
      </w:r>
    </w:p>
    <w:p>
      <w:pPr>
        <w:spacing w:after="140" w:line="276"/>
      </w:pPr>
      <w:r>
        <w:rPr>
          <w:rFonts w:ascii="Calibri" w:cs="Calibri" w:eastAsia="Calibri" w:hAnsi="Calibri"/>
          <w:b w:val="false"/>
          <w:bCs w:val="false"/>
          <w:color w:val="1B2027"/>
          <w:sz w:val="21"/>
          <w:szCs w:val="21"/>
        </w:rPr>
        <w:t xml:space="preserve">Your URL is dereferenced by our server, which makes it an SSRF vector. Every submission goes through a destination policy that:</w:t>
      </w:r>
    </w:p>
    <w:p>
      <w:pPr>
        <w:pStyle w:val="ListParagraph"/>
        <w:numPr>
          <w:ilvl w:val="0"/>
          <w:numId w:val="2"/>
        </w:numPr>
        <w:spacing w:after="90" w:line="276"/>
      </w:pPr>
      <w:r>
        <w:rPr>
          <w:rFonts w:ascii="Calibri" w:cs="Calibri" w:eastAsia="Calibri" w:hAnsi="Calibri"/>
          <w:b/>
          <w:bCs/>
          <w:color w:val="1B2027"/>
          <w:sz w:val="21"/>
          <w:szCs w:val="21"/>
        </w:rPr>
        <w:t xml:space="preserve">resolves the hostname and validates the resolved address</w:t>
      </w:r>
      <w:r>
        <w:rPr>
          <w:rFonts w:ascii="Calibri" w:cs="Calibri" w:eastAsia="Calibri" w:hAnsi="Calibri"/>
          <w:b w:val="false"/>
          <w:bCs w:val="false"/>
          <w:color w:val="1B2027"/>
          <w:sz w:val="21"/>
          <w:szCs w:val="21"/>
        </w:rPr>
        <w:t xml:space="preserve">, not the string — a name that resolves to </w:t>
      </w:r>
      <w:r>
        <w:rPr>
          <w:rFonts w:ascii="Consolas" w:cs="Consolas" w:eastAsia="Consolas" w:hAnsi="Consolas"/>
          <w:b w:val="false"/>
          <w:bCs w:val="false"/>
          <w:color w:val="1B2027"/>
          <w:sz w:val="19"/>
          <w:szCs w:val="19"/>
        </w:rPr>
        <w:t xml:space="preserve">169.254.169.254</w:t>
      </w:r>
      <w:r>
        <w:rPr>
          <w:rFonts w:ascii="Calibri" w:cs="Calibri" w:eastAsia="Calibri" w:hAnsi="Calibri"/>
          <w:b w:val="false"/>
          <w:bCs w:val="false"/>
          <w:color w:val="1B2027"/>
          <w:sz w:val="21"/>
          <w:szCs w:val="21"/>
        </w:rPr>
        <w:t xml:space="preserve"> is refused however it is spelled;</w:t>
      </w:r>
    </w:p>
    <w:p>
      <w:pPr>
        <w:pStyle w:val="ListParagraph"/>
        <w:numPr>
          <w:ilvl w:val="0"/>
          <w:numId w:val="2"/>
        </w:numPr>
        <w:spacing w:after="90" w:line="276"/>
      </w:pPr>
      <w:r>
        <w:rPr>
          <w:rFonts w:ascii="Calibri" w:cs="Calibri" w:eastAsia="Calibri" w:hAnsi="Calibri"/>
          <w:b w:val="false"/>
          <w:bCs w:val="false"/>
          <w:color w:val="1B2027"/>
          <w:sz w:val="21"/>
          <w:szCs w:val="21"/>
        </w:rPr>
        <w:t xml:space="preserve">refuses loopback, link-local, RFC 1918 (</w:t>
      </w:r>
      <w:r>
        <w:rPr>
          <w:rFonts w:ascii="Consolas" w:cs="Consolas" w:eastAsia="Consolas" w:hAnsi="Consolas"/>
          <w:b w:val="false"/>
          <w:bCs w:val="false"/>
          <w:color w:val="1B2027"/>
          <w:sz w:val="19"/>
          <w:szCs w:val="19"/>
        </w:rPr>
        <w:t xml:space="preserve">10/8</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172.16/12</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192.168/16</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::1</w:t>
      </w:r>
      <w:r>
        <w:rPr>
          <w:rFonts w:ascii="Calibri" w:cs="Calibri" w:eastAsia="Calibri" w:hAnsi="Calibri"/>
          <w:b w:val="false"/>
          <w:bCs w:val="false"/>
          <w:color w:val="1B2027"/>
          <w:sz w:val="21"/>
          <w:szCs w:val="21"/>
        </w:rPr>
        <w:t xml:space="preserve">, and </w:t>
      </w:r>
      <w:r>
        <w:rPr>
          <w:rFonts w:ascii="Consolas" w:cs="Consolas" w:eastAsia="Consolas" w:hAnsi="Consolas"/>
          <w:b w:val="false"/>
          <w:bCs w:val="false"/>
          <w:color w:val="1B2027"/>
          <w:sz w:val="19"/>
          <w:szCs w:val="19"/>
        </w:rPr>
        <w:t xml:space="preserve">.internal</w:t>
      </w:r>
      <w:r>
        <w:rPr>
          <w:rFonts w:ascii="Calibri" w:cs="Calibri" w:eastAsia="Calibri" w:hAnsi="Calibri"/>
          <w:b w:val="false"/>
          <w:bCs w:val="false"/>
          <w:color w:val="1B2027"/>
          <w:sz w:val="21"/>
          <w:szCs w:val="21"/>
        </w:rPr>
        <w:t xml:space="preserve"> names;</w:t>
      </w:r>
    </w:p>
    <w:p>
      <w:pPr>
        <w:pStyle w:val="ListParagraph"/>
        <w:numPr>
          <w:ilvl w:val="0"/>
          <w:numId w:val="2"/>
        </w:numPr>
        <w:spacing w:after="90" w:line="276"/>
      </w:pPr>
      <w:r>
        <w:rPr>
          <w:rFonts w:ascii="Calibri" w:cs="Calibri" w:eastAsia="Calibri" w:hAnsi="Calibri"/>
          <w:b/>
          <w:bCs/>
          <w:color w:val="1B2027"/>
          <w:sz w:val="21"/>
          <w:szCs w:val="21"/>
        </w:rPr>
        <w:t xml:space="preserve">does not follow redirects at all.</w:t>
      </w:r>
      <w:r>
        <w:rPr>
          <w:rFonts w:ascii="Calibri" w:cs="Calibri" w:eastAsia="Calibri" w:hAnsi="Calibri"/>
          <w:b w:val="false"/>
          <w:bCs w:val="false"/>
          <w:color w:val="1B2027"/>
          <w:sz w:val="21"/>
          <w:szCs w:val="21"/>
        </w:rPr>
        <w:t xml:space="preserve"> Not “follows a capped number and re-validates” — none. Your link must resolve to the bytes directly;</w:t>
      </w:r>
    </w:p>
    <w:p>
      <w:pPr>
        <w:pStyle w:val="ListParagraph"/>
        <w:numPr>
          <w:ilvl w:val="0"/>
          <w:numId w:val="2"/>
        </w:numPr>
        <w:spacing w:after="90" w:line="276"/>
      </w:pPr>
      <w:r>
        <w:rPr>
          <w:rFonts w:ascii="Calibri" w:cs="Calibri" w:eastAsia="Calibri" w:hAnsi="Calibri"/>
          <w:b w:val="false"/>
          <w:bCs w:val="false"/>
          <w:color w:val="1B2027"/>
          <w:sz w:val="21"/>
          <w:szCs w:val="21"/>
        </w:rPr>
        <w:t xml:space="preserve">requires </w:t>
      </w:r>
      <w:r>
        <w:rPr>
          <w:rFonts w:ascii="Consolas" w:cs="Consolas" w:eastAsia="Consolas" w:hAnsi="Consolas"/>
          <w:b w:val="false"/>
          <w:bCs w:val="false"/>
          <w:color w:val="1B2027"/>
          <w:sz w:val="19"/>
          <w:szCs w:val="19"/>
        </w:rPr>
        <w:t xml:space="preserve">https</w:t>
      </w:r>
      <w:r>
        <w:rPr>
          <w:rFonts w:ascii="Calibri" w:cs="Calibri" w:eastAsia="Calibri" w:hAnsi="Calibri"/>
          <w:b w:val="false"/>
          <w:bCs w:val="false"/>
          <w:color w:val="1B2027"/>
          <w:sz w:val="21"/>
          <w:szCs w:val="21"/>
        </w:rPr>
        <w:t xml:space="preserve"> unless the deployment has explicitly opted out;</w:t>
      </w:r>
    </w:p>
    <w:p>
      <w:pPr>
        <w:pStyle w:val="ListParagraph"/>
        <w:numPr>
          <w:ilvl w:val="0"/>
          <w:numId w:val="2"/>
        </w:numPr>
        <w:spacing w:after="90" w:line="276"/>
      </w:pPr>
      <w:r>
        <w:rPr>
          <w:rFonts w:ascii="Calibri" w:cs="Calibri" w:eastAsia="Calibri" w:hAnsi="Calibri"/>
          <w:b w:val="false"/>
          <w:bCs w:val="false"/>
          <w:color w:val="1B2027"/>
          <w:sz w:val="21"/>
          <w:szCs w:val="21"/>
        </w:rPr>
        <w:t xml:space="preserve">enforces the deployment’s list of permitted storage hosts, where one is configured;</w:t>
      </w:r>
    </w:p>
    <w:p>
      <w:pPr>
        <w:pStyle w:val="ListParagraph"/>
        <w:numPr>
          <w:ilvl w:val="0"/>
          <w:numId w:val="2"/>
        </w:numPr>
        <w:spacing w:after="90" w:line="276"/>
      </w:pPr>
      <w:r>
        <w:rPr>
          <w:rFonts w:ascii="Calibri" w:cs="Calibri" w:eastAsia="Calibri" w:hAnsi="Calibri"/>
          <w:b w:val="false"/>
          <w:bCs w:val="false"/>
          <w:color w:val="1B2027"/>
          <w:sz w:val="21"/>
          <w:szCs w:val="21"/>
        </w:rPr>
        <w:t xml:space="preserve">bounds the fetch: size enforced </w:t>
      </w:r>
      <w:r>
        <w:rPr>
          <w:rFonts w:ascii="Calibri" w:cs="Calibri" w:eastAsia="Calibri" w:hAnsi="Calibri"/>
          <w:b/>
          <w:bCs/>
          <w:color w:val="1B2027"/>
          <w:sz w:val="21"/>
          <w:szCs w:val="21"/>
        </w:rPr>
        <w:t xml:space="preserve">during</w:t>
      </w:r>
      <w:r>
        <w:rPr>
          <w:rFonts w:ascii="Calibri" w:cs="Calibri" w:eastAsia="Calibri" w:hAnsi="Calibri"/>
          <w:b w:val="false"/>
          <w:bCs w:val="false"/>
          <w:color w:val="1B2027"/>
          <w:sz w:val="21"/>
          <w:szCs w:val="21"/>
        </w:rPr>
        <w:t xml:space="preserve"> the stream, plus connect and read timeouts.</w:t>
      </w:r>
    </w:p>
    <w:p>
      <w:pPr>
        <w:pBdr>
          <w:left w:val="single" w:color="C4342A" w:sz="18" w:space="8"/>
        </w:pBdr>
        <w:shd w:fill="FBEDEC" w:color="auto" w:val="clear"/>
        <w:spacing w:after="180" w:before="140"/>
        <w:ind w:left="120" w:right="120"/>
      </w:pPr>
      <w:r>
        <w:rPr>
          <w:rFonts w:ascii="Calibri" w:cs="Calibri" w:eastAsia="Calibri" w:hAnsi="Calibri"/>
          <w:b/>
          <w:bCs/>
          <w:color w:val="1B2027"/>
          <w:sz w:val="21"/>
          <w:szCs w:val="21"/>
        </w:rPr>
        <w:t xml:space="preserve">The redirect rule is the one most likely to break you.</w:t>
      </w:r>
      <w:r>
        <w:rPr>
          <w:rFonts w:ascii="Calibri" w:cs="Calibri" w:eastAsia="Calibri" w:hAnsi="Calibri"/>
          <w:b w:val="false"/>
          <w:bCs w:val="false"/>
          <w:color w:val="1B2027"/>
          <w:sz w:val="21"/>
          <w:szCs w:val="21"/>
        </w:rPr>
        <w:t xml:space="preserve"> Plenty of storage 302s to a CDN. Test the exact URL you intend to send, not a URL that eventually reaches the bytes. And ask which hosts are allow-listed on the deployment before you integrate.</w:t>
      </w:r>
    </w:p>
    <w:p>
      <w:pPr>
        <w:spacing w:after="140" w:line="276"/>
      </w:pPr>
      <w:r>
        <w:rPr>
          <w:rFonts w:ascii="Calibri" w:cs="Calibri" w:eastAsia="Calibri" w:hAnsi="Calibri"/>
          <w:b w:val="false"/>
          <w:bCs w:val="false"/>
          <w:color w:val="1B2027"/>
          <w:sz w:val="21"/>
          <w:szCs w:val="21"/>
        </w:rPr>
        <w:t xml:space="preserve">After the fetch: content type is decided by </w:t>
      </w:r>
      <w:r>
        <w:rPr>
          <w:rFonts w:ascii="Calibri" w:cs="Calibri" w:eastAsia="Calibri" w:hAnsi="Calibri"/>
          <w:b/>
          <w:bCs/>
          <w:color w:val="1B2027"/>
          <w:sz w:val="21"/>
          <w:szCs w:val="21"/>
        </w:rPr>
        <w:t xml:space="preserve">magic bytes</w:t>
      </w:r>
      <w:r>
        <w:rPr>
          <w:rFonts w:ascii="Calibri" w:cs="Calibri" w:eastAsia="Calibri" w:hAnsi="Calibri"/>
          <w:b w:val="false"/>
          <w:bCs w:val="false"/>
          <w:color w:val="1B2027"/>
          <w:sz w:val="21"/>
          <w:szCs w:val="21"/>
        </w:rPr>
        <w:t xml:space="preserve">, never by your </w:t>
      </w:r>
      <w:r>
        <w:rPr>
          <w:rFonts w:ascii="Consolas" w:cs="Consolas" w:eastAsia="Consolas" w:hAnsi="Consolas"/>
          <w:b w:val="false"/>
          <w:bCs w:val="false"/>
          <w:color w:val="1B2027"/>
          <w:sz w:val="19"/>
          <w:szCs w:val="19"/>
        </w:rPr>
        <w:t xml:space="preserve">Content-Type</w:t>
      </w:r>
      <w:r>
        <w:rPr>
          <w:rFonts w:ascii="Calibri" w:cs="Calibri" w:eastAsia="Calibri" w:hAnsi="Calibri"/>
          <w:b w:val="false"/>
          <w:bCs w:val="false"/>
          <w:color w:val="1B2027"/>
          <w:sz w:val="21"/>
          <w:szCs w:val="21"/>
        </w:rPr>
        <w:t xml:space="preserve"> header or the file extension; the file lands in a quarantine prefix; ClamAV scans it; only then does it convert. An infected file is deleted and the event audited.</w:t>
      </w:r>
    </w:p>
    <w:p>
      <w:pPr>
        <w:pStyle w:val="Heading2"/>
        <w:spacing w:after="140" w:before="280"/>
      </w:pPr>
      <w:r>
        <w:rPr>
          <w:rFonts w:ascii="Calibri" w:cs="Calibri" w:eastAsia="Calibri" w:hAnsi="Calibri"/>
          <w:b/>
          <w:bCs/>
          <w:color w:val="0F7A83"/>
          <w:sz w:val="25"/>
          <w:szCs w:val="25"/>
        </w:rPr>
        <w:t xml:space="preserve">3.6  Errors</w:t>
      </w:r>
    </w:p>
    <w:p>
      <w:pPr>
        <w:spacing w:after="140" w:line="276"/>
      </w:pPr>
      <w:r>
        <w:rPr>
          <w:rFonts w:ascii="Calibri" w:cs="Calibri" w:eastAsia="Calibri" w:hAnsi="Calibri"/>
          <w:b w:val="false"/>
          <w:bCs w:val="false"/>
          <w:color w:val="1B2027"/>
          <w:sz w:val="21"/>
          <w:szCs w:val="21"/>
        </w:rPr>
        <w:t xml:space="preserve">RFC 9457 problem documents throughout, with a </w:t>
      </w:r>
      <w:r>
        <w:rPr>
          <w:rFonts w:ascii="Consolas" w:cs="Consolas" w:eastAsia="Consolas" w:hAnsi="Consolas"/>
          <w:b w:val="false"/>
          <w:bCs w:val="false"/>
          <w:color w:val="1B2027"/>
          <w:sz w:val="19"/>
          <w:szCs w:val="19"/>
        </w:rPr>
        <w:t xml:space="preserve">traceId</w:t>
      </w:r>
      <w:r>
        <w:rPr>
          <w:rFonts w:ascii="Calibri" w:cs="Calibri" w:eastAsia="Calibri" w:hAnsi="Calibri"/>
          <w:b w:val="false"/>
          <w:bCs w:val="false"/>
          <w:color w:val="1B2027"/>
          <w:sz w:val="21"/>
          <w:szCs w:val="21"/>
        </w:rPr>
        <w:t xml:space="preserve"> you can quote.</w:t>
      </w:r>
    </w:p>
    <w:p>
      <w:pPr>
        <w:pBdr>
          <w:left w:val="single" w:color="0F7A83" w:sz="12" w:space="6"/>
        </w:pBdr>
        <w:shd w:fill="F2F1EE" w:color="auto" w:val="clear"/>
        <w:spacing w:after="160" w:before="100"/>
      </w:pPr>
      <w:r>
        <w:rPr>
          <w:rFonts w:ascii="Consolas" w:cs="Consolas" w:eastAsia="Consolas" w:hAnsi="Consolas"/>
          <w:color w:val="1B2027"/>
          <w:sz w:val="17"/>
          <w:szCs w:val="17"/>
        </w:rPr>
        <w:t xml:space="preserve">{ "type": "/problems/fetch-not-permitted",</w:t>
      </w:r>
      <w:r>
        <w:br/>
      </w:r>
      <w:r>
        <w:rPr>
          <w:rFonts w:ascii="Consolas" w:cs="Consolas" w:eastAsia="Consolas" w:hAnsi="Consolas"/>
          <w:color w:val="1B2027"/>
          <w:sz w:val="17"/>
          <w:szCs w:val="17"/>
        </w:rPr>
        <w:t xml:space="preserve">  "title": "Fetch not permitted",</w:t>
      </w:r>
      <w:r>
        <w:br/>
      </w:r>
      <w:r>
        <w:rPr>
          <w:rFonts w:ascii="Consolas" w:cs="Consolas" w:eastAsia="Consolas" w:hAnsi="Consolas"/>
          <w:color w:val="1B2027"/>
          <w:sz w:val="17"/>
          <w:szCs w:val="17"/>
        </w:rPr>
        <w:t xml:space="preserve">  "status": 422,</w:t>
      </w:r>
      <w:r>
        <w:br/>
      </w:r>
      <w:r>
        <w:rPr>
          <w:rFonts w:ascii="Consolas" w:cs="Consolas" w:eastAsia="Consolas" w:hAnsi="Consolas"/>
          <w:color w:val="1B2027"/>
          <w:sz w:val="17"/>
          <w:szCs w:val="17"/>
        </w:rPr>
        <w:t xml:space="preserve">  "detail": "The source URL resolves to a private address (10.0.4.19).",</w:t>
      </w:r>
      <w:r>
        <w:br/>
      </w:r>
      <w:r>
        <w:rPr>
          <w:rFonts w:ascii="Consolas" w:cs="Consolas" w:eastAsia="Consolas" w:hAnsi="Consolas"/>
          <w:color w:val="1B2027"/>
          <w:sz w:val="17"/>
          <w:szCs w:val="17"/>
        </w:rPr>
        <w:t xml:space="preserve">  "traceId": "4f8a1c2e9b7d6a5f3e2d1c0b9a8f7e6d" }</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800"/>
        <w:gridCol w:w="1200"/>
        <w:gridCol w:w="5746"/>
      </w:tblGrid>
      <w:tr>
        <w:trPr>
          <w:tblHeader/>
        </w:trPr>
        <w:tc>
          <w:tcPr>
            <w:tcW w:type="dxa" w:w="28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Endpoint</w:t>
            </w:r>
          </w:p>
        </w:tc>
        <w:tc>
          <w:tcPr>
            <w:tcW w:type="dxa" w:w="12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color w:val="1B2027"/>
                <w:sz w:val="19"/>
                <w:szCs w:val="19"/>
              </w:rPr>
              <w:t xml:space="preserve">Status</w:t>
            </w:r>
          </w:p>
        </w:tc>
        <w:tc>
          <w:tcPr>
            <w:tcW w:type="dxa" w:w="57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Means</w:t>
            </w:r>
          </w:p>
        </w:tc>
      </w:tr>
      <w:tr>
        <w:tc>
          <w:tcPr>
            <w:tcW w:type="dxa" w:w="28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POST /api/conversions</w:t>
            </w:r>
          </w:p>
        </w:tc>
        <w:tc>
          <w:tcPr>
            <w:tcW w:type="dxa" w:w="1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202</w:t>
            </w:r>
          </w:p>
        </w:tc>
        <w:tc>
          <w:tcPr>
            <w:tcW w:type="dxa" w:w="57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Accepted. The Location header names the job to poll — use it rather than assembling the URL yourself</w:t>
            </w:r>
          </w:p>
        </w:tc>
      </w:tr>
      <w:tr>
        <w:tc>
          <w:tcPr>
            <w:tcW w:type="dxa" w:w="28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color w:val="1B2027"/>
                <w:sz w:val="19"/>
                <w:szCs w:val="19"/>
              </w:rPr>
              <w:t xml:space="preserve"/>
            </w:r>
          </w:p>
        </w:tc>
        <w:tc>
          <w:tcPr>
            <w:tcW w:type="dxa" w:w="1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color w:val="C4342A"/>
                <w:sz w:val="19"/>
                <w:szCs w:val="19"/>
              </w:rPr>
              <w:t xml:space="preserve">422</w:t>
            </w:r>
          </w:p>
        </w:tc>
        <w:tc>
          <w:tcPr>
            <w:tcW w:type="dxa" w:w="57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The link may not be fetched: wrong scheme, an unlisted host, or a refused destination. This is the SSRF refusal — it is a 422, not a 403</w:t>
            </w:r>
          </w:p>
        </w:tc>
      </w:tr>
      <w:tr>
        <w:tc>
          <w:tcPr>
            <w:tcW w:type="dxa" w:w="28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color w:val="1B2027"/>
                <w:sz w:val="19"/>
                <w:szCs w:val="19"/>
              </w:rPr>
              <w:t xml:space="preserve"/>
            </w:r>
          </w:p>
        </w:tc>
        <w:tc>
          <w:tcPr>
            <w:tcW w:type="dxa" w:w="1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color w:val="C4342A"/>
                <w:sz w:val="19"/>
                <w:szCs w:val="19"/>
              </w:rPr>
              <w:t xml:space="preserve">429</w:t>
            </w:r>
          </w:p>
        </w:tc>
        <w:tc>
          <w:tcPr>
            <w:tcW w:type="dxa" w:w="57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The conversion queue is full, not a per-caller rate limit. Retry after the interval in Retry-After</w:t>
            </w:r>
          </w:p>
        </w:tc>
      </w:tr>
      <w:tr>
        <w:tc>
          <w:tcPr>
            <w:tcW w:type="dxa" w:w="28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GET /api/conversions/{jobId}</w:t>
            </w:r>
          </w:p>
        </w:tc>
        <w:tc>
          <w:tcPr>
            <w:tcW w:type="dxa" w:w="1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color w:val="C4342A"/>
                <w:sz w:val="19"/>
                <w:szCs w:val="19"/>
              </w:rPr>
              <w:t xml:space="preserve">404</w:t>
            </w:r>
          </w:p>
        </w:tc>
        <w:tc>
          <w:tcPr>
            <w:tcW w:type="dxa" w:w="57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No such job is visible to you. Note the wording: another tenant’s job is invisible, not forbidden</w:t>
            </w:r>
          </w:p>
        </w:tc>
      </w:tr>
      <w:tr>
        <w:tc>
          <w:tcPr>
            <w:tcW w:type="dxa" w:w="28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DELETE /api/conversions/{jobId}</w:t>
            </w:r>
          </w:p>
        </w:tc>
        <w:tc>
          <w:tcPr>
            <w:tcW w:type="dxa" w:w="1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color w:val="C4342A"/>
                <w:sz w:val="19"/>
                <w:szCs w:val="19"/>
              </w:rPr>
              <w:t xml:space="preserve">404</w:t>
            </w:r>
          </w:p>
        </w:tc>
        <w:tc>
          <w:tcPr>
            <w:tcW w:type="dxa" w:w="57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As above</w:t>
            </w:r>
          </w:p>
        </w:tc>
      </w:tr>
      <w:tr>
        <w:tc>
          <w:tcPr>
            <w:tcW w:type="dxa" w:w="28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GET /{jobId}/content</w:t>
            </w:r>
          </w:p>
        </w:tc>
        <w:tc>
          <w:tcPr>
            <w:tcW w:type="dxa" w:w="1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color w:val="C4342A"/>
                <w:sz w:val="19"/>
                <w:szCs w:val="19"/>
              </w:rPr>
              <w:t xml:space="preserve">409</w:t>
            </w:r>
          </w:p>
        </w:tc>
        <w:tc>
          <w:tcPr>
            <w:tcW w:type="dxa" w:w="57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The job has not succeeded, so there is nothing to download yet. Poll to a terminal state first</w:t>
            </w:r>
          </w:p>
        </w:tc>
      </w:tr>
    </w:tbl>
    <w:p>
      <w:pPr>
        <w:spacing w:after="240" w:before="80"/>
      </w:pPr>
      <w:r>
        <w:rPr>
          <w:rFonts w:ascii="Calibri" w:cs="Calibri" w:eastAsia="Calibri" w:hAnsi="Calibri"/>
          <w:b w:val="false"/>
          <w:bCs w:val="false"/>
          <w:color w:val="5F6875"/>
          <w:sz w:val="17"/>
          <w:szCs w:val="17"/>
        </w:rPr>
        <w:t xml:space="preserve">Table 1 — Status codes you will actually meet.</w:t>
      </w:r>
    </w:p>
    <w:p>
      <w:pPr>
        <w:spacing w:after="140" w:line="276"/>
      </w:pPr>
      <w:r>
        <w:rPr>
          <w:rFonts w:ascii="Calibri" w:cs="Calibri" w:eastAsia="Calibri" w:hAnsi="Calibri"/>
          <w:b w:val="false"/>
          <w:bCs w:val="false"/>
          <w:color w:val="1B2027"/>
          <w:sz w:val="21"/>
          <w:szCs w:val="21"/>
        </w:rPr>
        <w:t xml:space="preserve">Read </w:t>
      </w:r>
      <w:r>
        <w:rPr>
          <w:rFonts w:ascii="Consolas" w:cs="Consolas" w:eastAsia="Consolas" w:hAnsi="Consolas"/>
          <w:b w:val="false"/>
          <w:bCs w:val="false"/>
          <w:color w:val="1B2027"/>
          <w:sz w:val="19"/>
          <w:szCs w:val="19"/>
        </w:rPr>
        <w:t xml:space="preserve">detail</w:t>
      </w:r>
      <w:r>
        <w:rPr>
          <w:rFonts w:ascii="Calibri" w:cs="Calibri" w:eastAsia="Calibri" w:hAnsi="Calibri"/>
          <w:b w:val="false"/>
          <w:bCs w:val="false"/>
          <w:color w:val="1B2027"/>
          <w:sz w:val="21"/>
          <w:szCs w:val="21"/>
        </w:rPr>
        <w:t xml:space="preserve"> and show it. It is written to be shown. Quote </w:t>
      </w:r>
      <w:r>
        <w:rPr>
          <w:rFonts w:ascii="Consolas" w:cs="Consolas" w:eastAsia="Consolas" w:hAnsi="Consolas"/>
          <w:b w:val="false"/>
          <w:bCs w:val="false"/>
          <w:color w:val="1B2027"/>
          <w:sz w:val="19"/>
          <w:szCs w:val="19"/>
        </w:rPr>
        <w:t xml:space="preserve">traceId</w:t>
      </w:r>
      <w:r>
        <w:rPr>
          <w:rFonts w:ascii="Calibri" w:cs="Calibri" w:eastAsia="Calibri" w:hAnsi="Calibri"/>
          <w:b w:val="false"/>
          <w:bCs w:val="false"/>
          <w:color w:val="1B2027"/>
          <w:sz w:val="21"/>
          <w:szCs w:val="21"/>
        </w:rPr>
        <w:t xml:space="preserve"> to support — it is the only thing that ties your failure to our logs.</w:t>
      </w:r>
    </w:p>
    <w:p>
      <w:pPr>
        <w:pStyle w:val="Heading1"/>
        <w:spacing w:after="160" w:before="360"/>
      </w:pPr>
      <w:r>
        <w:rPr>
          <w:rFonts w:ascii="Calibri" w:cs="Calibri" w:eastAsia="Calibri" w:hAnsi="Calibri"/>
          <w:b/>
          <w:bCs/>
          <w:color w:val="1B2027"/>
          <w:sz w:val="30"/>
          <w:szCs w:val="30"/>
        </w:rPr>
        <w:t xml:space="preserve">4.  Formats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900"/>
        <w:gridCol w:w="3646"/>
      </w:tblGrid>
      <w:tr>
        <w:trPr>
          <w:tblHeader/>
        </w:trPr>
        <w:tc>
          <w:tcPr>
            <w:tcW w:type="dxa" w:w="15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Input</w:t>
            </w:r>
          </w:p>
        </w:tc>
        <w:tc>
          <w:tcPr>
            <w:tcW w:type="dxa" w:w="17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Status</w:t>
            </w:r>
          </w:p>
        </w:tc>
        <w:tc>
          <w:tcPr>
            <w:tcW w:type="dxa" w:w="29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Route</w:t>
            </w:r>
          </w:p>
        </w:tc>
        <w:tc>
          <w:tcPr>
            <w:tcW w:type="dxa" w:w="36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Notes</w:t>
            </w:r>
          </w:p>
        </w:tc>
      </w:tr>
      <w:tr>
        <w:tc>
          <w:tcPr>
            <w:tcW w:type="dxa" w:w="1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PDF</w:t>
            </w:r>
          </w:p>
        </w:tc>
        <w:tc>
          <w:tcPr>
            <w:tcW w:type="dxa" w:w="1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color w:val="0F7A83"/>
                <w:sz w:val="19"/>
                <w:szCs w:val="19"/>
              </w:rPr>
              <w:t xml:space="preserve">Supported</w:t>
            </w:r>
          </w:p>
        </w:tc>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Passed through; pdfjs-dist</w:t>
            </w:r>
          </w:p>
        </w:tc>
        <w:tc>
          <w:tcPr>
            <w:tcW w:type="dxa" w:w="3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OCR available for scanned pages, adds an invisible text layer</w:t>
            </w:r>
          </w:p>
        </w:tc>
      </w:tr>
      <w:tr>
        <w:tc>
          <w:tcPr>
            <w:tcW w:type="dxa" w:w="1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DXF</w:t>
            </w:r>
          </w:p>
        </w:tc>
        <w:tc>
          <w:tcPr>
            <w:tcW w:type="dxa" w:w="1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color w:val="0F7A83"/>
                <w:sz w:val="19"/>
                <w:szCs w:val="19"/>
              </w:rPr>
              <w:t xml:space="preserve">Supported</w:t>
            </w:r>
          </w:p>
        </w:tc>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ezdxf → SVG or PDF</w:t>
            </w:r>
          </w:p>
        </w:tc>
        <w:tc>
          <w:tcPr>
            <w:tcW w:type="dxa" w:w="3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Text is real and searchable in both</w:t>
            </w:r>
          </w:p>
        </w:tc>
      </w:tr>
      <w:tr>
        <w:tc>
          <w:tcPr>
            <w:tcW w:type="dxa" w:w="1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Office</w:t>
            </w:r>
          </w:p>
        </w:tc>
        <w:tc>
          <w:tcPr>
            <w:tcW w:type="dxa" w:w="1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color w:val="0F7A83"/>
                <w:sz w:val="19"/>
                <w:szCs w:val="19"/>
              </w:rPr>
              <w:t xml:space="preserve">Supported</w:t>
            </w:r>
          </w:p>
        </w:tc>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LibreOffice → PDF</w:t>
            </w:r>
          </w:p>
        </w:tc>
        <w:tc>
          <w:tcPr>
            <w:tcW w:type="dxa" w:w="3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docx, xlsx, pptx</w:t>
            </w:r>
          </w:p>
        </w:tc>
      </w:tr>
      <w:tr>
        <w:tc>
          <w:tcPr>
            <w:tcW w:type="dxa" w:w="1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IFC</w:t>
            </w:r>
          </w:p>
        </w:tc>
        <w:tc>
          <w:tcPr>
            <w:tcW w:type="dxa" w:w="1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color w:val="0F7A83"/>
                <w:sz w:val="19"/>
                <w:szCs w:val="19"/>
              </w:rPr>
              <w:t xml:space="preserve">Supported</w:t>
            </w:r>
          </w:p>
        </w:tc>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Geometry + hierarchy tree</w:t>
            </w:r>
          </w:p>
        </w:tc>
        <w:tc>
          <w:tcPr>
            <w:tcW w:type="dxa" w:w="3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Tree is the primary interface, not a fallback</w:t>
            </w:r>
          </w:p>
        </w:tc>
      </w:tr>
      <w:tr>
        <w:tc>
          <w:tcPr>
            <w:tcW w:type="dxa" w:w="1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DWG</w:t>
            </w:r>
          </w:p>
        </w:tc>
        <w:tc>
          <w:tcPr>
            <w:tcW w:type="dxa" w:w="1700"/>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bCs/>
                <w:color w:val="C4342A"/>
                <w:sz w:val="19"/>
                <w:szCs w:val="19"/>
              </w:rPr>
              <w:t xml:space="preserve">Hosted only</w:t>
            </w:r>
          </w:p>
        </w:tc>
        <w:tc>
          <w:tcPr>
            <w:tcW w:type="dxa" w:w="2900"/>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 DXF, then as above</w:t>
            </w:r>
          </w:p>
        </w:tc>
        <w:tc>
          <w:tcPr>
            <w:tcW w:type="dxa" w:w="36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Works in our hosted service. NOT shippable on-premises — see below</w:t>
            </w:r>
          </w:p>
        </w:tc>
      </w:tr>
      <w:tr>
        <w:tc>
          <w:tcPr>
            <w:tcW w:type="dxa" w:w="1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DWF</w:t>
            </w:r>
          </w:p>
        </w:tc>
        <w:tc>
          <w:tcPr>
            <w:tcW w:type="dxa" w:w="1700"/>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bCs/>
                <w:color w:val="C4342A"/>
                <w:sz w:val="19"/>
                <w:szCs w:val="19"/>
              </w:rPr>
              <w:t xml:space="preserve">Not supported</w:t>
            </w:r>
          </w:p>
        </w:tc>
        <w:tc>
          <w:tcPr>
            <w:tcW w:type="dxa" w:w="2900"/>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w:t>
            </w:r>
          </w:p>
        </w:tc>
        <w:tc>
          <w:tcPr>
            <w:tcW w:type="dxa" w:w="36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No route exists. Autodesk’s Design Web Format is not read by any component of the pipeline</w:t>
            </w:r>
          </w:p>
        </w:tc>
      </w:tr>
      <w:tr>
        <w:tc>
          <w:tcPr>
            <w:tcW w:type="dxa" w:w="1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RVT / RFA</w:t>
            </w:r>
          </w:p>
        </w:tc>
        <w:tc>
          <w:tcPr>
            <w:tcW w:type="dxa" w:w="1700"/>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bCs/>
                <w:color w:val="C4342A"/>
                <w:sz w:val="19"/>
                <w:szCs w:val="19"/>
              </w:rPr>
              <w:t xml:space="preserve">Not supported</w:t>
            </w:r>
          </w:p>
        </w:tc>
        <w:tc>
          <w:tcPr>
            <w:tcW w:type="dxa" w:w="2900"/>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Detected and refused</w:t>
            </w:r>
          </w:p>
        </w:tc>
        <w:tc>
          <w:tcPr>
            <w:tcW w:type="dxa" w:w="36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Recognised by OLE2 magic bytes and rejected with REVIT_BINARY. Identified only so the error is clean</w:t>
            </w:r>
          </w:p>
        </w:tc>
      </w:tr>
    </w:tbl>
    <w:p>
      <w:pPr>
        <w:spacing w:after="240" w:before="80"/>
      </w:pPr>
      <w:r>
        <w:rPr>
          <w:rFonts w:ascii="Calibri" w:cs="Calibri" w:eastAsia="Calibri" w:hAnsi="Calibri"/>
          <w:b w:val="false"/>
          <w:bCs w:val="false"/>
          <w:color w:val="5F6875"/>
          <w:sz w:val="17"/>
          <w:szCs w:val="17"/>
        </w:rPr>
        <w:t xml:space="preserve">Table 2 — What the pipeline actually accepts. Four supported, one hosted-only, two not supported at all.</w:t>
      </w:r>
    </w:p>
    <w:p>
      <w:pPr>
        <w:pBdr>
          <w:left w:val="single" w:color="C4342A" w:sz="18" w:space="8"/>
        </w:pBdr>
        <w:shd w:fill="FBEDEC" w:color="auto" w:val="clear"/>
        <w:spacing w:after="180" w:before="140"/>
        <w:ind w:left="120" w:right="120"/>
      </w:pPr>
      <w:r>
        <w:rPr>
          <w:rFonts w:ascii="Calibri" w:cs="Calibri" w:eastAsia="Calibri" w:hAnsi="Calibri"/>
          <w:b/>
          <w:bCs/>
          <w:color w:val="1B2027"/>
          <w:sz w:val="21"/>
          <w:szCs w:val="21"/>
        </w:rPr>
        <w:t xml:space="preserve">DWG has no clean licensing path for a distributed product.</w:t>
      </w:r>
      <w:r>
        <w:rPr>
          <w:rFonts w:ascii="Calibri" w:cs="Calibri" w:eastAsia="Calibri" w:hAnsi="Calibri"/>
          <w:b w:val="false"/>
          <w:bCs w:val="false"/>
          <w:color w:val="1B2027"/>
          <w:sz w:val="21"/>
          <w:szCs w:val="21"/>
        </w:rPr>
        <w:t xml:space="preserve"> The two converters have opposite problems: LibreDWG is GPL-3.0 and ships in our image (so distribution owes corresponding source we do not currently provide), and the ODA File Converter cannot be redistributed at all. In our hosted service DWG works. For an on-premises install, </w:t>
      </w:r>
      <w:r>
        <w:rPr>
          <w:rFonts w:ascii="Calibri" w:cs="Calibri" w:eastAsia="Calibri" w:hAnsi="Calibri"/>
          <w:b/>
          <w:bCs/>
          <w:color w:val="1B2027"/>
          <w:sz w:val="21"/>
          <w:szCs w:val="21"/>
        </w:rPr>
        <w:t xml:space="preserve">assume DWG is unavailable unless your contract says otherwise</w:t>
      </w:r>
      <w:r>
        <w:rPr>
          <w:rFonts w:ascii="Calibri" w:cs="Calibri" w:eastAsia="Calibri" w:hAnsi="Calibri"/>
          <w:b w:val="false"/>
          <w:bCs w:val="false"/>
          <w:color w:val="1B2027"/>
          <w:sz w:val="21"/>
          <w:szCs w:val="21"/>
        </w:rPr>
        <w:t xml:space="preserve"> and you have obtained an ODA licence yourself. Tracked as ADR 13, referred to counsel, unresolved. Do not plan a DWG workflow on the assumption this resolves in your favour.</w:t>
      </w:r>
    </w:p>
    <w:p>
      <w:pPr>
        <w:pStyle w:val="Heading2"/>
        <w:spacing w:after="140" w:before="280"/>
      </w:pPr>
      <w:r>
        <w:rPr>
          <w:rFonts w:ascii="Calibri" w:cs="Calibri" w:eastAsia="Calibri" w:hAnsi="Calibri"/>
          <w:b/>
          <w:bCs/>
          <w:color w:val="0F7A83"/>
          <w:sz w:val="25"/>
          <w:szCs w:val="25"/>
        </w:rPr>
        <w:t xml:space="preserve">4.1  Why RVT and DWF are absent, and what it would take</w:t>
      </w:r>
    </w:p>
    <w:p>
      <w:pPr>
        <w:spacing w:after="140" w:line="276"/>
      </w:pPr>
      <w:r>
        <w:rPr>
          <w:rFonts w:ascii="Calibri" w:cs="Calibri" w:eastAsia="Calibri" w:hAnsi="Calibri"/>
          <w:b w:val="false"/>
          <w:bCs w:val="false"/>
          <w:color w:val="1B2027"/>
          <w:sz w:val="21"/>
          <w:szCs w:val="21"/>
        </w:rPr>
        <w:t xml:space="preserve">These two are named separately because they are the ones most often assumed, and because the reason they are missing is not “nobody got to it yet”.</w:t>
      </w:r>
    </w:p>
    <w:p>
      <w:pPr>
        <w:spacing w:after="140" w:line="276"/>
      </w:pPr>
      <w:r>
        <w:rPr>
          <w:rFonts w:ascii="Calibri" w:cs="Calibri" w:eastAsia="Calibri" w:hAnsi="Calibri"/>
          <w:b/>
          <w:bCs/>
          <w:color w:val="1B2027"/>
          <w:sz w:val="21"/>
          <w:szCs w:val="21"/>
        </w:rPr>
        <w:t xml:space="preserve">RVT (and RFA) is a proprietary Autodesk binary with no open reader.</w:t>
      </w:r>
      <w:r>
        <w:rPr>
          <w:rFonts w:ascii="Calibri" w:cs="Calibri" w:eastAsia="Calibri" w:hAnsi="Calibri"/>
          <w:b w:val="false"/>
          <w:bCs w:val="false"/>
          <w:color w:val="1B2027"/>
          <w:sz w:val="21"/>
          <w:szCs w:val="21"/>
        </w:rPr>
        <w:t xml:space="preserve"> The pipeline detects it by OLE2 magic bytes and refuses it deliberately, so you get a clean </w:t>
      </w:r>
      <w:r>
        <w:rPr>
          <w:rFonts w:ascii="Consolas" w:cs="Consolas" w:eastAsia="Consolas" w:hAnsi="Consolas"/>
          <w:b w:val="false"/>
          <w:bCs w:val="false"/>
          <w:color w:val="1B2027"/>
          <w:sz w:val="19"/>
          <w:szCs w:val="19"/>
        </w:rPr>
        <w:t xml:space="preserve">REVIT_BINARY</w:t>
      </w:r>
      <w:r>
        <w:rPr>
          <w:rFonts w:ascii="Calibri" w:cs="Calibri" w:eastAsia="Calibri" w:hAnsi="Calibri"/>
          <w:b w:val="false"/>
          <w:bCs w:val="false"/>
          <w:color w:val="1B2027"/>
          <w:sz w:val="21"/>
          <w:szCs w:val="21"/>
        </w:rPr>
        <w:t xml:space="preserve"> error rather than a corrupt render. Every route to supporting it is commercial.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400"/>
        <w:gridCol w:w="6346"/>
      </w:tblGrid>
      <w:tr>
        <w:trPr>
          <w:tblHeader/>
        </w:trPr>
        <w:tc>
          <w:tcPr>
            <w:tcW w:type="dxa" w:w="34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Route</w:t>
            </w:r>
          </w:p>
        </w:tc>
        <w:tc>
          <w:tcPr>
            <w:tcW w:type="dxa" w:w="63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What it costs</w:t>
            </w:r>
          </w:p>
        </w:tc>
      </w:tr>
      <w:tr>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Autodesk Platform Services (formerly Forge)</w:t>
            </w:r>
          </w:p>
        </w:tc>
        <w:tc>
          <w:tcPr>
            <w:tcW w:type="dxa" w:w="63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A cloud API. It SENDS THE MODEL TO AUTODESK, which collides directly with the data-residency and sovereignty position — for a Defence or IRAP-scoped tenant it is not merely a cost question, it is prohibited</w:t>
            </w:r>
          </w:p>
        </w:tc>
      </w:tr>
      <w:tr>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Revit itself, plus an export plugin</w:t>
            </w:r>
          </w:p>
        </w:tc>
        <w:tc>
          <w:tcPr>
            <w:tcW w:type="dxa" w:w="63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Windows hosts, a licence per seat, and a rendering farm that is not the product’s architecture</w:t>
            </w:r>
          </w:p>
        </w:tc>
      </w:tr>
      <w:tr>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A commercial SDK (ODA BimRv or equivalent)</w:t>
            </w:r>
          </w:p>
        </w:tc>
        <w:tc>
          <w:tcPr>
            <w:tcW w:type="dxa" w:w="63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A vendor relationship and a per-deployment fee, with the same redistribution question ADR 13 is already stuck on</w:t>
            </w:r>
          </w:p>
        </w:tc>
      </w:tr>
    </w:tbl>
    <w:p>
      <w:pPr>
        <w:spacing w:after="240" w:before="80"/>
      </w:pPr>
      <w:r>
        <w:rPr>
          <w:rFonts w:ascii="Calibri" w:cs="Calibri" w:eastAsia="Calibri" w:hAnsi="Calibri"/>
          <w:b w:val="false"/>
          <w:bCs w:val="false"/>
          <w:color w:val="5F6875"/>
          <w:sz w:val="17"/>
          <w:szCs w:val="17"/>
        </w:rPr>
        <w:t xml:space="preserve">Table 3 — The three routes to RVT, and why none is free.</w:t>
      </w:r>
    </w:p>
    <w:p>
      <w:pPr>
        <w:pBdr>
          <w:left w:val="single" w:color="C4342A" w:sz="18" w:space="8"/>
        </w:pBdr>
        <w:shd w:fill="FBEDEC" w:color="auto" w:val="clear"/>
        <w:spacing w:after="180" w:before="140"/>
        <w:ind w:left="120" w:right="120"/>
      </w:pPr>
      <w:r>
        <w:rPr>
          <w:rFonts w:ascii="Calibri" w:cs="Calibri" w:eastAsia="Calibri" w:hAnsi="Calibri"/>
          <w:b w:val="false"/>
          <w:bCs w:val="false"/>
          <w:color w:val="1B2027"/>
          <w:sz w:val="21"/>
          <w:szCs w:val="21"/>
        </w:rPr>
        <w:t xml:space="preserve">The sovereignty collision is the important one. </w:t>
      </w:r>
      <w:r>
        <w:rPr>
          <w:rFonts w:ascii="Calibri" w:cs="Calibri" w:eastAsia="Calibri" w:hAnsi="Calibri"/>
          <w:b/>
          <w:bCs/>
          <w:color w:val="1B2027"/>
          <w:sz w:val="21"/>
          <w:szCs w:val="21"/>
        </w:rPr>
        <w:t xml:space="preserve">The cheapest route is the one we can least use</w:t>
      </w:r>
      <w:r>
        <w:rPr>
          <w:rFonts w:ascii="Calibri" w:cs="Calibri" w:eastAsia="Calibri" w:hAnsi="Calibri"/>
          <w:b w:val="false"/>
          <w:bCs w:val="false"/>
          <w:color w:val="1B2027"/>
          <w:sz w:val="21"/>
          <w:szCs w:val="21"/>
        </w:rPr>
        <w:t xml:space="preserve">, because the tenants most likely to hold Revit models are also the ones whose data must not leave the jurisdiction.</w:t>
      </w:r>
    </w:p>
    <w:p>
      <w:pPr>
        <w:spacing w:after="140" w:line="276"/>
      </w:pPr>
      <w:r>
        <w:rPr>
          <w:rFonts w:ascii="Calibri" w:cs="Calibri" w:eastAsia="Calibri" w:hAnsi="Calibri"/>
          <w:b/>
          <w:bCs/>
          <w:color w:val="1B2027"/>
          <w:sz w:val="21"/>
          <w:szCs w:val="21"/>
        </w:rPr>
        <w:t xml:space="preserve">DWF is unimplemented rather than refused.</w:t>
      </w:r>
      <w:r>
        <w:rPr>
          <w:rFonts w:ascii="Calibri" w:cs="Calibri" w:eastAsia="Calibri" w:hAnsi="Calibri"/>
          <w:b w:val="false"/>
          <w:bCs w:val="false"/>
          <w:color w:val="1B2027"/>
          <w:sz w:val="21"/>
          <w:szCs w:val="21"/>
        </w:rPr>
        <w:t xml:space="preserve"> It is a ZIP container holding W2D and W3D streams, and reading it is ordinary engineering rather than a licence problem — but no component of the pipeline knows the format today, so a DWF submission will fail as an unrecognised type. If DWF matters to you, say so: it is schedulable work in a way RVT is not.</w:t>
      </w:r>
    </w:p>
    <w:p>
      <w:pPr>
        <w:spacing w:after="140" w:line="276"/>
      </w:pPr>
      <w:r>
        <w:rPr>
          <w:rFonts w:ascii="Calibri" w:cs="Calibri" w:eastAsia="Calibri" w:hAnsi="Calibri"/>
          <w:b/>
          <w:bCs/>
          <w:color w:val="1B2027"/>
          <w:sz w:val="21"/>
          <w:szCs w:val="21"/>
        </w:rPr>
        <w:t xml:space="preserve">If you need either, raise it as a commercial requirement, not a bug.</w:t>
      </w:r>
      <w:r>
        <w:rPr>
          <w:rFonts w:ascii="Calibri" w:cs="Calibri" w:eastAsia="Calibri" w:hAnsi="Calibri"/>
          <w:b w:val="false"/>
          <w:bCs w:val="false"/>
          <w:color w:val="1B2027"/>
          <w:sz w:val="21"/>
          <w:szCs w:val="21"/>
        </w:rPr>
        <w:t xml:space="preserve"> The answer involves a vendor contract and, for RVT, a residency decision that engineering cannot take alone.</w:t>
      </w:r>
    </w:p>
    <w:p>
      <w:pPr>
        <w:pStyle w:val="Heading1"/>
        <w:spacing w:after="160" w:before="360"/>
      </w:pPr>
      <w:r>
        <w:rPr>
          <w:rFonts w:ascii="Calibri" w:cs="Calibri" w:eastAsia="Calibri" w:hAnsi="Calibri"/>
          <w:b/>
          <w:bCs/>
          <w:color w:val="1B2027"/>
          <w:sz w:val="30"/>
          <w:szCs w:val="30"/>
        </w:rPr>
        <w:t xml:space="preserve">5.  Embedding — decided, not yet built</w:t>
      </w:r>
    </w:p>
    <w:p>
      <w:pPr>
        <w:spacing w:after="200" w:line="276"/>
      </w:pPr>
      <w:r>
        <w:rPr>
          <w:rFonts w:ascii="Calibri" w:cs="Calibri" w:eastAsia="Calibri" w:hAnsi="Calibri"/>
          <w:b w:val="false"/>
          <w:bCs w:val="false"/>
          <w:color w:val="5F6875"/>
          <w:sz w:val="21"/>
          <w:szCs w:val="21"/>
        </w:rPr>
        <w:t xml:space="preserve">The contract is settled and specified. An iframe and a versioned postMessage protocol; the viewer authenticates nobody and authorises nothing. You mint a short-lived URL for the document, tell the viewer a name to display, and receive what the user did — every operation that changes anything comes back to you to authorise server-side.</w:t>
      </w:r>
    </w:p>
    <w:p>
      <w:pPr>
        <w:spacing w:after="140" w:line="276"/>
      </w:pPr>
      <w:r>
        <w:rPr>
          <w:rFonts w:ascii="Calibri" w:cs="Calibri" w:eastAsia="Calibri" w:hAnsi="Calibri"/>
          <w:b w:val="false"/>
          <w:bCs w:val="false"/>
          <w:color w:val="1B2027"/>
          <w:sz w:val="21"/>
          <w:szCs w:val="21"/>
        </w:rPr>
        <w:t xml:space="preserve">Recorded as ADR 14 (</w:t>
      </w:r>
      <w:r>
        <w:rPr>
          <w:rFonts w:ascii="Consolas" w:cs="Consolas" w:eastAsia="Consolas" w:hAnsi="Consolas"/>
          <w:b w:val="false"/>
          <w:bCs w:val="false"/>
          <w:color w:val="1B2027"/>
          <w:sz w:val="19"/>
          <w:szCs w:val="19"/>
        </w:rPr>
        <w:t xml:space="preserve">cde-platform</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docs/adr/0014-viewer-embed-and-identity-contracts.md</w:t>
      </w:r>
      <w:r>
        <w:rPr>
          <w:rFonts w:ascii="Calibri" w:cs="Calibri" w:eastAsia="Calibri" w:hAnsi="Calibri"/>
          <w:b w:val="false"/>
          <w:bCs w:val="false"/>
          <w:color w:val="1B2027"/>
          <w:sz w:val="21"/>
          <w:szCs w:val="21"/>
        </w:rPr>
        <w:t xml:space="preserve">), with the message-level detail in </w:t>
      </w:r>
      <w:r>
        <w:rPr>
          <w:rFonts w:ascii="Consolas" w:cs="Consolas" w:eastAsia="Consolas" w:hAnsi="Consolas"/>
          <w:b w:val="false"/>
          <w:bCs w:val="false"/>
          <w:color w:val="1B2027"/>
          <w:sz w:val="19"/>
          <w:szCs w:val="19"/>
        </w:rPr>
        <w:t xml:space="preserve">docs/viewer-embed-protocol.md</w:t>
      </w:r>
      <w:r>
        <w:rPr>
          <w:rFonts w:ascii="Calibri" w:cs="Calibri" w:eastAsia="Calibri" w:hAnsi="Calibri"/>
          <w:b w:val="false"/>
          <w:bCs w:val="false"/>
          <w:color w:val="1B2027"/>
          <w:sz w:val="21"/>
          <w:szCs w:val="21"/>
        </w:rPr>
        <w:t xml:space="preserve">. That document is written to be built against and is stable enough to design around, though the code does not exist yet.</w:t>
      </w:r>
    </w:p>
    <w:p>
      <w:pPr>
        <w:spacing w:after="140" w:line="276"/>
      </w:pPr>
      <w:r>
        <w:rPr>
          <w:rFonts w:ascii="Calibri" w:cs="Calibri" w:eastAsia="Calibri" w:hAnsi="Calibri"/>
          <w:b w:val="false"/>
          <w:bCs w:val="false"/>
          <w:color w:val="1B2027"/>
          <w:sz w:val="21"/>
          <w:szCs w:val="21"/>
        </w:rPr>
        <w:t xml:space="preserve">Three constraints remain true of the code as it stands today.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tblHeader/>
        </w:trPr>
        <w:tc>
          <w:tcPr>
            <w:tcW w:type="dxa" w:w="26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Constraint</w:t>
            </w:r>
          </w:p>
        </w:tc>
        <w:tc>
          <w:tcPr>
            <w:tcW w:type="dxa" w:w="71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Reality today</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Framing</w:t>
            </w:r>
          </w:p>
        </w:tc>
        <w:tc>
          <w:tcPr>
            <w:tcW w:type="dxa" w:w="71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Content-Security-Policy: frame-ancestors 'none'. A cross-origin iframe will not render. Becomes a per-tenant allow-list on the embed route only</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Cross-origin XHR</w:t>
            </w:r>
          </w:p>
        </w:tc>
        <w:tc>
          <w:tcPr>
            <w:tcW w:type="dxa" w:w="71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The CORS source registers no origin at all unless a deployment names one in full</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Session</w:t>
            </w:r>
          </w:p>
        </w:tc>
        <w:tc>
          <w:tcPr>
            <w:tcW w:type="dxa" w:w="71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A bearer token from our own /api/auth/login, against our own user table. No cookie mode, no silent SSO, no token exchange</w:t>
            </w:r>
          </w:p>
        </w:tc>
      </w:tr>
    </w:tbl>
    <w:p>
      <w:pPr>
        <w:spacing w:after="240" w:before="80"/>
      </w:pPr>
      <w:r>
        <w:rPr>
          <w:rFonts w:ascii="Calibri" w:cs="Calibri" w:eastAsia="Calibri" w:hAnsi="Calibri"/>
          <w:b w:val="false"/>
          <w:bCs w:val="false"/>
          <w:color w:val="5F6875"/>
          <w:sz w:val="17"/>
          <w:szCs w:val="17"/>
        </w:rPr>
        <w:t xml:space="preserve">Table 4 — What is still true of the code, now that the contract is decided.</w:t>
      </w:r>
    </w:p>
    <w:p>
      <w:pPr>
        <w:spacing w:after="140" w:line="276"/>
      </w:pPr>
      <w:r>
        <w:rPr>
          <w:rFonts w:ascii="Calibri" w:cs="Calibri" w:eastAsia="Calibri" w:hAnsi="Calibri"/>
          <w:b w:val="false"/>
          <w:bCs w:val="false"/>
          <w:color w:val="1B2027"/>
          <w:sz w:val="21"/>
          <w:szCs w:val="21"/>
        </w:rPr>
        <w:t xml:space="preserve">The only path that works today is </w:t>
      </w:r>
      <w:r>
        <w:rPr>
          <w:rFonts w:ascii="Calibri" w:cs="Calibri" w:eastAsia="Calibri" w:hAnsi="Calibri"/>
          <w:b/>
          <w:bCs/>
          <w:color w:val="1B2027"/>
          <w:sz w:val="21"/>
          <w:szCs w:val="21"/>
        </w:rPr>
        <w:t xml:space="preserve">serving our Angular build from your own origin, behind the same web tier that proxies </w:t>
      </w:r>
      <w:r>
        <w:rPr>
          <w:rFonts w:ascii="Consolas" w:cs="Consolas" w:eastAsia="Consolas" w:hAnsi="Consolas"/>
          <w:b/>
          <w:bCs/>
          <w:color w:val="1B2027"/>
          <w:sz w:val="19"/>
          <w:szCs w:val="19"/>
        </w:rPr>
        <w:t xml:space="preserve">/api</w:t>
      </w:r>
      <w:r>
        <w:rPr>
          <w:rFonts w:ascii="Calibri" w:cs="Calibri" w:eastAsia="Calibri" w:hAnsi="Calibri"/>
          <w:b w:val="false"/>
          <w:bCs w:val="false"/>
          <w:color w:val="1B2027"/>
          <w:sz w:val="21"/>
          <w:szCs w:val="21"/>
        </w:rPr>
        <w:t xml:space="preserve">. Same-origin needs no CORS entry, no framing relaxation, and no cross-origin token handling. It is also a deployment of our application into your infrastructure, which is probably not what you meant by “integrate”.</w:t>
      </w:r>
    </w:p>
    <w:p>
      <w:pPr>
        <w:pBdr>
          <w:left w:val="single" w:color="C4342A" w:sz="18" w:space="8"/>
        </w:pBdr>
        <w:shd w:fill="FBEDEC" w:color="auto" w:val="clear"/>
        <w:spacing w:after="180" w:before="140"/>
        <w:ind w:left="120" w:right="120"/>
      </w:pPr>
      <w:r>
        <w:rPr>
          <w:rFonts w:ascii="Calibri" w:cs="Calibri" w:eastAsia="Calibri" w:hAnsi="Calibri"/>
          <w:b/>
          <w:bCs/>
          <w:color w:val="1B2027"/>
          <w:sz w:val="21"/>
          <w:szCs w:val="21"/>
        </w:rPr>
        <w:t xml:space="preserve">If you only need viewing</w:t>
      </w:r>
      <w:r>
        <w:rPr>
          <w:rFonts w:ascii="Calibri" w:cs="Calibri" w:eastAsia="Calibri" w:hAnsi="Calibri"/>
          <w:b w:val="false"/>
          <w:bCs w:val="false"/>
          <w:color w:val="1B2027"/>
          <w:sz w:val="21"/>
          <w:szCs w:val="21"/>
        </w:rPr>
        <w:t xml:space="preserve">, the honest recommendation is still to skip the embed: use section 3 to convert, and render the resulting PDF or SVG in your own interface with your own viewer. That avoids all three constraints and is a complete feature today rather than a contract to wait for.</w:t>
      </w:r>
    </w:p>
    <w:p>
      <w:pPr>
        <w:pStyle w:val="Heading2"/>
        <w:spacing w:after="140" w:before="280"/>
      </w:pPr>
      <w:r>
        <w:rPr>
          <w:rFonts w:ascii="Calibri" w:cs="Calibri" w:eastAsia="Calibri" w:hAnsi="Calibri"/>
          <w:b/>
          <w:bCs/>
          <w:color w:val="0F7A83"/>
          <w:sz w:val="25"/>
          <w:szCs w:val="25"/>
        </w:rPr>
        <w:t xml:space="preserve">5.1  What the identity gap actually means</w:t>
      </w:r>
    </w:p>
    <w:p>
      <w:pPr>
        <w:spacing w:after="140" w:line="276"/>
      </w:pPr>
      <w:r>
        <w:rPr>
          <w:rFonts w:ascii="Calibri" w:cs="Calibri" w:eastAsia="Calibri" w:hAnsi="Calibri"/>
          <w:b w:val="false"/>
          <w:bCs w:val="false"/>
          <w:color w:val="1B2027"/>
          <w:sz w:val="21"/>
          <w:szCs w:val="21"/>
        </w:rPr>
        <w:t xml:space="preserve">Not “you need to configure SSO”. There is nothing to configure. In the code as it stands, a markup’s author is a foreign key into our user table, so </w:t>
      </w:r>
      <w:r>
        <w:rPr>
          <w:rFonts w:ascii="Calibri" w:cs="Calibri" w:eastAsia="Calibri" w:hAnsi="Calibri"/>
          <w:b/>
          <w:bCs/>
          <w:color w:val="1B2027"/>
          <w:sz w:val="21"/>
          <w:szCs w:val="21"/>
        </w:rPr>
        <w:t xml:space="preserve">your user must exist as a row in our database before they can annotate anything</w:t>
      </w:r>
      <w:r>
        <w:rPr>
          <w:rFonts w:ascii="Calibri" w:cs="Calibri" w:eastAsia="Calibri" w:hAnsi="Calibri"/>
          <w:b w:val="false"/>
          <w:bCs w:val="false"/>
          <w:color w:val="1B2027"/>
          <w:sz w:val="21"/>
          <w:szCs w:val="21"/>
        </w:rPr>
        <w:t xml:space="preserve"> — which means shadow-provisioning your users into our system, a data-protection conversation before it is an engineering one.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color w:val="C4342A"/>
                <w:sz w:val="19"/>
                <w:szCs w:val="19"/>
              </w:rPr>
              <w:t xml:space="preserve">TODAY</w:t>
            </w:r>
          </w:p>
        </w:tc>
        <w:tc>
          <w:tcPr>
            <w:tcW w:type="dxa" w:w="4873"/>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NEEDED</w:t>
            </w:r>
          </w:p>
        </w:tc>
      </w:tr>
      <w:tr>
        <w:tc>
          <w:tcPr>
            <w:tcW w:type="dxa" w:w="4873"/>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color w:val="1B2027"/>
                <w:sz w:val="19"/>
                <w:szCs w:val="19"/>
              </w:rPr>
              <w:t xml:space="preserve">Priya, at Asite</w:t>
            </w:r>
          </w:p>
          <w:p>
            <w:pPr>
              <w:spacing w:after="40" w:line="240"/>
              <w:jc w:val="center"/>
            </w:pPr>
            <w:r>
              <w:rPr>
                <w:rFonts w:ascii="Calibri" w:cs="Calibri" w:eastAsia="Calibri" w:hAnsi="Calibri"/>
                <w:b w:val="false"/>
                <w:bCs w:val="false"/>
                <w:color w:val="1B2027"/>
                <w:sz w:val="19"/>
                <w:szCs w:val="19"/>
              </w:rPr>
              <w:t xml:space="preserve">host identity</w:t>
            </w:r>
          </w:p>
        </w:tc>
        <w:tc>
          <w:tcPr>
            <w:tcW w:type="dxa" w:w="4873"/>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color w:val="1B2027"/>
                <w:sz w:val="19"/>
                <w:szCs w:val="19"/>
              </w:rPr>
              <w:t xml:space="preserve">Priya, at Asite</w:t>
            </w:r>
          </w:p>
          <w:p>
            <w:pPr>
              <w:spacing w:after="40" w:line="240"/>
              <w:jc w:val="center"/>
            </w:pPr>
            <w:r>
              <w:rPr>
                <w:rFonts w:ascii="Calibri" w:cs="Calibri" w:eastAsia="Calibri" w:hAnsi="Calibri"/>
                <w:b w:val="false"/>
                <w:bCs w:val="false"/>
                <w:color w:val="1B2027"/>
                <w:sz w:val="19"/>
                <w:szCs w:val="19"/>
              </w:rPr>
              <w:t xml:space="preserve">signed assertion</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color w:val="C4342A"/>
                <w:sz w:val="19"/>
                <w:szCs w:val="19"/>
              </w:rPr>
              <w:t xml:space="preserve">↓   blocked</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color w:val="1B2027"/>
                <w:sz w:val="19"/>
                <w:szCs w:val="19"/>
              </w:rPr>
              <w:t xml:space="preserve">Annotation.author</w:t>
            </w:r>
          </w:p>
          <w:p>
            <w:pPr>
              <w:spacing w:after="40" w:line="240"/>
              <w:jc w:val="center"/>
            </w:pPr>
            <w:r>
              <w:rPr>
                <w:rFonts w:ascii="Calibri" w:cs="Calibri" w:eastAsia="Calibri" w:hAnsi="Calibri"/>
                <w:b w:val="false"/>
                <w:bCs w:val="false"/>
                <w:color w:val="1B2027"/>
                <w:sz w:val="19"/>
                <w:szCs w:val="19"/>
              </w:rPr>
              <w:t xml:space="preserve">@ManyToOne User</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color w:val="1B2027"/>
                <w:sz w:val="19"/>
                <w:szCs w:val="19"/>
              </w:rPr>
              <w:t xml:space="preserve">Annotation.authorRef</w:t>
            </w:r>
          </w:p>
          <w:p>
            <w:pPr>
              <w:spacing w:after="40" w:line="240"/>
              <w:jc w:val="center"/>
            </w:pPr>
            <w:r>
              <w:rPr>
                <w:rFonts w:ascii="Calibri" w:cs="Calibri" w:eastAsia="Calibri" w:hAnsi="Calibri"/>
                <w:b w:val="false"/>
                <w:bCs w:val="false"/>
                <w:color w:val="1B2027"/>
                <w:sz w:val="19"/>
                <w:szCs w:val="19"/>
              </w:rPr>
              <w:t xml:space="preserve">opaque value</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color w:val="C4342A"/>
                <w:sz w:val="19"/>
                <w:szCs w:val="19"/>
              </w:rPr>
              <w:t xml:space="preserve">↓</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w:t>
            </w:r>
          </w:p>
        </w:tc>
      </w:tr>
      <w:tr>
        <w:tc>
          <w:tcPr>
            <w:tcW w:type="dxa" w:w="4873"/>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color w:val="C4342A"/>
                <w:sz w:val="19"/>
                <w:szCs w:val="19"/>
              </w:rPr>
              <w:t xml:space="preserve">OUR users table</w:t>
            </w:r>
          </w:p>
          <w:p>
            <w:pPr>
              <w:spacing w:after="40" w:line="240"/>
              <w:jc w:val="center"/>
            </w:pPr>
            <w:r>
              <w:rPr>
                <w:rFonts w:ascii="Calibri" w:cs="Calibri" w:eastAsia="Calibri" w:hAnsi="Calibri"/>
                <w:b w:val="false"/>
                <w:bCs w:val="false"/>
                <w:color w:val="C4342A"/>
                <w:sz w:val="19"/>
                <w:szCs w:val="19"/>
              </w:rPr>
              <w:t xml:space="preserve">she must exist as a row</w:t>
            </w:r>
          </w:p>
        </w:tc>
        <w:tc>
          <w:tcPr>
            <w:tcW w:type="dxa" w:w="4873"/>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color w:val="0F7A83"/>
                <w:sz w:val="19"/>
                <w:szCs w:val="19"/>
              </w:rPr>
              <w:t xml:space="preserve">Issuer + subject</w:t>
            </w:r>
          </w:p>
          <w:p>
            <w:pPr>
              <w:spacing w:after="40" w:line="240"/>
              <w:jc w:val="center"/>
            </w:pPr>
            <w:r>
              <w:rPr>
                <w:rFonts w:ascii="Calibri" w:cs="Calibri" w:eastAsia="Calibri" w:hAnsi="Calibri"/>
                <w:b w:val="false"/>
                <w:bCs w:val="false"/>
                <w:color w:val="0F7A83"/>
                <w:sz w:val="19"/>
                <w:szCs w:val="19"/>
              </w:rPr>
              <w:t xml:space="preserve">no row required</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color w:val="5F6875"/>
                <w:sz w:val="19"/>
                <w:szCs w:val="19"/>
              </w:rPr>
              <w:t xml:space="preserve">Integration means shadow-provisioning every host user into our database.</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color w:val="5F6875"/>
                <w:sz w:val="19"/>
                <w:szCs w:val="19"/>
              </w:rPr>
              <w:t xml:space="preserve">The host stays the system of record for who its people are.</w:t>
            </w:r>
          </w:p>
        </w:tc>
      </w:tr>
    </w:tbl>
    <w:p>
      <w:pPr>
        <w:spacing w:after="240" w:before="80"/>
      </w:pPr>
      <w:r>
        <w:rPr>
          <w:rFonts w:ascii="Calibri" w:cs="Calibri" w:eastAsia="Calibri" w:hAnsi="Calibri"/>
          <w:b w:val="false"/>
          <w:bCs w:val="false"/>
          <w:color w:val="5F6875"/>
          <w:sz w:val="17"/>
          <w:szCs w:val="17"/>
        </w:rPr>
        <w:t xml:space="preserve">Figure 3 — The difference is one field. Annotation.author is a foreign key into our own user table, so a markup cannot exist without a local user row.</w:t>
      </w:r>
    </w:p>
    <w:p>
      <w:pPr>
        <w:spacing w:after="140" w:line="276"/>
      </w:pPr>
      <w:r>
        <w:rPr>
          <w:rFonts w:ascii="Calibri" w:cs="Calibri" w:eastAsia="Calibri" w:hAnsi="Calibri"/>
          <w:b/>
          <w:bCs/>
          <w:color w:val="1B2027"/>
          <w:sz w:val="21"/>
          <w:szCs w:val="21"/>
        </w:rPr>
        <w:t xml:space="preserve">That is what the contract removes.</w:t>
      </w:r>
      <w:r>
        <w:rPr>
          <w:rFonts w:ascii="Calibri" w:cs="Calibri" w:eastAsia="Calibri" w:hAnsi="Calibri"/>
          <w:b w:val="false"/>
          <w:bCs w:val="false"/>
          <w:color w:val="1B2027"/>
          <w:sz w:val="21"/>
          <w:szCs w:val="21"/>
        </w:rPr>
        <w:t xml:space="preserve"> The viewer is told a display name and an opaque subject id, both untrusted and used only for presentation, and the author is stamped by whoever persists the markup — you. You stay the system of record for who your people are, and nothing about your users reaches our database.</w:t>
      </w:r>
    </w:p>
    <w:p>
      <w:pPr>
        <w:pBdr>
          <w:left w:val="single" w:color="C4342A" w:sz="18" w:space="8"/>
        </w:pBdr>
        <w:shd w:fill="FBEDEC" w:color="auto" w:val="clear"/>
        <w:spacing w:after="180" w:before="140"/>
        <w:ind w:left="120" w:right="120"/>
      </w:pPr>
      <w:r>
        <w:rPr>
          <w:rFonts w:ascii="Calibri" w:cs="Calibri" w:eastAsia="Calibri" w:hAnsi="Calibri"/>
          <w:b w:val="false"/>
          <w:bCs w:val="false"/>
          <w:color w:val="1B2027"/>
          <w:sz w:val="21"/>
          <w:szCs w:val="21"/>
        </w:rPr>
        <w:t xml:space="preserve">You do </w:t>
      </w:r>
      <w:r>
        <w:rPr>
          <w:rFonts w:ascii="Calibri" w:cs="Calibri" w:eastAsia="Calibri" w:hAnsi="Calibri"/>
          <w:b/>
          <w:bCs/>
          <w:color w:val="1B2027"/>
          <w:sz w:val="21"/>
          <w:szCs w:val="21"/>
        </w:rPr>
        <w:t xml:space="preserve">not</w:t>
      </w:r>
      <w:r>
        <w:rPr>
          <w:rFonts w:ascii="Calibri" w:cs="Calibri" w:eastAsia="Calibri" w:hAnsi="Calibri"/>
          <w:b w:val="false"/>
          <w:bCs w:val="false"/>
          <w:color w:val="1B2027"/>
          <w:sz w:val="21"/>
          <w:szCs w:val="21"/>
        </w:rPr>
        <w:t xml:space="preserve"> need to mint a JWT, and you do not need an identity provider we can talk to. If an earlier version of this guide told you to prepare a signed assertion with a stable subject claim, disregard it — that was written while the question was open, and the answer went the other way.</w:t>
      </w:r>
    </w:p>
    <w:p>
      <w:pPr>
        <w:pStyle w:val="Heading1"/>
        <w:spacing w:after="160" w:before="360"/>
      </w:pPr>
      <w:r>
        <w:rPr>
          <w:rFonts w:ascii="Calibri" w:cs="Calibri" w:eastAsia="Calibri" w:hAnsi="Calibri"/>
          <w:b/>
          <w:bCs/>
          <w:color w:val="1B2027"/>
          <w:sz w:val="30"/>
          <w:szCs w:val="30"/>
        </w:rPr>
        <w:t xml:space="preserve">6.  What to plan for, not against</w:t>
      </w:r>
    </w:p>
    <w:p>
      <w:pPr>
        <w:spacing w:after="200" w:line="276"/>
      </w:pPr>
      <w:r>
        <w:rPr>
          <w:rFonts w:ascii="Calibri" w:cs="Calibri" w:eastAsia="Calibri" w:hAnsi="Calibri"/>
          <w:b w:val="false"/>
          <w:bCs w:val="false"/>
          <w:color w:val="5F6875"/>
          <w:sz w:val="21"/>
          <w:szCs w:val="21"/>
        </w:rPr>
        <w:t xml:space="preserve">The contract has landed. It is specified, not implemented — do not build against it yet — but it is settled enough to design around, and these are no longer guesses.</w:t>
      </w:r>
    </w:p>
    <w:p>
      <w:pPr>
        <w:pStyle w:val="ListParagraph"/>
        <w:numPr>
          <w:ilvl w:val="0"/>
          <w:numId w:val="2"/>
        </w:numPr>
        <w:spacing w:after="90" w:line="276"/>
      </w:pPr>
      <w:r>
        <w:rPr>
          <w:rFonts w:ascii="Calibri" w:cs="Calibri" w:eastAsia="Calibri" w:hAnsi="Calibri"/>
          <w:b/>
          <w:bCs/>
          <w:color w:val="1B2027"/>
          <w:sz w:val="21"/>
          <w:szCs w:val="21"/>
        </w:rPr>
        <w:t xml:space="preserve">Embedding is an iframe</w:t>
      </w:r>
      <w:r>
        <w:rPr>
          <w:rFonts w:ascii="Calibri" w:cs="Calibri" w:eastAsia="Calibri" w:hAnsi="Calibri"/>
          <w:b w:val="false"/>
          <w:bCs w:val="false"/>
          <w:color w:val="1B2027"/>
          <w:sz w:val="21"/>
          <w:szCs w:val="21"/>
        </w:rPr>
        <w:t xml:space="preserve"> with a per-tenant </w:t>
      </w:r>
      <w:r>
        <w:rPr>
          <w:rFonts w:ascii="Consolas" w:cs="Consolas" w:eastAsia="Consolas" w:hAnsi="Consolas"/>
          <w:b w:val="false"/>
          <w:bCs w:val="false"/>
          <w:color w:val="1B2027"/>
          <w:sz w:val="19"/>
          <w:szCs w:val="19"/>
        </w:rPr>
        <w:t xml:space="preserve">frame-ancestors</w:t>
      </w:r>
      <w:r>
        <w:rPr>
          <w:rFonts w:ascii="Calibri" w:cs="Calibri" w:eastAsia="Calibri" w:hAnsi="Calibri"/>
          <w:b w:val="false"/>
          <w:bCs w:val="false"/>
          <w:color w:val="1B2027"/>
          <w:sz w:val="21"/>
          <w:szCs w:val="21"/>
        </w:rPr>
        <w:t xml:space="preserve"> allow-list. Not a web component: the viewer renders untrusted documents, and sharing your origin would mean a document that escapes the PDF renderer runs with your session on your domain.</w:t>
      </w:r>
    </w:p>
    <w:p>
      <w:pPr>
        <w:pStyle w:val="ListParagraph"/>
        <w:numPr>
          <w:ilvl w:val="0"/>
          <w:numId w:val="2"/>
        </w:numPr>
        <w:spacing w:after="90" w:line="276"/>
      </w:pPr>
      <w:r>
        <w:rPr>
          <w:rFonts w:ascii="Calibri" w:cs="Calibri" w:eastAsia="Calibri" w:hAnsi="Calibri"/>
          <w:b/>
          <w:bCs/>
          <w:color w:val="1B2027"/>
          <w:sz w:val="21"/>
          <w:szCs w:val="21"/>
        </w:rPr>
        <w:t xml:space="preserve">Identity is three untrusted fields</w:t>
      </w:r>
      <w:r>
        <w:rPr>
          <w:rFonts w:ascii="Calibri" w:cs="Calibri" w:eastAsia="Calibri" w:hAnsi="Calibri"/>
          <w:b w:val="false"/>
          <w:bCs w:val="false"/>
          <w:color w:val="1B2027"/>
          <w:sz w:val="21"/>
          <w:szCs w:val="21"/>
        </w:rPr>
        <w:t xml:space="preserve"> — a display name, an opaque subject id, and capability flags that decide which controls render and nothing else. No signed assertion, no viewer session, no JWT. Sending no identity at all is a supported read-only deployment.</w:t>
      </w:r>
    </w:p>
    <w:p>
      <w:pPr>
        <w:pStyle w:val="ListParagraph"/>
        <w:numPr>
          <w:ilvl w:val="0"/>
          <w:numId w:val="2"/>
        </w:numPr>
        <w:spacing w:after="90" w:line="276"/>
      </w:pPr>
      <w:r>
        <w:rPr>
          <w:rFonts w:ascii="Calibri" w:cs="Calibri" w:eastAsia="Calibri" w:hAnsi="Calibri"/>
          <w:b/>
          <w:bCs/>
          <w:color w:val="1B2027"/>
          <w:sz w:val="21"/>
          <w:szCs w:val="21"/>
        </w:rPr>
        <w:t xml:space="preserve">Markup comes back as events</w:t>
      </w:r>
      <w:r>
        <w:rPr>
          <w:rFonts w:ascii="Calibri" w:cs="Calibri" w:eastAsia="Calibri" w:hAnsi="Calibri"/>
          <w:b w:val="false"/>
          <w:bCs w:val="false"/>
          <w:color w:val="1B2027"/>
          <w:sz w:val="21"/>
          <w:szCs w:val="21"/>
        </w:rPr>
        <w:t xml:space="preserve"> on the message channel, with the geometry as an opaque string you store and hand back. There is no author field — you stamp that.</w:t>
      </w:r>
    </w:p>
    <w:p>
      <w:pPr>
        <w:pStyle w:val="ListParagraph"/>
        <w:numPr>
          <w:ilvl w:val="0"/>
          <w:numId w:val="2"/>
        </w:numPr>
        <w:spacing w:after="90" w:line="276"/>
      </w:pPr>
      <w:r>
        <w:rPr>
          <w:rFonts w:ascii="Calibri" w:cs="Calibri" w:eastAsia="Calibri" w:hAnsi="Calibri"/>
          <w:b/>
          <w:bCs/>
          <w:color w:val="1B2027"/>
          <w:sz w:val="21"/>
          <w:szCs w:val="21"/>
        </w:rPr>
        <w:t xml:space="preserve">Document identity is yours.</w:t>
      </w:r>
      <w:r>
        <w:rPr>
          <w:rFonts w:ascii="Calibri" w:cs="Calibri" w:eastAsia="Calibri" w:hAnsi="Calibri"/>
          <w:b w:val="false"/>
          <w:bCs w:val="false"/>
          <w:color w:val="1B2027"/>
          <w:sz w:val="21"/>
          <w:szCs w:val="21"/>
        </w:rPr>
        <w:t xml:space="preserve"> Pass an </w:t>
      </w:r>
      <w:r>
        <w:rPr>
          <w:rFonts w:ascii="Consolas" w:cs="Consolas" w:eastAsia="Consolas" w:hAnsi="Consolas"/>
          <w:b w:val="false"/>
          <w:bCs w:val="false"/>
          <w:color w:val="1B2027"/>
          <w:sz w:val="19"/>
          <w:szCs w:val="19"/>
        </w:rPr>
        <w:t xml:space="preserve">externalId</w:t>
      </w:r>
      <w:r>
        <w:rPr>
          <w:rFonts w:ascii="Calibri" w:cs="Calibri" w:eastAsia="Calibri" w:hAnsi="Calibri"/>
          <w:b w:val="false"/>
          <w:bCs w:val="false"/>
          <w:color w:val="1B2027"/>
          <w:sz w:val="21"/>
          <w:szCs w:val="21"/>
        </w:rPr>
        <w:t xml:space="preserve"> in the handshake and it comes back on every event, so you never hold a map between your id and ours.</w:t>
      </w:r>
    </w:p>
    <w:p>
      <w:pPr>
        <w:spacing w:after="140" w:line="276"/>
      </w:pPr>
      <w:r>
        <w:rPr>
          <w:rFonts w:ascii="Calibri" w:cs="Calibri" w:eastAsia="Calibri" w:hAnsi="Calibri"/>
          <w:b w:val="false"/>
          <w:bCs w:val="false"/>
          <w:color w:val="1B2027"/>
          <w:sz w:val="21"/>
          <w:szCs w:val="21"/>
        </w:rPr>
        <w:t xml:space="preserve">Full message shapes: </w:t>
      </w:r>
      <w:r>
        <w:rPr>
          <w:rFonts w:ascii="Consolas" w:cs="Consolas" w:eastAsia="Consolas" w:hAnsi="Consolas"/>
          <w:b w:val="false"/>
          <w:bCs w:val="false"/>
          <w:color w:val="1B2027"/>
          <w:sz w:val="19"/>
          <w:szCs w:val="19"/>
        </w:rPr>
        <w:t xml:space="preserve">docs/viewer-embed-protocol.md</w:t>
      </w:r>
      <w:r>
        <w:rPr>
          <w:rFonts w:ascii="Calibri" w:cs="Calibri" w:eastAsia="Calibri" w:hAnsi="Calibri"/>
          <w:b w:val="false"/>
          <w:bCs w:val="false"/>
          <w:color w:val="1B2027"/>
          <w:sz w:val="21"/>
          <w:szCs w:val="21"/>
        </w:rPr>
        <w:t xml:space="preserve">.</w:t>
      </w:r>
    </w:p>
    <w:p>
      <w:pPr>
        <w:pStyle w:val="Heading1"/>
        <w:spacing w:after="160" w:before="360"/>
      </w:pPr>
      <w:r>
        <w:rPr>
          <w:rFonts w:ascii="Calibri" w:cs="Calibri" w:eastAsia="Calibri" w:hAnsi="Calibri"/>
          <w:b/>
          <w:bCs/>
          <w:color w:val="1B2027"/>
          <w:sz w:val="30"/>
          <w:szCs w:val="30"/>
        </w:rPr>
        <w:t xml:space="preserve">7.  Obligations you inherit</w:t>
      </w:r>
    </w:p>
    <w:p>
      <w:pPr>
        <w:spacing w:after="140" w:line="276"/>
      </w:pPr>
      <w:r>
        <w:rPr>
          <w:rFonts w:ascii="Calibri" w:cs="Calibri" w:eastAsia="Calibri" w:hAnsi="Calibri"/>
          <w:b/>
          <w:bCs/>
          <w:color w:val="1B2027"/>
          <w:sz w:val="21"/>
          <w:szCs w:val="21"/>
        </w:rPr>
        <w:t xml:space="preserve">Accessibility.</w:t>
      </w:r>
      <w:r>
        <w:rPr>
          <w:rFonts w:ascii="Calibri" w:cs="Calibri" w:eastAsia="Calibri" w:hAnsi="Calibri"/>
          <w:b w:val="false"/>
          <w:bCs w:val="false"/>
          <w:color w:val="1B2027"/>
          <w:sz w:val="21"/>
          <w:szCs w:val="21"/>
        </w:rPr>
        <w:t xml:space="preserve"> WCAG 2.2 AA is a procurement gate in the UK, EU, Australia and the US, and an embedded viewer becomes part of *your* conformance claim. If you embed our WebGL model view, you inherit the requirement for an equivalent accessible route to the same information — we provide the hierarchy tree for exactly this reason, and it needs to remain reachable in your integration. Exports must be tagged and PDF/UA-conformant.</w:t>
      </w:r>
    </w:p>
    <w:p>
      <w:pPr>
        <w:spacing w:after="140" w:line="276"/>
      </w:pPr>
      <w:r>
        <w:rPr>
          <w:rFonts w:ascii="Calibri" w:cs="Calibri" w:eastAsia="Calibri" w:hAnsi="Calibri"/>
          <w:b/>
          <w:bCs/>
          <w:color w:val="1B2027"/>
          <w:sz w:val="21"/>
          <w:szCs w:val="21"/>
        </w:rPr>
        <w:t xml:space="preserve">Trademarks.</w:t>
      </w:r>
      <w:r>
        <w:rPr>
          <w:rFonts w:ascii="Calibri" w:cs="Calibri" w:eastAsia="Calibri" w:hAnsi="Calibri"/>
          <w:b w:val="false"/>
          <w:bCs w:val="false"/>
          <w:color w:val="1B2027"/>
          <w:sz w:val="21"/>
          <w:szCs w:val="21"/>
        </w:rPr>
        <w:t xml:space="preserve"> “Works with Microsoft SharePoint” is nominative fair use. “Microsoft-approved”, their logo, or any implication of partnership is not. The same applies to Amazon, Google and Autodesk. Integration documentation is where this goes wrong most easily, in both directions.</w:t>
      </w:r>
    </w:p>
    <w:p>
      <w:pPr>
        <w:pBdr>
          <w:left w:val="single" w:color="C4342A" w:sz="18" w:space="8"/>
        </w:pBdr>
        <w:shd w:fill="FBEDEC" w:color="auto" w:val="clear"/>
        <w:spacing w:after="180" w:before="140"/>
        <w:ind w:left="120" w:right="120"/>
      </w:pPr>
      <w:r>
        <w:rPr>
          <w:rFonts w:ascii="Calibri" w:cs="Calibri" w:eastAsia="Calibri" w:hAnsi="Calibri"/>
          <w:b/>
          <w:bCs/>
          <w:color w:val="1B2027"/>
          <w:sz w:val="21"/>
          <w:szCs w:val="21"/>
        </w:rPr>
        <w:t xml:space="preserve">Certification claims.</w:t>
      </w:r>
      <w:r>
        <w:rPr>
          <w:rFonts w:ascii="Calibri" w:cs="Calibri" w:eastAsia="Calibri" w:hAnsi="Calibri"/>
          <w:b w:val="false"/>
          <w:bCs w:val="false"/>
          <w:color w:val="1B2027"/>
          <w:sz w:val="21"/>
          <w:szCs w:val="21"/>
        </w:rPr>
        <w:t xml:space="preserve"> Do not describe this product as SOC 2, ISO 27001 or IRAP certified. Those certifications are not currently held, and stating otherwise is a misrepresentation with regulatory consequences rather than a marketing stretch.</w:t>
      </w:r>
    </w:p>
    <w:p>
      <w:pPr>
        <w:pStyle w:val="Heading1"/>
        <w:spacing w:after="160" w:before="360"/>
      </w:pPr>
      <w:r>
        <w:rPr>
          <w:rFonts w:ascii="Calibri" w:cs="Calibri" w:eastAsia="Calibri" w:hAnsi="Calibri"/>
          <w:b/>
          <w:bCs/>
          <w:color w:val="1B2027"/>
          <w:sz w:val="30"/>
          <w:szCs w:val="30"/>
        </w:rPr>
        <w:t xml:space="preserve">8.  Integration checklist</w:t>
      </w:r>
    </w:p>
    <w:p>
      <w:pPr>
        <w:pStyle w:val="Heading2"/>
        <w:spacing w:after="140" w:before="280"/>
      </w:pPr>
      <w:r>
        <w:rPr>
          <w:rFonts w:ascii="Calibri" w:cs="Calibri" w:eastAsia="Calibri" w:hAnsi="Calibri"/>
          <w:b/>
          <w:bCs/>
          <w:color w:val="0F7A83"/>
          <w:sz w:val="25"/>
          <w:szCs w:val="25"/>
        </w:rPr>
        <w:t xml:space="preserve">Today</w:t>
      </w:r>
    </w:p>
    <w:p>
      <w:pPr>
        <w:pStyle w:val="ListParagraph"/>
        <w:numPr>
          <w:ilvl w:val="0"/>
          <w:numId w:val="2"/>
        </w:numPr>
        <w:spacing w:after="90" w:line="276"/>
      </w:pPr>
      <w:r>
        <w:rPr>
          <w:rFonts w:ascii="Calibri" w:cs="Calibri" w:eastAsia="Calibri" w:hAnsi="Calibri"/>
          <w:b w:val="false"/>
          <w:bCs w:val="false"/>
          <w:color w:val="1B2027"/>
          <w:sz w:val="21"/>
          <w:szCs w:val="21"/>
        </w:rPr>
        <w:t xml:space="preserve">Can you mint a short-lived, single-object download URL from your storage?</w:t>
      </w:r>
    </w:p>
    <w:p>
      <w:pPr>
        <w:pStyle w:val="ListParagraph"/>
        <w:numPr>
          <w:ilvl w:val="0"/>
          <w:numId w:val="2"/>
        </w:numPr>
        <w:spacing w:after="90" w:line="276"/>
      </w:pPr>
      <w:r>
        <w:rPr>
          <w:rFonts w:ascii="Calibri" w:cs="Calibri" w:eastAsia="Calibri" w:hAnsi="Calibri"/>
          <w:b w:val="false"/>
          <w:bCs w:val="false"/>
          <w:color w:val="1B2027"/>
          <w:sz w:val="21"/>
          <w:szCs w:val="21"/>
        </w:rPr>
        <w:t xml:space="preserve">Does that URL resolve to the bytes directly, with no redirect?</w:t>
      </w:r>
    </w:p>
    <w:p>
      <w:pPr>
        <w:pStyle w:val="ListParagraph"/>
        <w:numPr>
          <w:ilvl w:val="0"/>
          <w:numId w:val="2"/>
        </w:numPr>
        <w:spacing w:after="90" w:line="276"/>
      </w:pPr>
      <w:r>
        <w:rPr>
          <w:rFonts w:ascii="Calibri" w:cs="Calibri" w:eastAsia="Calibri" w:hAnsi="Calibri"/>
          <w:b w:val="false"/>
          <w:bCs w:val="false"/>
          <w:color w:val="1B2027"/>
          <w:sz w:val="21"/>
          <w:szCs w:val="21"/>
        </w:rPr>
        <w:t xml:space="preserve">Do you have somewhere to hold a job id between submit and collect?</w:t>
      </w:r>
    </w:p>
    <w:p>
      <w:pPr>
        <w:pStyle w:val="ListParagraph"/>
        <w:numPr>
          <w:ilvl w:val="0"/>
          <w:numId w:val="2"/>
        </w:numPr>
        <w:spacing w:after="90" w:line="276"/>
      </w:pPr>
      <w:r>
        <w:rPr>
          <w:rFonts w:ascii="Calibri" w:cs="Calibri" w:eastAsia="Calibri" w:hAnsi="Calibri"/>
          <w:b w:val="false"/>
          <w:bCs w:val="false"/>
          <w:color w:val="1B2027"/>
          <w:sz w:val="21"/>
          <w:szCs w:val="21"/>
        </w:rPr>
        <w:t xml:space="preserve">Do you generate an </w:t>
      </w:r>
      <w:r>
        <w:rPr>
          <w:rFonts w:ascii="Consolas" w:cs="Consolas" w:eastAsia="Consolas" w:hAnsi="Consolas"/>
          <w:b w:val="false"/>
          <w:bCs w:val="false"/>
          <w:color w:val="1B2027"/>
          <w:sz w:val="19"/>
          <w:szCs w:val="19"/>
        </w:rPr>
        <w:t xml:space="preserve">Idempotency-Key</w:t>
      </w:r>
      <w:r>
        <w:rPr>
          <w:rFonts w:ascii="Calibri" w:cs="Calibri" w:eastAsia="Calibri" w:hAnsi="Calibri"/>
          <w:b w:val="false"/>
          <w:bCs w:val="false"/>
          <w:color w:val="1B2027"/>
          <w:sz w:val="21"/>
          <w:szCs w:val="21"/>
        </w:rPr>
        <w:t xml:space="preserve"> per logical submission?</w:t>
      </w:r>
    </w:p>
    <w:p>
      <w:pPr>
        <w:pStyle w:val="ListParagraph"/>
        <w:numPr>
          <w:ilvl w:val="0"/>
          <w:numId w:val="2"/>
        </w:numPr>
        <w:spacing w:after="90" w:line="276"/>
      </w:pPr>
      <w:r>
        <w:rPr>
          <w:rFonts w:ascii="Calibri" w:cs="Calibri" w:eastAsia="Calibri" w:hAnsi="Calibri"/>
          <w:b w:val="false"/>
          <w:bCs w:val="false"/>
          <w:color w:val="1B2027"/>
          <w:sz w:val="21"/>
          <w:szCs w:val="21"/>
        </w:rPr>
        <w:t xml:space="preserve">Do you back off while polling, and honour </w:t>
      </w:r>
      <w:r>
        <w:rPr>
          <w:rFonts w:ascii="Consolas" w:cs="Consolas" w:eastAsia="Consolas" w:hAnsi="Consolas"/>
          <w:b w:val="false"/>
          <w:bCs w:val="false"/>
          <w:color w:val="1B2027"/>
          <w:sz w:val="19"/>
          <w:szCs w:val="19"/>
        </w:rPr>
        <w:t xml:space="preserve">Retry-After</w:t>
      </w:r>
      <w:r>
        <w:rPr>
          <w:rFonts w:ascii="Calibri" w:cs="Calibri" w:eastAsia="Calibri" w:hAnsi="Calibri"/>
          <w:b w:val="false"/>
          <w:bCs w:val="false"/>
          <w:color w:val="1B2027"/>
          <w:sz w:val="21"/>
          <w:szCs w:val="21"/>
        </w:rPr>
        <w:t xml:space="preserve"> on </w:t>
      </w:r>
      <w:r>
        <w:rPr>
          <w:rFonts w:ascii="Consolas" w:cs="Consolas" w:eastAsia="Consolas" w:hAnsi="Consolas"/>
          <w:b w:val="false"/>
          <w:bCs w:val="false"/>
          <w:color w:val="1B2027"/>
          <w:sz w:val="19"/>
          <w:szCs w:val="19"/>
        </w:rPr>
        <w:t xml:space="preserve">429</w:t>
      </w:r>
      <w:r>
        <w:rPr>
          <w:rFonts w:ascii="Calibri" w:cs="Calibri" w:eastAsia="Calibri" w:hAnsi="Calibri"/>
          <w:b w:val="false"/>
          <w:bCs w:val="false"/>
          <w:color w:val="1B2027"/>
          <w:sz w:val="21"/>
          <w:szCs w:val="21"/>
        </w:rPr>
        <w:t xml:space="preserve">?</w:t>
      </w:r>
    </w:p>
    <w:p>
      <w:pPr>
        <w:pStyle w:val="ListParagraph"/>
        <w:numPr>
          <w:ilvl w:val="0"/>
          <w:numId w:val="2"/>
        </w:numPr>
        <w:spacing w:after="90" w:line="276"/>
      </w:pPr>
      <w:r>
        <w:rPr>
          <w:rFonts w:ascii="Calibri" w:cs="Calibri" w:eastAsia="Calibri" w:hAnsi="Calibri"/>
          <w:b w:val="false"/>
          <w:bCs w:val="false"/>
          <w:color w:val="1B2027"/>
          <w:sz w:val="21"/>
          <w:szCs w:val="21"/>
        </w:rPr>
        <w:t xml:space="preserve">Do you surface </w:t>
      </w:r>
      <w:r>
        <w:rPr>
          <w:rFonts w:ascii="Consolas" w:cs="Consolas" w:eastAsia="Consolas" w:hAnsi="Consolas"/>
          <w:b w:val="false"/>
          <w:bCs w:val="false"/>
          <w:color w:val="1B2027"/>
          <w:sz w:val="19"/>
          <w:szCs w:val="19"/>
        </w:rPr>
        <w:t xml:space="preserve">detail</w:t>
      </w:r>
      <w:r>
        <w:rPr>
          <w:rFonts w:ascii="Calibri" w:cs="Calibri" w:eastAsia="Calibri" w:hAnsi="Calibri"/>
          <w:b w:val="false"/>
          <w:bCs w:val="false"/>
          <w:color w:val="1B2027"/>
          <w:sz w:val="21"/>
          <w:szCs w:val="21"/>
        </w:rPr>
        <w:t xml:space="preserve"> and </w:t>
      </w:r>
      <w:r>
        <w:rPr>
          <w:rFonts w:ascii="Consolas" w:cs="Consolas" w:eastAsia="Consolas" w:hAnsi="Consolas"/>
          <w:b w:val="false"/>
          <w:bCs w:val="false"/>
          <w:color w:val="1B2027"/>
          <w:sz w:val="19"/>
          <w:szCs w:val="19"/>
        </w:rPr>
        <w:t xml:space="preserve">traceId</w:t>
      </w:r>
      <w:r>
        <w:rPr>
          <w:rFonts w:ascii="Calibri" w:cs="Calibri" w:eastAsia="Calibri" w:hAnsi="Calibri"/>
          <w:b w:val="false"/>
          <w:bCs w:val="false"/>
          <w:color w:val="1B2027"/>
          <w:sz w:val="21"/>
          <w:szCs w:val="21"/>
        </w:rPr>
        <w:t xml:space="preserve"> from problem documents to your support path?</w:t>
      </w:r>
    </w:p>
    <w:p>
      <w:pPr>
        <w:pStyle w:val="ListParagraph"/>
        <w:numPr>
          <w:ilvl w:val="0"/>
          <w:numId w:val="2"/>
        </w:numPr>
        <w:spacing w:after="90" w:line="276"/>
      </w:pPr>
      <w:r>
        <w:rPr>
          <w:rFonts w:ascii="Calibri" w:cs="Calibri" w:eastAsia="Calibri" w:hAnsi="Calibri"/>
          <w:b w:val="false"/>
          <w:bCs w:val="false"/>
          <w:color w:val="1B2027"/>
          <w:sz w:val="21"/>
          <w:szCs w:val="21"/>
        </w:rPr>
        <w:t xml:space="preserve">Have you confirmed your DWG position?</w:t>
      </w:r>
    </w:p>
    <w:p>
      <w:pPr>
        <w:pStyle w:val="Heading2"/>
        <w:spacing w:after="140" w:before="280"/>
      </w:pPr>
      <w:r>
        <w:rPr>
          <w:rFonts w:ascii="Calibri" w:cs="Calibri" w:eastAsia="Calibri" w:hAnsi="Calibri"/>
          <w:b/>
          <w:bCs/>
          <w:color w:val="0F7A83"/>
          <w:sz w:val="25"/>
          <w:szCs w:val="25"/>
        </w:rPr>
        <w:t xml:space="preserve">Before you scope an embedded integration</w:t>
      </w:r>
    </w:p>
    <w:p>
      <w:pPr>
        <w:pStyle w:val="ListParagraph"/>
        <w:numPr>
          <w:ilvl w:val="0"/>
          <w:numId w:val="2"/>
        </w:numPr>
        <w:spacing w:after="90" w:line="276"/>
      </w:pPr>
      <w:r>
        <w:rPr>
          <w:rFonts w:ascii="Calibri" w:cs="Calibri" w:eastAsia="Calibri" w:hAnsi="Calibri"/>
          <w:b w:val="false"/>
          <w:bCs w:val="false"/>
          <w:color w:val="1B2027"/>
          <w:sz w:val="21"/>
          <w:szCs w:val="21"/>
        </w:rPr>
        <w:t xml:space="preserve">Have you read the embed protocol? (</w:t>
      </w:r>
      <w:r>
        <w:rPr>
          <w:rFonts w:ascii="Consolas" w:cs="Consolas" w:eastAsia="Consolas" w:hAnsi="Consolas"/>
          <w:b w:val="false"/>
          <w:bCs w:val="false"/>
          <w:color w:val="1B2027"/>
          <w:sz w:val="19"/>
          <w:szCs w:val="19"/>
        </w:rPr>
        <w:t xml:space="preserve">docs/viewer-embed-protocol.md</w:t>
      </w:r>
      <w:r>
        <w:rPr>
          <w:rFonts w:ascii="Calibri" w:cs="Calibri" w:eastAsia="Calibri" w:hAnsi="Calibri"/>
          <w:b w:val="false"/>
          <w:bCs w:val="false"/>
          <w:color w:val="1B2027"/>
          <w:sz w:val="21"/>
          <w:szCs w:val="21"/>
        </w:rPr>
        <w:t xml:space="preserve">)</w:t>
      </w:r>
    </w:p>
    <w:p>
      <w:pPr>
        <w:pStyle w:val="ListParagraph"/>
        <w:numPr>
          <w:ilvl w:val="0"/>
          <w:numId w:val="2"/>
        </w:numPr>
        <w:spacing w:after="90" w:line="276"/>
      </w:pPr>
      <w:r>
        <w:rPr>
          <w:rFonts w:ascii="Calibri" w:cs="Calibri" w:eastAsia="Calibri" w:hAnsi="Calibri"/>
          <w:b w:val="false"/>
          <w:bCs w:val="false"/>
          <w:color w:val="1B2027"/>
          <w:sz w:val="21"/>
          <w:szCs w:val="21"/>
        </w:rPr>
        <w:t xml:space="preserve">Can you mint a short-lived URL for a document, and serve a page that frames us?</w:t>
      </w:r>
    </w:p>
    <w:p>
      <w:pPr>
        <w:pStyle w:val="ListParagraph"/>
        <w:numPr>
          <w:ilvl w:val="0"/>
          <w:numId w:val="2"/>
        </w:numPr>
        <w:spacing w:after="90" w:line="276"/>
      </w:pPr>
      <w:r>
        <w:rPr>
          <w:rFonts w:ascii="Calibri" w:cs="Calibri" w:eastAsia="Calibri" w:hAnsi="Calibri"/>
          <w:b w:val="false"/>
          <w:bCs w:val="false"/>
          <w:color w:val="1B2027"/>
          <w:sz w:val="21"/>
          <w:szCs w:val="21"/>
        </w:rPr>
        <w:t xml:space="preserve">Do you have somewhere to store markup that is not the rendered file?</w:t>
      </w:r>
    </w:p>
    <w:p>
      <w:pPr>
        <w:pStyle w:val="ListParagraph"/>
        <w:numPr>
          <w:ilvl w:val="0"/>
          <w:numId w:val="2"/>
        </w:numPr>
        <w:spacing w:after="90" w:line="276"/>
      </w:pPr>
      <w:r>
        <w:rPr>
          <w:rFonts w:ascii="Calibri" w:cs="Calibri" w:eastAsia="Calibri" w:hAnsi="Calibri"/>
          <w:b w:val="false"/>
          <w:bCs w:val="false"/>
          <w:color w:val="1B2027"/>
          <w:sz w:val="21"/>
          <w:szCs w:val="21"/>
        </w:rPr>
        <w:t xml:space="preserve">Do you know which of the 17 document operations you need to implement as callbacks?</w:t>
      </w:r>
    </w:p>
    <w:p>
      <w:pPr>
        <w:pBdr>
          <w:left w:val="single" w:color="C4342A" w:sz="18" w:space="8"/>
        </w:pBdr>
        <w:shd w:fill="FBEDEC" w:color="auto" w:val="clear"/>
        <w:spacing w:after="180" w:before="140"/>
        <w:ind w:left="120" w:right="120"/>
      </w:pPr>
      <w:r>
        <w:rPr>
          <w:rFonts w:ascii="Calibri" w:cs="Calibri" w:eastAsia="Calibri" w:hAnsi="Calibri"/>
          <w:b w:val="false"/>
          <w:bCs w:val="false"/>
          <w:color w:val="1B2027"/>
          <w:sz w:val="21"/>
          <w:szCs w:val="21"/>
        </w:rPr>
        <w:t xml:space="preserve">The embed is specified but not built, so the integration you can ship </w:t>
      </w:r>
      <w:r>
        <w:rPr>
          <w:rFonts w:ascii="Calibri" w:cs="Calibri" w:eastAsia="Calibri" w:hAnsi="Calibri"/>
          <w:b/>
          <w:bCs/>
          <w:color w:val="1B2027"/>
          <w:sz w:val="21"/>
          <w:szCs w:val="21"/>
        </w:rPr>
        <w:t xml:space="preserve">today</w:t>
      </w:r>
      <w:r>
        <w:rPr>
          <w:rFonts w:ascii="Calibri" w:cs="Calibri" w:eastAsia="Calibri" w:hAnsi="Calibri"/>
          <w:b w:val="false"/>
          <w:bCs w:val="false"/>
          <w:color w:val="1B2027"/>
          <w:sz w:val="21"/>
          <w:szCs w:val="21"/>
        </w:rPr>
        <w:t xml:space="preserve"> is still section 3 and nothing else. That is a real feature and it works — it is just smaller than “embed the viewer”, and worth scoping as what it is.</w:t>
      </w:r>
    </w:p>
    <w:sectPr>
      <w:footerReference w:type="default" r:id="rId7"/>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7D1" w:sz="4" w:space="8"/>
      </w:pBdr>
      <w:jc w:val="right"/>
    </w:pPr>
    <w:r>
      <w:rPr>
        <w:rFonts w:ascii="Calibri" w:cs="Calibri" w:eastAsia="Calibri" w:hAnsi="Calibri"/>
        <w:color w:val="5F6875"/>
        <w:sz w:val="16"/>
        <w:szCs w:val="16"/>
      </w:rPr>
      <w:t xml:space="preserve">Viewer product — Integration Guide   ·   page    </w:t>
    </w:r>
    <w:r>
      <w:rPr>
        <w:rFonts w:ascii="Calibri" w:cs="Calibri" w:eastAsia="Calibri" w:hAnsi="Calibri"/>
        <w:color w:val="5F687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02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CDE Platform engineering</dc:creator>
  <dc:description>Viewer product documentation</dc:description>
  <cp:lastModifiedBy>Un-named</cp:lastModifiedBy>
  <cp:revision>1</cp:revision>
  <dcterms:created xsi:type="dcterms:W3CDTF">2026-09-09T02:03:35.122Z</dcterms:created>
  <dcterms:modified xsi:type="dcterms:W3CDTF">2026-09-09T02:03:35.123Z</dcterms:modified>
</cp:coreProperties>
</file>

<file path=docProps/custom.xml><?xml version="1.0" encoding="utf-8"?>
<Properties xmlns="http://schemas.openxmlformats.org/officeDocument/2006/custom-properties" xmlns:vt="http://schemas.openxmlformats.org/officeDocument/2006/docPropsVTypes"/>
</file>