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Fourteen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 One known functional gap: </w:t>
      </w:r>
      <w:r>
        <w:rPr>
          <w:rFonts w:ascii="Calibri" w:cs="Calibri" w:eastAsia="Calibri" w:hAnsi="Calibri"/>
          <w:b/>
          <w:bCs/>
          <w:i w:val="false"/>
          <w:iCs w:val="false"/>
          <w:color w:val="1B2027"/>
          <w:sz w:val="21"/>
          <w:szCs w:val="21"/>
        </w:rPr>
        <w:t xml:space="preserve">markup shapes cannot yet be created or moved without a pointer</w:t>
      </w:r>
      <w:r>
        <w:rPr>
          <w:rFonts w:ascii="Calibri" w:cs="Calibri" w:eastAsia="Calibri" w:hAnsi="Calibri"/>
          <w:b w:val="false"/>
          <w:bCs w:val="false"/>
          <w:i w:val="false"/>
          <w:iCs w:val="false"/>
          <w:color w:val="1B2027"/>
          <w:sz w:val="21"/>
          <w:szCs w:val="21"/>
        </w:rPr>
        <w:t xml:space="preserve">, which is an SC 2.5.7 failure in the annotation layer specifically. If your customers annotate drawings and your bid claims AA, raise this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The viewer has no hardcoded user-facing strings. Everything a reader sees carries a stable message id and a translator note, extracted to a committed catalogue — 552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2026-09-21T02:58:45.520Z</dcterms:created>
  <dcterms:modified xsi:type="dcterms:W3CDTF">2026-09-21T02:58:45.521Z</dcterms:modified>
</cp:coreProperties>
</file>

<file path=docProps/custom.xml><?xml version="1.0" encoding="utf-8"?>
<Properties xmlns="http://schemas.openxmlformats.org/officeDocument/2006/custom-properties" xmlns:vt="http://schemas.openxmlformats.org/officeDocument/2006/docPropsVTypes"/>
</file>