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Fourteen message types run viewer → host and six run host → viewer.</w:t>
      </w:r>
      <w:r>
        <w:rPr>
          <w:rFonts w:ascii="Calibri" w:cs="Calibri" w:eastAsia="Calibri" w:hAnsi="Calibri"/>
          <w:b w:val="false"/>
          <w:bCs w:val="false"/>
          <w:i w:val="false"/>
          <w:iCs w:val="false"/>
          <w:color w:val="1B2027"/>
          <w:sz w:val="21"/>
          <w:szCs w:val="21"/>
        </w:rPr>
        <w:t xml:space="preserve"> Four of the fourteen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Ten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remaining gap is the markup layer</w:t>
      </w:r>
      <w:r>
        <w:rPr>
          <w:rFonts w:ascii="Calibri" w:cs="Calibri" w:eastAsia="Calibri" w:hAnsi="Calibri"/>
          <w:b w:val="false"/>
          <w:bCs w:val="false"/>
          <w:i w:val="false"/>
          <w:iCs w:val="false"/>
          <w:color w:val="1B2027"/>
          <w:sz w:val="21"/>
          <w:szCs w:val="21"/>
        </w:rPr>
        <w:t xml:space="preserve">, and it is the same one as last time: no shape can yet be created or moved without a pointer. This is the largest accessibility item outstanding and it is not a small one.</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585 messages at this issue,</w:t>
      </w:r>
      <w:r>
        <w:rPr>
          <w:rFonts w:ascii="Calibri" w:cs="Calibri" w:eastAsia="Calibri" w:hAnsi="Calibri"/>
          <w:b w:val="false"/>
          <w:bCs w:val="false"/>
          <w:i w:val="false"/>
          <w:iCs w:val="false"/>
          <w:color w:val="1B2027"/>
          <w:sz w:val="21"/>
          <w:szCs w:val="21"/>
        </w:rPr>
        <w:t xml:space="preserve"> up from 552.</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2,185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remedy is already in the repository, and the last issue of this document described a workaround instead of 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demo/e2e/playwright.config.mjs</w:t>
      </w:r>
      <w:r>
        <w:rPr>
          <w:rFonts w:ascii="Calibri" w:cs="Calibri" w:eastAsia="Calibri" w:hAnsi="Calibri"/>
          <w:b w:val="false"/>
          <w:bCs w:val="false"/>
          <w:i w:val="false"/>
          <w:iCs w:val="false"/>
          <w:color w:val="1B2027"/>
          <w:sz w:val="21"/>
          <w:szCs w:val="21"/>
        </w:rPr>
        <w:t xml:space="preserve"> reads </w:t>
      </w:r>
      <w:r>
        <w:rPr>
          <w:rFonts w:ascii="Consolas" w:cs="Consolas" w:eastAsia="Consolas" w:hAnsi="Consolas"/>
          <w:b w:val="false"/>
          <w:bCs w:val="false"/>
          <w:i w:val="false"/>
          <w:iCs w:val="false"/>
          <w:color w:val="1B2027"/>
          <w:sz w:val="19"/>
          <w:szCs w:val="19"/>
        </w:rPr>
        <w:t xml:space="preserve">PLAYWRIGHT_CHROMIUM_PATH</w:t>
      </w:r>
      <w:r>
        <w:rPr>
          <w:rFonts w:ascii="Calibri" w:cs="Calibri" w:eastAsia="Calibri" w:hAnsi="Calibri"/>
          <w:b w:val="false"/>
          <w:bCs w:val="false"/>
          <w:i w:val="false"/>
          <w:iCs w:val="false"/>
          <w:color w:val="1B2027"/>
          <w:sz w:val="21"/>
          <w:szCs w:val="21"/>
        </w:rPr>
        <w:t xml:space="preserve"> and passes it as </w:t>
      </w:r>
      <w:r>
        <w:rPr>
          <w:rFonts w:ascii="Consolas" w:cs="Consolas" w:eastAsia="Consolas" w:hAnsi="Consolas"/>
          <w:b w:val="false"/>
          <w:bCs w:val="false"/>
          <w:i w:val="false"/>
          <w:iCs w:val="false"/>
          <w:color w:val="1B2027"/>
          <w:sz w:val="19"/>
          <w:szCs w:val="19"/>
        </w:rPr>
        <w:t xml:space="preserve">launchOptions.executablePath</w:t>
      </w:r>
      <w:r>
        <w:rPr>
          <w:rFonts w:ascii="Calibri" w:cs="Calibri" w:eastAsia="Calibri" w:hAnsi="Calibri"/>
          <w:b w:val="false"/>
          <w:bCs w:val="false"/>
          <w:i w:val="false"/>
          <w:iCs w:val="false"/>
          <w:color w:val="1B2027"/>
          <w:sz w:val="21"/>
          <w:szCs w:val="21"/>
        </w:rPr>
        <w:t xml:space="preserve">, which bypasses the build-number lookup entirely: pointing it at the installed browser passes all ten against the one that is present. The previous note said the browser had to be made “reachable under the path the pin expects”, which works and is the wrong advice — it reconstructs by hand a mechanism the config already supports, and it leaves behind container-specific directories that the next upgrade silently invalidates. The pipeline stage uses the environment variable, and falls back to installing the pinned build only when no path is given.</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90.28% line (5,583/6,184) and 85.64% branch (2,786/3,253)</w:t>
      </w:r>
      <w:r>
        <w:rPr>
          <w:rFonts w:ascii="Calibri" w:cs="Calibri" w:eastAsia="Calibri" w:hAnsi="Calibri"/>
          <w:b w:val="false"/>
          <w:bCs w:val="false"/>
          <w:i w:val="false"/>
          <w:iCs w:val="false"/>
          <w:color w:val="1B2027"/>
          <w:sz w:val="21"/>
          <w:szCs w:val="21"/>
        </w:rPr>
        <w:t xml:space="preserve">, with statements at 87.5% and functions at 74.9%,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9.4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All ten now run in CI</w:t>
      </w:r>
      <w:r>
        <w:rPr>
          <w:rFonts w:ascii="Calibri" w:cs="Calibri" w:eastAsia="Calibri" w:hAnsi="Calibri"/>
          <w:b w:val="false"/>
          <w:bCs w:val="false"/>
          <w:i w:val="false"/>
          <w:iCs w:val="false"/>
          <w:color w:val="1B2027"/>
          <w:sz w:val="21"/>
          <w:szCs w:val="21"/>
        </w:rPr>
        <w:t xml:space="preserve">, where four did when this document was last issued.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every gate in the table: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in the static-analysis stage;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then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in the build stage, because those two read the bundle and cannot run before it exists;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beside the backend’s own licence gate;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as its own stage under Tests.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six that moved had existed and passed locally for some time, which is the state worth naming rather than the fix: </w:t>
      </w:r>
      <w:r>
        <w:rPr>
          <w:rFonts w:ascii="Calibri" w:cs="Calibri" w:eastAsia="Calibri" w:hAnsi="Calibri"/>
          <w:b/>
          <w:bCs/>
          <w:i w:val="false"/>
          <w:iCs w:val="false"/>
          <w:color w:val="1B2027"/>
          <w:sz w:val="21"/>
          <w:szCs w:val="21"/>
        </w:rPr>
        <w:t xml:space="preserve">a gate nothing runs is documentation.</w:t>
      </w:r>
      <w:r>
        <w:rPr>
          <w:rFonts w:ascii="Calibri" w:cs="Calibri" w:eastAsia="Calibri" w:hAnsi="Calibri"/>
          <w:b w:val="false"/>
          <w:bCs w:val="false"/>
          <w:i w:val="false"/>
          <w:iCs w:val="false"/>
          <w:color w:val="1B2027"/>
          <w:sz w:val="21"/>
          <w:szCs w:val="21"/>
        </w:rPr>
        <w:t xml:space="preserve"> Each was written because the thing it checks is otherwise invisible in a diff, and then left where nothing could fail on it.</w:t>
      </w:r>
    </w:p>
    <w:p>
      <w:pPr>
        <w:spacing w:after="140" w:line="276"/>
      </w:pPr>
      <w:r>
        <w:rPr>
          <w:rFonts w:ascii="Calibri" w:cs="Calibri" w:eastAsia="Calibri" w:hAnsi="Calibri"/>
          <w:b w:val="false"/>
          <w:bCs w:val="false"/>
          <w:i w:val="false"/>
          <w:iCs w:val="false"/>
          <w:color w:val="1B2027"/>
          <w:sz w:val="21"/>
          <w:szCs w:val="21"/>
        </w:rPr>
        <w:t xml:space="preserve">The count is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spacing w:after="140" w:line="276"/>
      </w:pPr>
      <w:r>
        <w:rPr>
          <w:rFonts w:ascii="Calibri" w:cs="Calibri" w:eastAsia="Calibri" w:hAnsi="Calibri"/>
          <w:b w:val="false"/>
          <w:bCs w:val="false"/>
          <w:i w:val="false"/>
          <w:iCs w:val="false"/>
          <w:color w:val="1B2027"/>
          <w:sz w:val="21"/>
          <w:szCs w:val="21"/>
        </w:rPr>
        <w:t xml:space="preserve">Two of the placements are load-bearing rather than tidy.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sit after the production build in the same shell, so neither can be reached without the artifact it reads — a check that passes itself over a missing bundle reports success for every build that never produced one. And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is both halves of the frontend’s licence assurance, not just a file comparison: it refuses a forbidden licence (§2.1) or one on neither list, and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 violation, so it cannot report a clean file for a tree that is not clean. The pipeline’s own list of gates it does not provide is one line shorter as a result.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 and no longer blocked by the gates either</w:t>
      </w:r>
      <w:r>
        <w:rPr>
          <w:rFonts w:ascii="Calibri" w:cs="Calibri" w:eastAsia="Calibri" w:hAnsi="Calibri"/>
          <w:b w:val="false"/>
          <w:bCs w:val="false"/>
          <w:i w:val="false"/>
          <w:iCs w:val="false"/>
          <w:color w:val="1B2027"/>
          <w:sz w:val="21"/>
          <w:szCs w:val="21"/>
        </w:rPr>
        <w:t xml:space="preserve"> — the six that nothing called are now pipeline stages. What remains outstanding against that checklist is in section 13, and none of it is a frontend licence question.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2026-10-09T02:11:56.516Z</dcterms:created>
  <dcterms:modified xsi:type="dcterms:W3CDTF">2026-10-09T02:11:56.517Z</dcterms:modified>
</cp:coreProperties>
</file>

<file path=docProps/custom.xml><?xml version="1.0" encoding="utf-8"?>
<Properties xmlns="http://schemas.openxmlformats.org/officeDocument/2006/custom-properties" xmlns:vt="http://schemas.openxmlformats.org/officeDocument/2006/docPropsVTypes"/>
</file>