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9.4); two drag-only interactions have a keyboard route, and a set of controls that announced themselves as glyphs now have names (sections 9.2 and 9.3);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is inside the section 3.3 size limits throughout (section 3.2). </w:t>
      </w:r>
      <w:r>
        <w:rPr>
          <w:rFonts w:ascii="Calibri" w:cs="Calibri" w:eastAsia="Calibri" w:hAnsi="Calibri"/>
          <w:b/>
          <w:bCs/>
          <w:i w:val="false"/>
          <w:iCs w:val="false"/>
          <w:color w:val="1B2027"/>
          <w:sz w:val="21"/>
          <w:szCs w:val="21"/>
        </w:rPr>
        <w:t xml:space="preserve">One claim in the last issue was wrong</w:t>
      </w:r>
      <w:r>
        <w:rPr>
          <w:rFonts w:ascii="Calibri" w:cs="Calibri" w:eastAsia="Calibri" w:hAnsi="Calibri"/>
          <w:b w:val="false"/>
          <w:bCs w:val="false"/>
          <w:i w:val="false"/>
          <w:iCs w:val="false"/>
          <w:color w:val="1B2027"/>
          <w:sz w:val="21"/>
          <w:szCs w:val="21"/>
        </w:rPr>
        <w:t xml:space="preserve"> and is corrected in section 12 — the environment note that qualified every statement about test results.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372</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geometry updates and hit testing. Pointer handling and the in-progress shape moved out to markup-drawing-session when the second surface needed them</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now inside the §3.3 limits.</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190,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Two spec files remain over the 400-line file limit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(408). Recorded rather than hidden; they are the next thing to split.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33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Thirteen message types run viewer → host and six run host → viewer.</w:t>
      </w:r>
      <w:r>
        <w:rPr>
          <w:rFonts w:ascii="Calibri" w:cs="Calibri" w:eastAsia="Calibri" w:hAnsi="Calibri"/>
          <w:b w:val="false"/>
          <w:bCs w:val="false"/>
          <w:i w:val="false"/>
          <w:iCs w:val="false"/>
          <w:color w:val="1B2027"/>
          <w:sz w:val="21"/>
          <w:szCs w:val="21"/>
        </w:rPr>
        <w:t xml:space="preserve"> Four of the thirteen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Eleven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spacing w:after="140" w:line="276"/>
      </w:pPr>
      <w:r>
        <w:rPr>
          <w:rFonts w:ascii="Calibri" w:cs="Calibri" w:eastAsia="Calibri" w:hAnsi="Calibri"/>
          <w:b w:val="false"/>
          <w:bCs w:val="false"/>
          <w:i w:val="false"/>
          <w:iCs w:val="false"/>
          <w:color w:val="1B2027"/>
          <w:sz w:val="21"/>
          <w:szCs w:val="21"/>
        </w:rPr>
        <w:t xml:space="preserve">Four, now. The eleventh test exists because </w:t>
      </w:r>
      <w:r>
        <w:rPr>
          <w:rFonts w:ascii="Calibri" w:cs="Calibri" w:eastAsia="Calibri" w:hAnsi="Calibri"/>
          <w:b/>
          <w:bCs/>
          <w:i w:val="false"/>
          <w:iCs w:val="false"/>
          <w:color w:val="1B2027"/>
          <w:sz w:val="21"/>
          <w:szCs w:val="21"/>
        </w:rPr>
        <w:t xml:space="preserve">the demo was missing a documented event, and the demo is what an integrator reads instead of the specification.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viewer.selectionChanged</w:t>
      </w:r>
      <w:r>
        <w:rPr>
          <w:rFonts w:ascii="Calibri" w:cs="Calibri" w:eastAsia="Calibri" w:hAnsi="Calibri"/>
          <w:b w:val="false"/>
          <w:bCs w:val="false"/>
          <w:i w:val="false"/>
          <w:iCs w:val="false"/>
          <w:color w:val="1B2027"/>
          <w:sz w:val="21"/>
          <w:szCs w:val="21"/>
        </w:rPr>
        <w:t xml:space="preserve"> is in the protocol’s event table and is genuinely sent by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and the demo neither handled it nor summarised it in its log — so a host built by copying the reference integration would have omitted it without anything saying so. It now highlights the stored row whose markup the reader has selected, and clears the highlight when the selection goes to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 the half most likely to be got wrong, because a host that treats a clear as a selection leaves the last row highlighted for ever.</w:t>
      </w:r>
    </w:p>
    <w:p>
      <w:pPr>
        <w:pStyle w:val="Heading2"/>
        <w:spacing w:after="140" w:before="280"/>
      </w:pPr>
      <w:r>
        <w:rPr>
          <w:rFonts w:ascii="Calibri" w:cs="Calibri" w:eastAsia="Calibri" w:hAnsi="Calibri"/>
          <w:b/>
          <w:bCs/>
          <w:color w:val="0F7A83"/>
          <w:sz w:val="25"/>
          <w:szCs w:val="25"/>
        </w:rPr>
        <w:t xml:space="preserve">4.3  A documented event that nothing sent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Checking the demo against the protocol found the drift running the other way too, and worse. </w:t>
      </w:r>
      <w:r>
        <w:rPr>
          <w:rFonts w:ascii="Consolas" w:cs="Consolas" w:eastAsia="Consolas" w:hAnsi="Consolas"/>
          <w:b/>
          <w:bCs/>
          <w:i w:val="false"/>
          <w:iCs w:val="false"/>
          <w:color w:val="1B2027"/>
          <w:sz w:val="19"/>
          <w:szCs w:val="19"/>
        </w:rPr>
        <w:t xml:space="preserve">viewer.resized</w:t>
      </w:r>
      <w:r>
        <w:rPr>
          <w:rFonts w:ascii="Calibri" w:cs="Calibri" w:eastAsia="Calibri" w:hAnsi="Calibri"/>
          <w:b/>
          <w:bCs/>
          <w:i w:val="false"/>
          <w:iCs w:val="false"/>
          <w:color w:val="1B2027"/>
          <w:sz w:val="21"/>
          <w:szCs w:val="21"/>
        </w:rPr>
        <w:t xml:space="preserve"> was declared in the </w:t>
      </w:r>
      <w:r>
        <w:rPr>
          <w:rFonts w:ascii="Consolas" w:cs="Consolas" w:eastAsia="Consolas" w:hAnsi="Consolas"/>
          <w:b/>
          <w:bCs/>
          <w:i w:val="false"/>
          <w:iCs w:val="false"/>
          <w:color w:val="1B2027"/>
          <w:sz w:val="19"/>
          <w:szCs w:val="19"/>
        </w:rPr>
        <w:t xml:space="preserve">ViewerMessageType</w:t>
      </w:r>
      <w:r>
        <w:rPr>
          <w:rFonts w:ascii="Calibri" w:cs="Calibri" w:eastAsia="Calibri" w:hAnsi="Calibri"/>
          <w:b/>
          <w:bCs/>
          <w:i w:val="false"/>
          <w:iCs w:val="false"/>
          <w:color w:val="1B2027"/>
          <w:sz w:val="21"/>
          <w:szCs w:val="21"/>
        </w:rPr>
        <w:t xml:space="preserve"> union and documented in </w:t>
      </w:r>
      <w:r>
        <w:rPr>
          <w:rFonts w:ascii="Consolas" w:cs="Consolas" w:eastAsia="Consolas" w:hAnsi="Consolas"/>
          <w:b/>
          <w:bCs/>
          <w:i w:val="false"/>
          <w:iCs w:val="false"/>
          <w:color w:val="1B2027"/>
          <w:sz w:val="19"/>
          <w:szCs w:val="19"/>
        </w:rPr>
        <w:t xml:space="preserve">docs/viewer-embed-protocol.md</w:t>
      </w:r>
      <w:r>
        <w:rPr>
          <w:rFonts w:ascii="Calibri" w:cs="Calibri" w:eastAsia="Calibri" w:hAnsi="Calibri"/>
          <w:b/>
          <w:bCs/>
          <w:i w:val="false"/>
          <w:iCs w:val="false"/>
          <w:color w:val="1B2027"/>
          <w:sz w:val="21"/>
          <w:szCs w:val="21"/>
        </w:rPr>
        <w:t xml:space="preserve"> — the file </w:t>
      </w:r>
      <w:r>
        <w:rPr>
          <w:rFonts w:ascii="Consolas" w:cs="Consolas" w:eastAsia="Consolas" w:hAnsi="Consolas"/>
          <w:b/>
          <w:bCs/>
          <w:i w:val="false"/>
          <w:iCs w:val="false"/>
          <w:color w:val="1B2027"/>
          <w:sz w:val="19"/>
          <w:szCs w:val="19"/>
        </w:rPr>
        <w:t xml:space="preserve">embed-protocol.ts</w:t>
      </w:r>
      <w:r>
        <w:rPr>
          <w:rFonts w:ascii="Calibri" w:cs="Calibri" w:eastAsia="Calibri" w:hAnsi="Calibri"/>
          <w:b/>
          <w:bCs/>
          <w:i w:val="false"/>
          <w:iCs w:val="false"/>
          <w:color w:val="1B2027"/>
          <w:sz w:val="21"/>
          <w:szCs w:val="21"/>
        </w:rPr>
        <w:t xml:space="preserve"> names as the authority — with a payload shape of </w:t>
      </w:r>
      <w:r>
        <w:rPr>
          <w:rFonts w:ascii="Consolas" w:cs="Consolas" w:eastAsia="Consolas" w:hAnsi="Consolas"/>
          <w:b/>
          <w:bCs/>
          <w:i w:val="false"/>
          <w:iCs w:val="false"/>
          <w:color w:val="1B2027"/>
          <w:sz w:val="19"/>
          <w:szCs w:val="19"/>
        </w:rPr>
        <w:t xml:space="preserve">{ contentHeightPx }</w:t>
      </w:r>
      <w:r>
        <w:rPr>
          <w:rFonts w:ascii="Calibri" w:cs="Calibri" w:eastAsia="Calibri" w:hAnsi="Calibri"/>
          <w:b/>
          <w:bCs/>
          <w:i w:val="false"/>
          <w:iCs w:val="false"/>
          <w:color w:val="1B2027"/>
          <w:sz w:val="21"/>
          <w:szCs w:val="21"/>
        </w:rPr>
        <w:t xml:space="preserve"> and guidance on when a host should ignore it. No code path ever sent it.</w:t>
      </w:r>
    </w:p>
    <w:p>
      <w:pPr>
        <w:spacing w:after="140" w:line="276"/>
      </w:pPr>
      <w:r>
        <w:rPr>
          <w:rFonts w:ascii="Calibri" w:cs="Calibri" w:eastAsia="Calibri" w:hAnsi="Calibri"/>
          <w:b w:val="false"/>
          <w:bCs w:val="false"/>
          <w:i w:val="false"/>
          <w:iCs w:val="false"/>
          <w:color w:val="1B2027"/>
          <w:sz w:val="21"/>
          <w:szCs w:val="21"/>
        </w:rPr>
        <w:t xml:space="preserve">A host implementing the published protocol would wire a handler, size its frame to the content, and wait for an event that never arrives. Nothing errors. The frame simply never resizes, and the integrator looks for the bug in their own code, because the document they are working from says the event exists.</w:t>
      </w:r>
    </w:p>
    <w:p>
      <w:pPr>
        <w:spacing w:after="140" w:line="276"/>
      </w:pPr>
      <w:r>
        <w:rPr>
          <w:rFonts w:ascii="Calibri" w:cs="Calibri" w:eastAsia="Calibri" w:hAnsi="Calibri"/>
          <w:b w:val="false"/>
          <w:bCs w:val="false"/>
          <w:i w:val="false"/>
          <w:iCs w:val="false"/>
          <w:color w:val="1B2027"/>
          <w:sz w:val="21"/>
          <w:szCs w:val="21"/>
        </w:rPr>
        <w:t xml:space="preserve">No test could have caught it: the event nothing sends is also the event nothing asserts, so the suite was green and the protocol was wrong. What catches it is a comparison between the three places the protocol describes itself — the union, the </w:t>
      </w:r>
      <w:r>
        <w:rPr>
          <w:rFonts w:ascii="Consolas" w:cs="Consolas" w:eastAsia="Consolas" w:hAnsi="Consolas"/>
          <w:b w:val="false"/>
          <w:bCs w:val="false"/>
          <w:i w:val="false"/>
          <w:iCs w:val="false"/>
          <w:color w:val="1B2027"/>
          <w:sz w:val="19"/>
          <w:szCs w:val="19"/>
        </w:rPr>
        <w:t xml:space="preserve">send</w:t>
      </w:r>
      <w:r>
        <w:rPr>
          <w:rFonts w:ascii="Calibri" w:cs="Calibri" w:eastAsia="Calibri" w:hAnsi="Calibri"/>
          <w:b w:val="false"/>
          <w:bCs w:val="false"/>
          <w:i w:val="false"/>
          <w:iCs w:val="false"/>
          <w:color w:val="1B2027"/>
          <w:sz w:val="21"/>
          <w:szCs w:val="21"/>
        </w:rPr>
        <w:t xml:space="preserve"> calls, and the authority’s event table — which is now the </w:t>
      </w:r>
      <w:r>
        <w:rPr>
          <w:rFonts w:ascii="Consolas" w:cs="Consolas" w:eastAsia="Consolas" w:hAnsi="Consolas"/>
          <w:b w:val="false"/>
          <w:bCs w:val="false"/>
          <w:i w:val="false"/>
          <w:iCs w:val="false"/>
          <w:color w:val="1B2027"/>
          <w:sz w:val="19"/>
          <w:szCs w:val="19"/>
        </w:rPr>
        <w:t xml:space="preserve">check:embed-protocol</w:t>
      </w:r>
      <w:r>
        <w:rPr>
          <w:rFonts w:ascii="Calibri" w:cs="Calibri" w:eastAsia="Calibri" w:hAnsi="Calibri"/>
          <w:b w:val="false"/>
          <w:bCs w:val="false"/>
          <w:i w:val="false"/>
          <w:iCs w:val="false"/>
          <w:color w:val="1B2027"/>
          <w:sz w:val="21"/>
          <w:szCs w:val="21"/>
        </w:rPr>
        <w:t xml:space="preserve"> gate in §12.2. It was verified by putting the defect back and watching it fail, and it names the consequence rather than the discrepancy: </w:t>
      </w:r>
      <w:r>
        <w:rPr>
          <w:rFonts w:ascii="Calibri" w:cs="Calibri" w:eastAsia="Calibri" w:hAnsi="Calibri"/>
          <w:b w:val="false"/>
          <w:bCs w:val="false"/>
          <w:i/>
          <w:iCs/>
          <w:color w:val="1B2027"/>
          <w:sz w:val="21"/>
          <w:szCs w:val="21"/>
        </w:rPr>
        <w:t xml:space="preserve">a host that handles it waits for an event that never arrives.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event is removed rather than implemented, and that is a deliberate choice with an open question behind it. The viewer paginates and scrolls internally, so “content height” has no single meaning — one page, all pages, or the current fit — and the answer is entangled with whether the viewer should ever manage its own scrolling, which changes the accessibility story around focus and scroll containers. </w:t>
      </w:r>
      <w:r>
        <w:rPr>
          <w:rFonts w:ascii="Calibri" w:cs="Calibri" w:eastAsia="Calibri" w:hAnsi="Calibri"/>
          <w:b/>
          <w:bCs/>
          <w:i w:val="false"/>
          <w:iCs w:val="false"/>
          <w:color w:val="1B2027"/>
          <w:sz w:val="21"/>
          <w:szCs w:val="21"/>
        </w:rPr>
        <w:t xml:space="preserve">That decision is open; advertising the event before it is made is not a way of keeping it open.</w:t>
      </w:r>
      <w:r>
        <w:rPr>
          <w:rFonts w:ascii="Calibri" w:cs="Calibri" w:eastAsia="Calibri" w:hAnsi="Calibri"/>
          <w:b w:val="false"/>
          <w:bCs w:val="false"/>
          <w:i w:val="false"/>
          <w:iCs w:val="false"/>
          <w:color w:val="1B2027"/>
          <w:sz w:val="21"/>
          <w:szCs w:val="21"/>
        </w:rPr>
        <w:t xml:space="preserve"> A host that wants the frame to follow the content measures it from its own page.</w:t>
      </w:r>
    </w:p>
    <w:p>
      <w:pPr>
        <w:pStyle w:val="Heading2"/>
        <w:spacing w:after="140" w:before="280"/>
      </w:pPr>
      <w:r>
        <w:rPr>
          <w:rFonts w:ascii="Calibri" w:cs="Calibri" w:eastAsia="Calibri" w:hAnsi="Calibri"/>
          <w:b/>
          <w:bCs/>
          <w:color w:val="0F7A83"/>
          <w:sz w:val="25"/>
          <w:szCs w:val="25"/>
        </w:rPr>
        <w:t xml:space="preserve">4.4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remaining gap is the markup layer</w:t>
      </w:r>
      <w:r>
        <w:rPr>
          <w:rFonts w:ascii="Calibri" w:cs="Calibri" w:eastAsia="Calibri" w:hAnsi="Calibri"/>
          <w:b w:val="false"/>
          <w:bCs w:val="false"/>
          <w:i w:val="false"/>
          <w:iCs w:val="false"/>
          <w:color w:val="1B2027"/>
          <w:sz w:val="21"/>
          <w:szCs w:val="21"/>
        </w:rPr>
        <w:t xml:space="preserve">, and it is the same one as last time: no shape can yet be created or moved without a pointer. This is the largest accessibility item outstanding and it is not a small one.</w:t>
      </w:r>
    </w:p>
    <w:p>
      <w:pPr>
        <w:spacing w:after="140" w:line="276"/>
      </w:pPr>
      <w:r>
        <w:rPr>
          <w:rFonts w:ascii="Calibri" w:cs="Calibri" w:eastAsia="Calibri" w:hAnsi="Calibri"/>
          <w:b w:val="false"/>
          <w:bCs w:val="false"/>
          <w:i w:val="false"/>
          <w:iCs w:val="false"/>
          <w:color w:val="1B2027"/>
          <w:sz w:val="21"/>
          <w:szCs w:val="21"/>
        </w:rPr>
        <w:t xml:space="preserve">The callout half of that sentence is fixed, and the sentence was wrong about why. It read: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The first clause was true and the inference from it was not — acting on it would have changed nothing. </w:t>
      </w:r>
      <w:r>
        <w:rPr>
          <w:rFonts w:ascii="Consolas" w:cs="Consolas" w:eastAsia="Consolas" w:hAnsi="Consolas"/>
          <w:b w:val="false"/>
          <w:bCs w:val="false"/>
          <w:i w:val="false"/>
          <w:iCs w:val="false"/>
          <w:color w:val="1B2027"/>
          <w:sz w:val="19"/>
          <w:szCs w:val="19"/>
        </w:rPr>
        <w:t xml:space="preserve">pointerDown</w:t>
      </w:r>
      <w:r>
        <w:rPr>
          <w:rFonts w:ascii="Calibri" w:cs="Calibri" w:eastAsia="Calibri" w:hAnsi="Calibri"/>
          <w:b w:val="false"/>
          <w:bCs w:val="false"/>
          <w:i w:val="false"/>
          <w:iCs w:val="false"/>
          <w:color w:val="1B2027"/>
          <w:sz w:val="21"/>
          <w:szCs w:val="21"/>
        </w:rPr>
        <w:t xml:space="preserve"> routed a callout by </w:t>
      </w:r>
      <w:r>
        <w:rPr>
          <w:rFonts w:ascii="Consolas" w:cs="Consolas" w:eastAsia="Consolas" w:hAnsi="Consolas"/>
          <w:b w:val="false"/>
          <w:bCs w:val="false"/>
          <w:i w:val="false"/>
          <w:iCs w:val="false"/>
          <w:color w:val="1B2027"/>
          <w:sz w:val="19"/>
          <w:szCs w:val="19"/>
        </w:rPr>
        <w:t xml:space="preserve">isTextTool</w:t>
      </w:r>
      <w:r>
        <w:rPr>
          <w:rFonts w:ascii="Calibri" w:cs="Calibri" w:eastAsia="Calibri" w:hAnsi="Calibri"/>
          <w:b w:val="false"/>
          <w:bCs w:val="false"/>
          <w:i w:val="false"/>
          <w:iCs w:val="false"/>
          <w:color w:val="1B2027"/>
          <w:sz w:val="21"/>
          <w:szCs w:val="21"/>
        </w:rPr>
        <w:t xml:space="preserve">, which answers “does this shape carry words” rather than “is this put down by a click or by a drag”, so a callout took the click path and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was never reached for one at all. Adding the missing case on its own would have been inert, which is the trap in a gap recorded with a plausible cause attached: the next person fixes the cause and ships no change. Those are two different questions and now have two predicates.</w:t>
      </w:r>
    </w:p>
    <w:p>
      <w:pPr>
        <w:spacing w:after="140" w:line="276"/>
      </w:pPr>
      <w:r>
        <w:rPr>
          <w:rFonts w:ascii="Calibri" w:cs="Calibri" w:eastAsia="Calibri" w:hAnsi="Calibri"/>
          <w:b w:val="false"/>
          <w:bCs w:val="false"/>
          <w:i w:val="false"/>
          <w:iCs w:val="false"/>
          <w:color w:val="1B2027"/>
          <w:sz w:val="21"/>
          <w:szCs w:val="21"/>
        </w:rPr>
        <w:t xml:space="preserve">A callout has two positions — the anchor on the feature and the label clear of it — so it is now the one text tool placed by dragging: press on the detail, pull the label to where it should sit, and the words are asked for on release, which is also the only order a modal prompt permits. Before this every label sat at the seeded offset of eighty right and forty up: on a crowded drawing usually over the detail being annotated, near a page edge off the page, and no gesture moved it. A click that never moves still places a callout at that offset, so the gesture that already existed is extended rather than replaced.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not an accessibility improvement and must not be counted as one.</w:t>
      </w:r>
      <w:r>
        <w:rPr>
          <w:rFonts w:ascii="Calibri" w:cs="Calibri" w:eastAsia="Calibri" w:hAnsi="Calibri"/>
          <w:b w:val="false"/>
          <w:bCs w:val="false"/>
          <w:i w:val="false"/>
          <w:iCs w:val="false"/>
          <w:color w:val="1B2027"/>
          <w:sz w:val="21"/>
          <w:szCs w:val="21"/>
        </w:rPr>
        <w:t xml:space="preserve"> It adds a drag to a layer that was already wholly pointer-dependent. The label’s only pointer-free outcome is the seeded offset, which is a fallback and not the equivalent SC 2.5.7 asks for.</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spacing w:after="140" w:line="276"/>
      </w:pPr>
      <w:r>
        <w:rPr>
          <w:rFonts w:ascii="Calibri" w:cs="Calibri" w:eastAsia="Calibri" w:hAnsi="Calibri"/>
          <w:b w:val="false"/>
          <w:bCs w:val="false"/>
          <w:i w:val="false"/>
          <w:iCs w:val="false"/>
          <w:color w:val="1B2027"/>
          <w:sz w:val="21"/>
          <w:szCs w:val="21"/>
        </w:rPr>
        <w:t xml:space="preserve">A later pass found one more of the same family, and it is the one a buyer’s auditor is most likely to meet: </w:t>
      </w:r>
      <w:r>
        <w:rPr>
          <w:rFonts w:ascii="Calibri" w:cs="Calibri" w:eastAsia="Calibri" w:hAnsi="Calibri"/>
          <w:b/>
          <w:bCs/>
          <w:i w:val="false"/>
          <w:iCs w:val="false"/>
          <w:color w:val="1B2027"/>
          <w:sz w:val="21"/>
          <w:szCs w:val="21"/>
        </w:rPr>
        <w:t xml:space="preserve">the embedded toolbar declared </w:t>
      </w:r>
      <w:r>
        <w:rPr>
          <w:rFonts w:ascii="Consolas" w:cs="Consolas" w:eastAsia="Consolas" w:hAnsi="Consolas"/>
          <w:b/>
          <w:bCs/>
          <w:i w:val="false"/>
          <w:iCs w:val="false"/>
          <w:color w:val="1B2027"/>
          <w:sz w:val="19"/>
          <w:szCs w:val="19"/>
        </w:rPr>
        <w:t xml:space="preserve">role="toolbar"</w:t>
      </w:r>
      <w:r>
        <w:rPr>
          <w:rFonts w:ascii="Calibri" w:cs="Calibri" w:eastAsia="Calibri" w:hAnsi="Calibri"/>
          <w:b/>
          <w:bCs/>
          <w:i w:val="false"/>
          <w:iCs w:val="false"/>
          <w:color w:val="1B2027"/>
          <w:sz w:val="21"/>
          <w:szCs w:val="21"/>
        </w:rPr>
        <w:t xml:space="preserve"> without implementing it.</w:t>
      </w:r>
      <w:r>
        <w:rPr>
          <w:rFonts w:ascii="Calibri" w:cs="Calibri" w:eastAsia="Calibri" w:hAnsi="Calibri"/>
          <w:b w:val="false"/>
          <w:bCs w:val="false"/>
          <w:i w:val="false"/>
          <w:iCs w:val="false"/>
          <w:color w:val="1B2027"/>
          <w:sz w:val="21"/>
          <w:szCs w:val="21"/>
        </w:rPr>
        <w:t xml:space="preserve"> That role promises arrow-key navigation over a single tab stop, and the row is a set of ordinary buttons each with its own tab stop. A screen-reader user is told it is a toolbar, presses the arrows, and nothing moves — worse off than one told it is a group of named buttons, which is what §1A.2 means by bad ARIA being worse than none. It is </w:t>
      </w:r>
      <w:r>
        <w:rPr>
          <w:rFonts w:ascii="Consolas" w:cs="Consolas" w:eastAsia="Consolas" w:hAnsi="Consolas"/>
          <w:b w:val="false"/>
          <w:bCs w:val="false"/>
          <w:i w:val="false"/>
          <w:iCs w:val="false"/>
          <w:color w:val="1B2027"/>
          <w:sz w:val="19"/>
          <w:szCs w:val="19"/>
        </w:rPr>
        <w:t xml:space="preserve">role="group"</w:t>
      </w:r>
      <w:r>
        <w:rPr>
          <w:rFonts w:ascii="Calibri" w:cs="Calibri" w:eastAsia="Calibri" w:hAnsi="Calibri"/>
          <w:b w:val="false"/>
          <w:bCs w:val="false"/>
          <w:i w:val="false"/>
          <w:iCs w:val="false"/>
          <w:color w:val="1B2027"/>
          <w:sz w:val="21"/>
          <w:szCs w:val="21"/>
        </w:rPr>
        <w:t xml:space="preserve"> now, which promises only what is there.</w:t>
      </w:r>
    </w:p>
    <w:p>
      <w:pPr>
        <w:spacing w:after="140" w:line="276"/>
      </w:pPr>
      <w:r>
        <w:rPr>
          <w:rFonts w:ascii="Calibri" w:cs="Calibri" w:eastAsia="Calibri" w:hAnsi="Calibri"/>
          <w:b w:val="false"/>
          <w:bCs w:val="false"/>
          <w:i w:val="false"/>
          <w:iCs w:val="false"/>
          <w:color w:val="1B2027"/>
          <w:sz w:val="21"/>
          <w:szCs w:val="21"/>
        </w:rPr>
        <w:t xml:space="preserve">The full viewer’s own command bar had already reached that conclusion and written it down in a comment two directories away. A rule recorded in a comment beside one component does not reach the next person writing another, which is why it is in this document and asserted in both components’ specs.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Style w:val="Heading2"/>
        <w:spacing w:after="140" w:before="280"/>
      </w:pPr>
      <w:r>
        <w:rPr>
          <w:rFonts w:ascii="Calibri" w:cs="Calibri" w:eastAsia="Calibri" w:hAnsi="Calibri"/>
          <w:b/>
          <w:bCs/>
          <w:color w:val="0F7A83"/>
          <w:sz w:val="25"/>
          <w:szCs w:val="25"/>
        </w:rPr>
        <w:t xml:space="preserve">9.4  Localisation</w:t>
      </w:r>
    </w:p>
    <w:p>
      <w:pPr>
        <w:spacing w:after="140" w:line="276"/>
      </w:pPr>
      <w:r>
        <w:rPr>
          <w:rFonts w:ascii="Calibri" w:cs="Calibri" w:eastAsia="Calibri" w:hAnsi="Calibri"/>
          <w:b w:val="false"/>
          <w:bCs w:val="false"/>
          <w:i w:val="false"/>
          <w:iCs w:val="false"/>
          <w:color w:val="1B2027"/>
          <w:sz w:val="21"/>
          <w:szCs w:val="21"/>
        </w:rPr>
        <w:t xml:space="preserve">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585 messages at this issue,</w:t>
      </w:r>
      <w:r>
        <w:rPr>
          <w:rFonts w:ascii="Calibri" w:cs="Calibri" w:eastAsia="Calibri" w:hAnsi="Calibri"/>
          <w:b w:val="false"/>
          <w:bCs w:val="false"/>
          <w:i w:val="false"/>
          <w:iCs w:val="false"/>
          <w:color w:val="1B2027"/>
          <w:sz w:val="21"/>
          <w:szCs w:val="21"/>
        </w:rPr>
        <w:t xml:space="preserve"> up from 552.</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document said there were none left, and that was wrong by nine.</w:t>
      </w:r>
      <w:r>
        <w:rPr>
          <w:rFonts w:ascii="Calibri" w:cs="Calibri" w:eastAsia="Calibri" w:hAnsi="Calibri"/>
          <w:b w:val="false"/>
          <w:bCs w:val="false"/>
          <w:i w:val="false"/>
          <w:iCs w:val="false"/>
          <w:color w:val="1B2027"/>
          <w:sz w:val="21"/>
          <w:szCs w:val="21"/>
        </w:rPr>
        <w:t xml:space="preserve"> They were found by writing specs over two panels that had none, not by either gate. Three were in the version-history panel — one inside a </w:t>
      </w:r>
      <w:r>
        <w:rPr>
          <w:rFonts w:ascii="Consolas" w:cs="Consolas" w:eastAsia="Consolas" w:hAnsi="Consolas"/>
          <w:b w:val="false"/>
          <w:bCs w:val="false"/>
          <w:i w:val="false"/>
          <w:iCs w:val="false"/>
          <w:color w:val="1B2027"/>
          <w:sz w:val="19"/>
          <w:szCs w:val="19"/>
        </w:rPr>
        <w:t xml:space="preserve">confirm()</w:t>
      </w:r>
      <w:r>
        <w:rPr>
          <w:rFonts w:ascii="Calibri" w:cs="Calibri" w:eastAsia="Calibri" w:hAnsi="Calibri"/>
          <w:b w:val="false"/>
          <w:bCs w:val="false"/>
          <w:i w:val="false"/>
          <w:iCs w:val="false"/>
          <w:color w:val="1B2027"/>
          <w:sz w:val="21"/>
          <w:szCs w:val="21"/>
        </w:rPr>
        <w:t xml:space="preserve">, two set on an error signal — and six in the embed viewer, three of them operands of a template expression and three returned from a method. None was template </w:t>
      </w:r>
      <w:r>
        <w:rPr>
          <w:rFonts w:ascii="Calibri" w:cs="Calibri" w:eastAsia="Calibri" w:hAnsi="Calibri"/>
          <w:b w:val="false"/>
          <w:bCs w:val="false"/>
          <w:i/>
          <w:iCs/>
          <w:color w:val="1B2027"/>
          <w:sz w:val="21"/>
          <w:szCs w:val="21"/>
        </w:rPr>
        <w:t xml:space="preserve">text</w:t>
      </w:r>
      <w:r>
        <w:rPr>
          <w:rFonts w:ascii="Calibri" w:cs="Calibri" w:eastAsia="Calibri" w:hAnsi="Calibri"/>
          <w:b w:val="false"/>
          <w:bCs w:val="false"/>
          <w:i w:val="false"/>
          <w:iCs w:val="false"/>
          <w:color w:val="1B2027"/>
          <w:sz w:val="21"/>
          <w:szCs w:val="21"/>
        </w:rPr>
        <w:t xml:space="preserve">, which is what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for, and none was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which is what the extractor collects. A string in an expression operand or a return statement is invisible to both. The embed viewer is the worst place in the product for it: it renders inside a customer’s own application, so the English appeared framed by their translated interface.</w:t>
      </w:r>
    </w:p>
    <w:p>
      <w:pPr>
        <w:spacing w:after="140" w:line="276"/>
      </w:pPr>
      <w:r>
        <w:rPr>
          <w:rFonts w:ascii="Calibri" w:cs="Calibri" w:eastAsia="Calibri" w:hAnsi="Calibri"/>
          <w:b w:val="false"/>
          <w:bCs w:val="false"/>
          <w:i w:val="false"/>
          <w:iCs w:val="false"/>
          <w:color w:val="1B2027"/>
          <w:sz w:val="21"/>
          <w:szCs w:val="21"/>
        </w:rPr>
        <w:t xml:space="preserve">The gates have not been widened to catch this class, and saying so is more useful than implying they have. What would catch it is a lint rule against bare string literals reaching a template binding or a user-visible signal, which is a different kind of check from either existing gate. Until then the honest statement is that the catalogue is complete as far as two mechanical sweeps can see, and a string placed where neither looks will still get through.</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Node version note has now been wrong twice, in opposite directions, and the facts are worth stating carefully because they qualify every test claim in this document.</w:t>
      </w:r>
      <w:r>
        <w:rPr>
          <w:rFonts w:ascii="Calibri" w:cs="Calibri" w:eastAsia="Calibri" w:hAnsi="Calibri"/>
          <w:b w:val="false"/>
          <w:bCs w:val="false"/>
          <w:i w:val="false"/>
          <w:iCs w:val="false"/>
          <w:color w:val="1B2027"/>
          <w:sz w:val="21"/>
          <w:szCs w:val="21"/>
        </w:rPr>
        <w:t xml:space="preserve"> The issue before last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cannot run on Node 22.22.2 at all. The last issue corrected that to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reported the suite running. Both are half right, and the half that matters is this: </w:t>
      </w:r>
      <w:r>
        <w:rPr>
          <w:rFonts w:ascii="Calibri" w:cs="Calibri" w:eastAsia="Calibri" w:hAnsi="Calibri"/>
          <w:b/>
          <w:bCs/>
          <w:i w:val="false"/>
          <w:iCs w:val="false"/>
          <w:color w:val="1B2027"/>
          <w:sz w:val="21"/>
          <w:szCs w:val="21"/>
        </w:rPr>
        <w:t xml:space="preserve">npm’s </w:t>
      </w:r>
      <w:r>
        <w:rPr>
          <w:rFonts w:ascii="Consolas" w:cs="Consolas" w:eastAsia="Consolas" w:hAnsi="Consolas"/>
          <w:b/>
          <w:bCs/>
          <w:i w:val="false"/>
          <w:iCs w:val="false"/>
          <w:color w:val="1B2027"/>
          <w:sz w:val="19"/>
          <w:szCs w:val="19"/>
        </w:rPr>
        <w:t xml:space="preserve">engines</w:t>
      </w:r>
      <w:r>
        <w:rPr>
          <w:rFonts w:ascii="Calibri" w:cs="Calibri" w:eastAsia="Calibri" w:hAnsi="Calibri"/>
          <w:b/>
          <w:bCs/>
          <w:i w:val="false"/>
          <w:iCs w:val="false"/>
          <w:color w:val="1B2027"/>
          <w:sz w:val="21"/>
          <w:szCs w:val="21"/>
        </w:rPr>
        <w:t xml:space="preserve"> check is advisory, and the Angular CLI’s own runtime check is not.</w:t>
      </w:r>
      <w:r>
        <w:rPr>
          <w:rFonts w:ascii="Calibri" w:cs="Calibri" w:eastAsia="Calibri" w:hAnsi="Calibri"/>
          <w:b w:val="false"/>
          <w:bCs w:val="false"/>
          <w:i w:val="false"/>
          <w:iCs w:val="false"/>
          <w:color w:val="1B2027"/>
          <w:sz w:val="21"/>
          <w:szCs w:val="21"/>
        </w:rPr>
        <w:t xml:space="preserve"> They are two different gates.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installs happily;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then reports the detected version, states that the CLI requires v22.22.3 or v24.15.0, and exits without running anything. Whether the suite runs depends entirely on which Node is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not on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 development container ships 22.22.2, which is 0.0.1 below the floor, so </w:t>
      </w:r>
      <w:r>
        <w:rPr>
          <w:rFonts w:ascii="Calibri" w:cs="Calibri" w:eastAsia="Calibri" w:hAnsi="Calibri"/>
          <w:b/>
          <w:bCs/>
          <w:i w:val="false"/>
          <w:iCs w:val="false"/>
          <w:color w:val="1B2027"/>
          <w:sz w:val="21"/>
          <w:szCs w:val="21"/>
        </w:rPr>
        <w:t xml:space="preserve">running the suite there requires a newer Node</w:t>
      </w:r>
      <w:r>
        <w:rPr>
          <w:rFonts w:ascii="Calibri" w:cs="Calibri" w:eastAsia="Calibri" w:hAnsi="Calibri"/>
          <w:b w:val="false"/>
          <w:bCs w:val="false"/>
          <w:i w:val="false"/>
          <w:iCs w:val="false"/>
          <w:color w:val="1B2027"/>
          <w:sz w:val="21"/>
          <w:szCs w:val="21"/>
        </w:rPr>
        <w:t xml:space="preserve"> — installing 24 and putting it first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is enough, and that is how the figures below were measured. A fresh container needs it again; nothing in the repository pins it. Recorded at this length because a 0.0.1 shortfall that stops the entire test suite, with an error message about npm engines nowhere in it, is exactly the kind of thing the next person loses an hour to.</w:t>
      </w:r>
    </w:p>
    <w:p>
      <w:pPr>
        <w:spacing w:after="140" w:line="276"/>
      </w:pPr>
      <w:r>
        <w:rPr>
          <w:rFonts w:ascii="Calibri" w:cs="Calibri" w:eastAsia="Calibri" w:hAnsi="Calibri"/>
          <w:b w:val="false"/>
          <w:bCs w:val="false"/>
          <w:i w:val="false"/>
          <w:iCs w:val="false"/>
          <w:color w:val="1B2027"/>
          <w:sz w:val="21"/>
          <w:szCs w:val="21"/>
        </w:rPr>
        <w:t xml:space="preserve">On a Node that satisfies it,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w:t>
      </w:r>
      <w:r>
        <w:rPr>
          <w:rFonts w:ascii="Calibri" w:cs="Calibri" w:eastAsia="Calibri" w:hAnsi="Calibri"/>
          <w:b/>
          <w:bCs/>
          <w:i w:val="false"/>
          <w:iCs w:val="false"/>
          <w:color w:val="1B2027"/>
          <w:sz w:val="21"/>
          <w:szCs w:val="21"/>
        </w:rPr>
        <w:t xml:space="preserve">2,185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test:demo</w:t>
      </w:r>
      <w:r>
        <w:rPr>
          <w:rFonts w:ascii="Calibri" w:cs="Calibri" w:eastAsia="Calibri" w:hAnsi="Calibri"/>
          <w:b/>
          <w:bCs/>
          <w:i w:val="false"/>
          <w:iCs w:val="false"/>
          <w:color w:val="1B2027"/>
          <w:sz w:val="21"/>
          <w:szCs w:val="21"/>
        </w:rPr>
        <w:t xml:space="preserve"> has a second trap of the same shape, and it reads as a missing install rather than a mismatch.</w:t>
      </w:r>
      <w:r>
        <w:rPr>
          <w:rFonts w:ascii="Calibri" w:cs="Calibri" w:eastAsia="Calibri" w:hAnsi="Calibri"/>
          <w:b w:val="false"/>
          <w:bCs w:val="false"/>
          <w:i w:val="false"/>
          <w:iCs w:val="false"/>
          <w:color w:val="1B2027"/>
          <w:sz w:val="21"/>
          <w:szCs w:val="21"/>
        </w:rPr>
        <w:t xml:space="preserve"> Playwright resolves its browser by build number, so the pinned </w:t>
      </w:r>
      <w:r>
        <w:rPr>
          <w:rFonts w:ascii="Consolas" w:cs="Consolas" w:eastAsia="Consolas" w:hAnsi="Consolas"/>
          <w:b w:val="false"/>
          <w:bCs w:val="false"/>
          <w:i w:val="false"/>
          <w:iCs w:val="false"/>
          <w:color w:val="1B2027"/>
          <w:sz w:val="19"/>
          <w:szCs w:val="19"/>
        </w:rPr>
        <w:t xml:space="preserve">@playwright/test</w:t>
      </w:r>
      <w:r>
        <w:rPr>
          <w:rFonts w:ascii="Calibri" w:cs="Calibri" w:eastAsia="Calibri" w:hAnsi="Calibri"/>
          <w:b w:val="false"/>
          <w:bCs w:val="false"/>
          <w:i w:val="false"/>
          <w:iCs w:val="false"/>
          <w:color w:val="1B2027"/>
          <w:sz w:val="21"/>
          <w:szCs w:val="21"/>
        </w:rPr>
        <w:t xml:space="preserve"> asks for a specific one — currently 1234 — and a container that ships a different build (this one ships 1194) fails every test in the gate with </w:t>
      </w:r>
      <w:r>
        <w:rPr>
          <w:rFonts w:ascii="Calibri" w:cs="Calibri" w:eastAsia="Calibri" w:hAnsi="Calibri"/>
          <w:b w:val="false"/>
          <w:bCs w:val="false"/>
          <w:i/>
          <w:iCs/>
          <w:color w:val="1B2027"/>
          <w:sz w:val="21"/>
          <w:szCs w:val="21"/>
        </w:rPr>
        <w:t xml:space="preserve">Executable doesn’t exist</w:t>
      </w:r>
      <w:r>
        <w:rPr>
          <w:rFonts w:ascii="Calibri" w:cs="Calibri" w:eastAsia="Calibri" w:hAnsi="Calibri"/>
          <w:b w:val="false"/>
          <w:bCs w:val="false"/>
          <w:i w:val="false"/>
          <w:iCs w:val="false"/>
          <w:color w:val="1B2027"/>
          <w:sz w:val="21"/>
          <w:szCs w:val="21"/>
        </w:rPr>
        <w:t xml:space="preserve">, followed by an invitation to run </w:t>
      </w:r>
      <w:r>
        <w:rPr>
          <w:rFonts w:ascii="Consolas" w:cs="Consolas" w:eastAsia="Consolas" w:hAnsi="Consolas"/>
          <w:b w:val="false"/>
          <w:bCs w:val="false"/>
          <w:i w:val="false"/>
          <w:iCs w:val="false"/>
          <w:color w:val="1B2027"/>
          <w:sz w:val="19"/>
          <w:szCs w:val="19"/>
        </w:rPr>
        <w:t xml:space="preserve">playwright install</w:t>
      </w:r>
      <w:r>
        <w:rPr>
          <w:rFonts w:ascii="Calibri" w:cs="Calibri" w:eastAsia="Calibri" w:hAnsi="Calibri"/>
          <w:b w:val="false"/>
          <w:bCs w:val="false"/>
          <w:i w:val="false"/>
          <w:iCs w:val="false"/>
          <w:color w:val="1B2027"/>
          <w:sz w:val="21"/>
          <w:szCs w:val="21"/>
        </w:rPr>
        <w:t xml:space="preserve">. Running it is the wrong move here: </w:t>
      </w:r>
      <w:r>
        <w:rPr>
          <w:rFonts w:ascii="Consolas" w:cs="Consolas" w:eastAsia="Consolas" w:hAnsi="Consolas"/>
          <w:b w:val="false"/>
          <w:bCs w:val="false"/>
          <w:i w:val="false"/>
          <w:iCs w:val="false"/>
          <w:color w:val="1B2027"/>
          <w:sz w:val="19"/>
          <w:szCs w:val="19"/>
        </w:rPr>
        <w:t xml:space="preserve">PLAYWRIGHT_SKIP_BROWSER_DOWNLOAD</w:t>
      </w:r>
      <w:r>
        <w:rPr>
          <w:rFonts w:ascii="Calibri" w:cs="Calibri" w:eastAsia="Calibri" w:hAnsi="Calibri"/>
          <w:b w:val="false"/>
          <w:bCs w:val="false"/>
          <w:i w:val="false"/>
          <w:iCs w:val="false"/>
          <w:color w:val="1B2027"/>
          <w:sz w:val="21"/>
          <w:szCs w:val="21"/>
        </w:rPr>
        <w:t xml:space="preserve"> is set deliberately and the download would not be permitted anyway.</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remedy is already in the repository, and the last issue of this document described a workaround instead of 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demo/e2e/playwright.config.mjs</w:t>
      </w:r>
      <w:r>
        <w:rPr>
          <w:rFonts w:ascii="Calibri" w:cs="Calibri" w:eastAsia="Calibri" w:hAnsi="Calibri"/>
          <w:b w:val="false"/>
          <w:bCs w:val="false"/>
          <w:i w:val="false"/>
          <w:iCs w:val="false"/>
          <w:color w:val="1B2027"/>
          <w:sz w:val="21"/>
          <w:szCs w:val="21"/>
        </w:rPr>
        <w:t xml:space="preserve"> reads </w:t>
      </w:r>
      <w:r>
        <w:rPr>
          <w:rFonts w:ascii="Consolas" w:cs="Consolas" w:eastAsia="Consolas" w:hAnsi="Consolas"/>
          <w:b w:val="false"/>
          <w:bCs w:val="false"/>
          <w:i w:val="false"/>
          <w:iCs w:val="false"/>
          <w:color w:val="1B2027"/>
          <w:sz w:val="19"/>
          <w:szCs w:val="19"/>
        </w:rPr>
        <w:t xml:space="preserve">PLAYWRIGHT_CHROMIUM_PATH</w:t>
      </w:r>
      <w:r>
        <w:rPr>
          <w:rFonts w:ascii="Calibri" w:cs="Calibri" w:eastAsia="Calibri" w:hAnsi="Calibri"/>
          <w:b w:val="false"/>
          <w:bCs w:val="false"/>
          <w:i w:val="false"/>
          <w:iCs w:val="false"/>
          <w:color w:val="1B2027"/>
          <w:sz w:val="21"/>
          <w:szCs w:val="21"/>
        </w:rPr>
        <w:t xml:space="preserve"> and passes it as </w:t>
      </w:r>
      <w:r>
        <w:rPr>
          <w:rFonts w:ascii="Consolas" w:cs="Consolas" w:eastAsia="Consolas" w:hAnsi="Consolas"/>
          <w:b w:val="false"/>
          <w:bCs w:val="false"/>
          <w:i w:val="false"/>
          <w:iCs w:val="false"/>
          <w:color w:val="1B2027"/>
          <w:sz w:val="19"/>
          <w:szCs w:val="19"/>
        </w:rPr>
        <w:t xml:space="preserve">launchOptions.executablePath</w:t>
      </w:r>
      <w:r>
        <w:rPr>
          <w:rFonts w:ascii="Calibri" w:cs="Calibri" w:eastAsia="Calibri" w:hAnsi="Calibri"/>
          <w:b w:val="false"/>
          <w:bCs w:val="false"/>
          <w:i w:val="false"/>
          <w:iCs w:val="false"/>
          <w:color w:val="1B2027"/>
          <w:sz w:val="21"/>
          <w:szCs w:val="21"/>
        </w:rPr>
        <w:t xml:space="preserve">, which bypasses the build-number lookup entirely: pointing it at the installed browser passes all ten against the one that is present. The previous note said the browser had to be made “reachable under the path the pin expects”, which works and is the wrong advice — it reconstructs by hand a mechanism the config already supports, and it leaves behind container-specific directories that the next upgrade silently invalidates. The pipeline stage uses the environment variable, and falls back to installing the pinned build only when no path is given.</w:t>
      </w:r>
    </w:p>
    <w:p>
      <w:pPr>
        <w:pStyle w:val="Heading2"/>
        <w:spacing w:after="140" w:before="280"/>
      </w:pPr>
      <w:r>
        <w:rPr>
          <w:rFonts w:ascii="Calibri" w:cs="Calibri" w:eastAsia="Calibri" w:hAnsi="Calibri"/>
          <w:b/>
          <w:bCs/>
          <w:color w:val="0F7A83"/>
          <w:sz w:val="25"/>
          <w:szCs w:val="25"/>
        </w:rPr>
        <w:t xml:space="preserve">12.1  Coverage</w:t>
      </w:r>
    </w:p>
    <w:p>
      <w:pPr>
        <w:spacing w:after="140" w:line="276"/>
      </w:pPr>
      <w:r>
        <w:rPr>
          <w:rFonts w:ascii="Calibri" w:cs="Calibri" w:eastAsia="Calibri" w:hAnsi="Calibri"/>
          <w:b/>
          <w:bCs/>
          <w:i w:val="false"/>
          <w:iCs w:val="false"/>
          <w:color w:val="1B2027"/>
          <w:sz w:val="21"/>
          <w:szCs w:val="21"/>
        </w:rPr>
        <w:t xml:space="preserve">§14’s figures are now the gate.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requires 90% line and 85% branch — the standard itself — where it previously required 78/78, which was a figure the suite happened to reach rather than one anybody had chosen. Measured: </w:t>
      </w:r>
      <w:r>
        <w:rPr>
          <w:rFonts w:ascii="Calibri" w:cs="Calibri" w:eastAsia="Calibri" w:hAnsi="Calibri"/>
          <w:b/>
          <w:bCs/>
          <w:i w:val="false"/>
          <w:iCs w:val="false"/>
          <w:color w:val="1B2027"/>
          <w:sz w:val="21"/>
          <w:szCs w:val="21"/>
        </w:rPr>
        <w:t xml:space="preserve">90.28% line (5,583/6,184) and 85.64% branch (2,786/3,253)</w:t>
      </w:r>
      <w:r>
        <w:rPr>
          <w:rFonts w:ascii="Calibri" w:cs="Calibri" w:eastAsia="Calibri" w:hAnsi="Calibri"/>
          <w:b w:val="false"/>
          <w:bCs w:val="false"/>
          <w:i w:val="false"/>
          <w:iCs w:val="false"/>
          <w:color w:val="1B2027"/>
          <w:sz w:val="21"/>
          <w:szCs w:val="21"/>
        </w:rPr>
        <w:t xml:space="preserve">, with statements at 87.5% and functions at 74.9%, both also gated at their measured values so neither can fall.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denominator grew while the work was done</w:t>
      </w:r>
      <w:r>
        <w:rPr>
          <w:rFonts w:ascii="Calibri" w:cs="Calibri" w:eastAsia="Calibri" w:hAnsi="Calibri"/>
          <w:b w:val="false"/>
          <w:bCs w:val="false"/>
          <w:i w:val="false"/>
          <w:iCs w:val="false"/>
          <w:color w:val="1B2027"/>
          <w:sz w:val="21"/>
          <w:szCs w:val="21"/>
        </w:rPr>
        <w:t xml:space="preserve"> — from 5,375 lines to 6,175. The builder’s </w:t>
      </w:r>
      <w:r>
        <w:rPr>
          <w:rFonts w:ascii="Consolas" w:cs="Consolas" w:eastAsia="Consolas" w:hAnsi="Consolas"/>
          <w:b w:val="false"/>
          <w:bCs w:val="false"/>
          <w:i w:val="false"/>
          <w:iCs w:val="false"/>
          <w:color w:val="1B2027"/>
          <w:sz w:val="19"/>
          <w:szCs w:val="19"/>
        </w:rPr>
        <w:t xml:space="preserve">coverageInclude</w:t>
      </w:r>
      <w:r>
        <w:rPr>
          <w:rFonts w:ascii="Calibri" w:cs="Calibri" w:eastAsia="Calibri" w:hAnsi="Calibri"/>
          <w:b w:val="false"/>
          <w:bCs w:val="false"/>
          <w:i w:val="false"/>
          <w:iCs w:val="false"/>
          <w:color w:val="1B2027"/>
          <w:sz w:val="21"/>
          <w:szCs w:val="21"/>
        </w:rPr>
        <w:t xml:space="preserve"> filters rather than forces inclusion, so v8 counts a file only once something imports it, and each new spec pulls in its component’s whole dependency tree. Coverage therefore </w:t>
      </w:r>
      <w:r>
        <w:rPr>
          <w:rFonts w:ascii="Calibri" w:cs="Calibri" w:eastAsia="Calibri" w:hAnsi="Calibri"/>
          <w:b w:val="false"/>
          <w:bCs w:val="false"/>
          <w:i/>
          <w:iCs/>
          <w:color w:val="1B2027"/>
          <w:sz w:val="21"/>
          <w:szCs w:val="21"/>
        </w:rPr>
        <w:t xml:space="preserve">fell</w:t>
      </w:r>
      <w:r>
        <w:rPr>
          <w:rFonts w:ascii="Calibri" w:cs="Calibri" w:eastAsia="Calibri" w:hAnsi="Calibri"/>
          <w:b w:val="false"/>
          <w:bCs w:val="false"/>
          <w:i w:val="false"/>
          <w:iCs w:val="false"/>
          <w:color w:val="1B2027"/>
          <w:sz w:val="21"/>
          <w:szCs w:val="21"/>
        </w:rPr>
        <w:t xml:space="preserve"> before it rose: the first few specs took the reported figure from 79.4% down to 76.2% by making eight hundred previously invisible lines visible. The figure now covers substantially more of the application than the 79.4% it started from did, which is the opposite of how a rising coverage number usually reads.</w:t>
      </w:r>
    </w:p>
    <w:p>
      <w:pPr>
        <w:spacing w:after="140" w:line="276"/>
      </w:pPr>
      <w:r>
        <w:rPr>
          <w:rFonts w:ascii="Calibri" w:cs="Calibri" w:eastAsia="Calibri" w:hAnsi="Calibri"/>
          <w:b/>
          <w:bCs/>
          <w:i w:val="false"/>
          <w:iCs w:val="false"/>
          <w:color w:val="1B2027"/>
          <w:sz w:val="21"/>
          <w:szCs w:val="21"/>
        </w:rPr>
        <w:t xml:space="preserve">The figure is a floor and not the point</w:t>
      </w:r>
      <w:r>
        <w:rPr>
          <w:rFonts w:ascii="Calibri" w:cs="Calibri" w:eastAsia="Calibri" w:hAnsi="Calibri"/>
          <w:b w:val="false"/>
          <w:bCs w:val="false"/>
          <w:i w:val="false"/>
          <w:iCs w:val="false"/>
          <w:color w:val="1B2027"/>
          <w:sz w:val="21"/>
          <w:szCs w:val="21"/>
        </w:rPr>
        <w:t xml:space="preserve">, and §14 says so: high coverage with weak assertions is worse than honest lower coverage. Every assertion written to reach it was checked by deliberately breaking the thing it guards and confirming it failed only the cases that name it — nineteen deliberate weakenings in all. That is also how the nine untranslated strings in section 9.4 and the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defect in section 9.3 were found. Neither was failing anything.</w:t>
      </w:r>
    </w:p>
    <w:p>
      <w:pPr>
        <w:spacing w:after="140" w:line="276"/>
      </w:pPr>
      <w:r>
        <w:rPr>
          <w:rFonts w:ascii="Calibri" w:cs="Calibri" w:eastAsia="Calibri" w:hAnsi="Calibri"/>
          <w:b w:val="false"/>
          <w:bCs w:val="false"/>
          <w:i w:val="false"/>
          <w:iCs w:val="false"/>
          <w:color w:val="1B2027"/>
          <w:sz w:val="21"/>
          <w:szCs w:val="21"/>
        </w:rPr>
        <w:t xml:space="preserve">Where the remaining 10% sits: the PDF markup layer’s pointer handling, the collaboration service’s socket lifecycle, the embed page’s stroke session, and </w:t>
      </w:r>
      <w:r>
        <w:rPr>
          <w:rFonts w:ascii="Consolas" w:cs="Consolas" w:eastAsia="Consolas" w:hAnsi="Consolas"/>
          <w:b w:val="false"/>
          <w:bCs w:val="false"/>
          <w:i w:val="false"/>
          <w:iCs w:val="false"/>
          <w:color w:val="1B2027"/>
          <w:sz w:val="19"/>
          <w:szCs w:val="19"/>
        </w:rPr>
        <w:t xml:space="preserve">pdf-engine.service</w:t>
      </w:r>
      <w:r>
        <w:rPr>
          <w:rFonts w:ascii="Calibri" w:cs="Calibri" w:eastAsia="Calibri" w:hAnsi="Calibri"/>
          <w:b w:val="false"/>
          <w:bCs w:val="false"/>
          <w:i w:val="false"/>
          <w:iCs w:val="false"/>
          <w:color w:val="1B2027"/>
          <w:sz w:val="21"/>
          <w:szCs w:val="21"/>
        </w:rPr>
        <w:t xml:space="preserve">’s rendering paths — all of them code whose behaviour is a canvas or a socket rather than a return value, and none of them untested by accident.</w:t>
      </w:r>
    </w:p>
    <w:p>
      <w:pPr>
        <w:pStyle w:val="Heading2"/>
        <w:spacing w:after="140" w:before="280"/>
      </w:pPr>
      <w:r>
        <w:rPr>
          <w:rFonts w:ascii="Calibri" w:cs="Calibri" w:eastAsia="Calibri" w:hAnsi="Calibri"/>
          <w:b/>
          <w:bCs/>
          <w:color w:val="0F7A83"/>
          <w:sz w:val="25"/>
          <w:szCs w:val="25"/>
        </w:rPr>
        <w:t xml:space="preserve">12.2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Eleven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check:bundle-budget</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initial bundle, three.js and pdf.js each stay inside their §7.1 budget — currently 122.8 kB / 250, 187.2 kB / 200 and 149.3 kB / 160</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check:embed-protocol</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protocol’s three self-descriptions agree: every type in the ViewerMessageType union is sent by production code and has a row in the authority’s event table, and nothing is sent or documented from outside it</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All eleven now run in CI</w:t>
      </w:r>
      <w:r>
        <w:rPr>
          <w:rFonts w:ascii="Calibri" w:cs="Calibri" w:eastAsia="Calibri" w:hAnsi="Calibri"/>
          <w:b w:val="false"/>
          <w:bCs w:val="false"/>
          <w:i w:val="false"/>
          <w:iCs w:val="false"/>
          <w:color w:val="1B2027"/>
          <w:sz w:val="21"/>
          <w:szCs w:val="21"/>
        </w:rPr>
        <w:t xml:space="preserve">, where four did when this document was last issued. The CI Node is not the container’s, so the version trap above does not reach the pipeline.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and every gate in the table: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in the static-analysis stage;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then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in the build stage, because those two read the bundle and cannot run before it exists;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beside the backend’s own licence gate;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as its own stage under Tests.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six that moved had existed and passed locally for some time, which is the state worth naming rather than the fix: </w:t>
      </w:r>
      <w:r>
        <w:rPr>
          <w:rFonts w:ascii="Calibri" w:cs="Calibri" w:eastAsia="Calibri" w:hAnsi="Calibri"/>
          <w:b/>
          <w:bCs/>
          <w:i w:val="false"/>
          <w:iCs w:val="false"/>
          <w:color w:val="1B2027"/>
          <w:sz w:val="21"/>
          <w:szCs w:val="21"/>
        </w:rPr>
        <w:t xml:space="preserve">a gate nothing runs is documentation.</w:t>
      </w:r>
      <w:r>
        <w:rPr>
          <w:rFonts w:ascii="Calibri" w:cs="Calibri" w:eastAsia="Calibri" w:hAnsi="Calibri"/>
          <w:b w:val="false"/>
          <w:bCs w:val="false"/>
          <w:i w:val="false"/>
          <w:iCs w:val="false"/>
          <w:color w:val="1B2027"/>
          <w:sz w:val="21"/>
          <w:szCs w:val="21"/>
        </w:rPr>
        <w:t xml:space="preserve"> Each was written because the thing it checks is otherwise invisible in a diff, and then left where nothing could fail on it.</w:t>
      </w:r>
    </w:p>
    <w:p>
      <w:pPr>
        <w:spacing w:after="140" w:line="276"/>
      </w:pPr>
      <w:r>
        <w:rPr>
          <w:rFonts w:ascii="Calibri" w:cs="Calibri" w:eastAsia="Calibri" w:hAnsi="Calibri"/>
          <w:b w:val="false"/>
          <w:bCs w:val="false"/>
          <w:i w:val="false"/>
          <w:iCs w:val="false"/>
          <w:color w:val="1B2027"/>
          <w:sz w:val="21"/>
          <w:szCs w:val="21"/>
        </w:rPr>
        <w:t xml:space="preserve">The count was ten rather than nine because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was missing from the table above — it has existed and passed since the budgets were set, and a gate absent from the list of gates is one nobody will think to wire up.</w:t>
      </w:r>
    </w:p>
    <w:p>
      <w:pPr>
        <w:spacing w:after="140" w:line="276"/>
      </w:pPr>
      <w:r>
        <w:rPr>
          <w:rFonts w:ascii="Calibri" w:cs="Calibri" w:eastAsia="Calibri" w:hAnsi="Calibri"/>
          <w:b w:val="false"/>
          <w:bCs w:val="false"/>
          <w:i w:val="false"/>
          <w:iCs w:val="false"/>
          <w:color w:val="1B2027"/>
          <w:sz w:val="21"/>
          <w:szCs w:val="21"/>
        </w:rPr>
        <w:t xml:space="preserve">Two of the placements are load-bearing rather than tidy.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sit after the production build in the same shell, so neither can be reached without the artifact it reads — a check that passes itself over a missing bundle reports success for every build that never produced one. And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is both halves of the frontend’s licence assurance, not just a file comparison: it refuses a forbidden licence (§2.1) or one on neither list, and refuses to write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over a violation, so it cannot report a clean file for a tree that is not clean. The pipeline’s own list of gates it does not provide is one line shorter as a result.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passes, and the last issue of this document was wrong to say otherwise — twice over.</w:t>
      </w:r>
      <w:r>
        <w:rPr>
          <w:rFonts w:ascii="Calibri" w:cs="Calibri" w:eastAsia="Calibri" w:hAnsi="Calibri"/>
          <w:b w:val="false"/>
          <w:bCs w:val="false"/>
          <w:i w:val="false"/>
          <w:iCs w:val="false"/>
          <w:color w:val="1B2027"/>
          <w:sz w:val="21"/>
          <w:szCs w:val="21"/>
        </w:rPr>
        <w:t xml:space="preserve"> It reported the gate failing on two packages whose licences sit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and concluded that this blocked §17.6’s release checklist until somebody ruled on it. Somebody had already ruled on it: the determination is recorded in </w:t>
      </w:r>
      <w:r>
        <w:rPr>
          <w:rFonts w:ascii="Consolas" w:cs="Consolas" w:eastAsia="Consolas" w:hAnsi="Consolas"/>
          <w:b w:val="false"/>
          <w:bCs w:val="false"/>
          <w:i w:val="false"/>
          <w:iCs w:val="false"/>
          <w:color w:val="1B2027"/>
          <w:sz w:val="19"/>
          <w:szCs w:val="19"/>
        </w:rPr>
        <w:t xml:space="preserve">docs/licences.md</w:t>
      </w:r>
      <w:r>
        <w:rPr>
          <w:rFonts w:ascii="Calibri" w:cs="Calibri" w:eastAsia="Calibri" w:hAnsi="Calibri"/>
          <w:b w:val="false"/>
          <w:bCs w:val="false"/>
          <w:i w:val="false"/>
          <w:iCs w:val="false"/>
          <w:color w:val="1B2027"/>
          <w:sz w:val="21"/>
          <w:szCs w:val="21"/>
        </w:rPr>
        <w:t xml:space="preserve"> §3.6, dated 2026-09-24, and both licences are allowed — BlueOak-1.0.0 is a plain-language equivalent of MIT and BSD-2-Clause that additionally carries a patent grant, which §17.3 prefers to silence on patents, and CC-BY-4.0’s only obligation is attribution, which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discharges. The gate now writes 119 components across seven licences and reports the file current.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Its account of </w:t>
      </w:r>
      <w:r>
        <w:rPr>
          <w:rFonts w:ascii="Calibri" w:cs="Calibri" w:eastAsia="Calibri" w:hAnsi="Calibri"/>
          <w:b w:val="false"/>
          <w:bCs w:val="false"/>
          <w:i/>
          <w:iCs/>
          <w:color w:val="1B2027"/>
          <w:sz w:val="21"/>
          <w:szCs w:val="21"/>
        </w:rPr>
        <w:t xml:space="preserve">why</w:t>
      </w:r>
      <w:r>
        <w:rPr>
          <w:rFonts w:ascii="Calibri" w:cs="Calibri" w:eastAsia="Calibri" w:hAnsi="Calibri"/>
          <w:b w:val="false"/>
          <w:bCs w:val="false"/>
          <w:i w:val="false"/>
          <w:iCs w:val="false"/>
          <w:color w:val="1B2027"/>
          <w:sz w:val="21"/>
          <w:szCs w:val="21"/>
        </w:rPr>
        <w:t xml:space="preserve"> was also wrong, and in a way worth correcting rather than deleting. It said both packages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They do not: they reach the production closure through </w:t>
      </w:r>
      <w:r>
        <w:rPr>
          <w:rFonts w:ascii="Consolas" w:cs="Consolas" w:eastAsia="Consolas" w:hAnsi="Consolas"/>
          <w:b w:val="false"/>
          <w:bCs w:val="false"/>
          <w:i w:val="false"/>
          <w:iCs w:val="false"/>
          <w:color w:val="1B2027"/>
          <w:sz w:val="19"/>
          <w:szCs w:val="19"/>
        </w:rPr>
        <w:t xml:space="preserve">@angular/localize</w:t>
      </w:r>
      <w:r>
        <w:rPr>
          <w:rFonts w:ascii="Calibri" w:cs="Calibri" w:eastAsia="Calibri" w:hAnsi="Calibri"/>
          <w:b w:val="false"/>
          <w:bCs w:val="false"/>
          <w:i w:val="false"/>
          <w:iCs w:val="false"/>
          <w:color w:val="1B2027"/>
          <w:sz w:val="21"/>
          <w:szCs w:val="21"/>
        </w:rPr>
        <w:t xml:space="preserve">, which is correctly a production dependency because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’s runtime is imported at runtime even though the Babel tooling underneath it runs only at build time. That distinction is the whole reason the gate counted them, and “the lockfile marks them production-reachable” described the symptom as though it were an accident of the lockfile rather than a true fact about the dependency. </w:t>
      </w:r>
      <w:r>
        <w:rPr>
          <w:rFonts w:ascii="Calibri" w:cs="Calibri" w:eastAsia="Calibri" w:hAnsi="Calibri"/>
          <w:b/>
          <w:bCs/>
          <w:i w:val="false"/>
          <w:iCs w:val="false"/>
          <w:color w:val="1B2027"/>
          <w:sz w:val="21"/>
          <w:szCs w:val="21"/>
        </w:rPr>
        <w:t xml:space="preserve">§17.6’s release checklist is not blocked by this, and no longer blocked by the gates either</w:t>
      </w:r>
      <w:r>
        <w:rPr>
          <w:rFonts w:ascii="Calibri" w:cs="Calibri" w:eastAsia="Calibri" w:hAnsi="Calibri"/>
          <w:b w:val="false"/>
          <w:bCs w:val="false"/>
          <w:i w:val="false"/>
          <w:iCs w:val="false"/>
          <w:color w:val="1B2027"/>
          <w:sz w:val="21"/>
          <w:szCs w:val="21"/>
        </w:rPr>
        <w:t xml:space="preserve"> — the six that nothing called are now pipeline stages. What remains outstanding against that checklist is in section 13, and none of it is a frontend licence question.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as one — and now with a known reason.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two issues gave two different wrong accounts of it: first that it could not run for the Node reason, then that the Node reason was wrong so nobody had run it.</w:t>
      </w:r>
    </w:p>
    <w:p>
      <w:pPr>
        <w:spacing w:after="140" w:line="276"/>
      </w:pPr>
      <w:r>
        <w:rPr>
          <w:rFonts w:ascii="Calibri" w:cs="Calibri" w:eastAsia="Calibri" w:hAnsi="Calibri"/>
          <w:b w:val="false"/>
          <w:bCs w:val="false"/>
          <w:i w:val="false"/>
          <w:iCs w:val="false"/>
          <w:color w:val="1B2027"/>
          <w:sz w:val="21"/>
          <w:szCs w:val="21"/>
        </w:rPr>
        <w:t xml:space="preserve">It has now been run, on a Node that satisfies section 12’s floor. </w:t>
      </w:r>
      <w:r>
        <w:rPr>
          <w:rFonts w:ascii="Calibri" w:cs="Calibri" w:eastAsia="Calibri" w:hAnsi="Calibri"/>
          <w:b/>
          <w:bCs/>
          <w:i w:val="false"/>
          <w:iCs w:val="false"/>
          <w:color w:val="1B2027"/>
          <w:sz w:val="21"/>
          <w:szCs w:val="21"/>
        </w:rPr>
        <w:t xml:space="preserve">It fails, with 53 errors, all of them the same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Cannot find name '$localize'</w:t>
      </w:r>
      <w:r>
        <w:rPr>
          <w:rFonts w:ascii="Calibri" w:cs="Calibri" w:eastAsia="Calibri" w:hAnsi="Calibri"/>
          <w:b w:val="false"/>
          <w:bCs w:val="false"/>
          <w:i w:val="false"/>
          <w:iCs w:val="false"/>
          <w:color w:val="1B2027"/>
          <w:sz w:val="21"/>
          <w:szCs w:val="21"/>
        </w:rPr>
        <w:t xml:space="preserve">, across ten of the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files. The cause is one line — </w:t>
      </w:r>
      <w:r>
        <w:rPr>
          <w:rFonts w:ascii="Consolas" w:cs="Consolas" w:eastAsia="Consolas" w:hAnsi="Consolas"/>
          <w:b w:val="false"/>
          <w:bCs w:val="false"/>
          <w:i w:val="false"/>
          <w:iCs w:val="false"/>
          <w:color w:val="1B2027"/>
          <w:sz w:val="19"/>
          <w:szCs w:val="19"/>
        </w:rPr>
        <w:t xml:space="preserve">tsconfig.app.json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["@angular/localize"]</w:t>
      </w:r>
      <w:r>
        <w:rPr>
          <w:rFonts w:ascii="Calibri" w:cs="Calibri" w:eastAsia="Calibri" w:hAnsi="Calibri"/>
          <w:b w:val="false"/>
          <w:bCs w:val="false"/>
          <w:i w:val="false"/>
          <w:iCs w:val="false"/>
          <w:color w:val="1B2027"/>
          <w:sz w:val="21"/>
          <w:szCs w:val="21"/>
        </w:rPr>
        <w:t xml:space="preserve">, which is what puts the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global in scope, and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w:t>
      </w:r>
      <w:r>
        <w:rPr>
          <w:rFonts w:ascii="Calibri" w:cs="Calibri" w:eastAsia="Calibri" w:hAnsi="Calibri"/>
          <w:b w:val="false"/>
          <w:bCs w:val="false"/>
          <w:i w:val="false"/>
          <w:iCs w:val="false"/>
          <w:color w:val="1B2027"/>
          <w:sz w:val="21"/>
          <w:szCs w:val="21"/>
        </w:rPr>
        <w:t xml:space="preserve">, which clears it. The library sources are the application sources, so every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in them is an unresolved name under the library’s own compiler options.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line has deliberately not been changed</w:t>
      </w:r>
      <w:r>
        <w:rPr>
          <w:rFonts w:ascii="Calibri" w:cs="Calibri" w:eastAsia="Calibri" w:hAnsi="Calibri"/>
          <w:b w:val="false"/>
          <w:bCs w:val="false"/>
          <w:i w:val="false"/>
          <w:iCs w:val="false"/>
          <w:color w:val="1B2027"/>
          <w:sz w:val="21"/>
          <w:szCs w:val="21"/>
        </w:rPr>
        <w:t xml:space="preserve">, because adding the type would make the build succeed and produce an artefact nobody has decided to publish — and it would decide something on the way. A library published with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calls still in it requires every consumer to run Angular’s localize transform over our code, which is a packaging contract to offer a host CDE, not a compiler setting to flip while correcting a document. The alternatives — extracting the strings to an injected catalogue, or shipping the library pre-localised per locale — are the same decision seen from two other sides. The target exists, it does not build, the reason is understood and small, and what it waits on is the publish decision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already records as untaken.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2026-10-09T03:02:13.788Z</dcterms:created>
  <dcterms:modified xsi:type="dcterms:W3CDTF">2026-10-09T03:02:13.792Z</dcterms:modified>
</cp:coreProperties>
</file>

<file path=docProps/custom.xml><?xml version="1.0" encoding="utf-8"?>
<Properties xmlns="http://schemas.openxmlformats.org/officeDocument/2006/custom-properties" xmlns:vt="http://schemas.openxmlformats.org/officeDocument/2006/docPropsVTypes"/>
</file>