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One of the four exchanges an integration needs is built. The other three are not, and this guide says so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1.  mount the viewer</w:t>
            </w:r>
          </w:p>
          <w:p>
            <w:pPr>
              <w:spacing w:after="40" w:line="240"/>
              <w:jc w:val="center"/>
            </w:pPr>
            <w:r>
              <w:rPr>
                <w:rFonts w:ascii="Calibri" w:cs="Calibri" w:eastAsia="Calibri" w:hAnsi="Calibri"/>
                <w:b w:val="false"/>
                <w:bCs w:val="false"/>
                <w:color w:val="C4342A"/>
                <w:sz w:val="19"/>
                <w:szCs w:val="19"/>
              </w:rPr>
              <w:t xml:space="preserve">✗  NOT BUILT — no embed surface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6 components · 6 services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2.  identify the user</w:t>
            </w:r>
          </w:p>
          <w:p>
            <w:pPr>
              <w:spacing w:after="40" w:line="240"/>
              <w:jc w:val="center"/>
            </w:pPr>
            <w:r>
              <w:rPr>
                <w:rFonts w:ascii="Calibri" w:cs="Calibri" w:eastAsia="Calibri" w:hAnsi="Calibri"/>
                <w:b w:val="false"/>
                <w:bCs w:val="false"/>
                <w:color w:val="C4342A"/>
                <w:sz w:val="19"/>
                <w:szCs w:val="19"/>
              </w:rPr>
              <w:t xml:space="preserve">✗  NOT BUILT — no token exchange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p>
            <w:pPr>
              <w:spacing w:after="40" w:line="240"/>
              <w:jc w:val="center"/>
            </w:pPr>
            <w:r>
              <w:rPr>
                <w:b/>
                <w:bCs/>
              </w:rPr>
            </w:r>
          </w:p>
          <w:p>
            <w:pPr>
              <w:spacing w:after="40" w:line="240"/>
              <w:jc w:val="center"/>
            </w:pPr>
            <w:r>
              <w:rPr>
                <w:b/>
                <w:bCs/>
              </w:rPr>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 store</w:t>
            </w:r>
          </w:p>
          <w:p>
            <w:pPr>
              <w:spacing w:after="40" w:line="240"/>
            </w:pPr>
            <w:r>
              <w:rPr>
                <w:rFonts w:ascii="Calibri" w:cs="Calibri" w:eastAsia="Calibri" w:hAnsi="Calibri"/>
                <w:b w:val="false"/>
                <w:bCs w:val="false"/>
                <w:color w:val="1B2027"/>
                <w:sz w:val="19"/>
                <w:szCs w:val="19"/>
              </w:rPr>
              <w:t xml:space="preserve">tied to our user table</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  4.  return the markups</w:t>
            </w:r>
          </w:p>
          <w:p>
            <w:pPr>
              <w:spacing w:after="40" w:line="240"/>
              <w:jc w:val="center"/>
            </w:pPr>
            <w:r>
              <w:rPr>
                <w:rFonts w:ascii="Calibri" w:cs="Calibri" w:eastAsia="Calibri" w:hAnsi="Calibri"/>
                <w:b w:val="false"/>
                <w:bCs w:val="false"/>
                <w:color w:val="C4342A"/>
                <w:sz w:val="19"/>
                <w:szCs w:val="19"/>
              </w:rPr>
              <w:t xml:space="preserve">✗  NOT BUILT — 17 operations undecided</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Three of the four exchanges do not exist. The viewer can already take a document from anyone’s storage; it cannot yet be mounted, be told who is looking, or give anything back.</w:t>
      </w:r>
    </w:p>
    <w:p>
      <w:pPr>
        <w:spacing w:after="140" w:line="276"/>
      </w:pPr>
      <w:r>
        <w:rPr>
          <w:rFonts w:ascii="Calibri" w:cs="Calibri" w:eastAsia="Calibri" w:hAnsi="Calibri"/>
          <w:b w:val="false"/>
          <w:bCs w:val="false"/>
          <w:color w:val="1B2027"/>
          <w:sz w:val="21"/>
          <w:szCs w:val="21"/>
        </w:rPr>
        <w:t xml:space="preserve">So: you can convert and render your customers’ documents through our API today, inside your own interface, using your own rendering. You cannot yet embed our viewer, and if you do get it on screen it has no way to know who your user is.</w:t>
      </w:r>
    </w:p>
    <w:p>
      <w:pPr>
        <w:spacing w:after="140" w:line="276"/>
      </w:pPr>
      <w:r>
        <w:rPr>
          <w:rFonts w:ascii="Calibri" w:cs="Calibri" w:eastAsia="Calibri" w:hAnsi="Calibri"/>
          <w:b w:val="false"/>
          <w:bCs w:val="false"/>
          <w:color w:val="1B2027"/>
          <w:sz w:val="21"/>
          <w:szCs w:val="21"/>
        </w:rPr>
        <w:t xml:space="preserve">If that is enough — and for a “preview any file format” feature it often is — section 3 is a complete, working integration. If you need markup round-tripping, section 6 is what you are waiting for.</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one exchange that is built, end to end. Stages 1, 7 and 8 are yours; 2 to 6 are ours. Always send an Idempotency-Key so a timed-out retry returns the same job rather than converting twice.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59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59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346"/>
      </w:tblGrid>
      <w:tr>
        <w:trPr>
          <w:tblHeader/>
        </w:trPr>
        <w:tc>
          <w:tcPr>
            <w:tcW w:type="dxa" w:w="20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4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0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rendered by pdfjs-dist</w:t>
            </w:r>
          </w:p>
        </w:tc>
        <w:tc>
          <w:tcPr>
            <w:tcW w:type="dxa" w:w="4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20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(viewer) or PDF (export)</w:t>
            </w:r>
          </w:p>
        </w:tc>
        <w:tc>
          <w:tcPr>
            <w:tcW w:type="dxa" w:w="4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20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34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 DXF, then as above</w:t>
            </w:r>
          </w:p>
        </w:tc>
        <w:tc>
          <w:tcPr>
            <w:tcW w:type="dxa" w:w="4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b/>
                <w:bCs/>
              </w:rPr>
            </w:r>
          </w:p>
        </w:tc>
      </w:tr>
      <w:tr>
        <w:tc>
          <w:tcPr>
            <w:tcW w:type="dxa" w:w="20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4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20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4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bl>
    <w:p>
      <w:pPr>
        <w:spacing w:after="240" w:before="80"/>
      </w:pPr>
      <w:r>
        <w:rPr>
          <w:rFonts w:ascii="Calibri" w:cs="Calibri" w:eastAsia="Calibri" w:hAnsi="Calibri"/>
          <w:b w:val="false"/>
          <w:bCs w:val="false"/>
          <w:color w:val="5F6875"/>
          <w:sz w:val="17"/>
          <w:szCs w:val="17"/>
        </w:rPr>
        <w:t xml:space="preserve">Table 2 — Supported inputs.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has no clean licensing path for a distributed product.</w:t>
      </w:r>
      <w:r>
        <w:rPr>
          <w:rFonts w:ascii="Calibri" w:cs="Calibri" w:eastAsia="Calibri" w:hAnsi="Calibri"/>
          <w:b w:val="false"/>
          <w:bCs w:val="false"/>
          <w:color w:val="1B2027"/>
          <w:sz w:val="21"/>
          <w:szCs w:val="21"/>
        </w:rPr>
        <w:t xml:space="preserve"> The two converters have opposite problems: LibreDWG is GPL-3.0 and ships in our image (so distribution owes corresponding source we do not currently provide), and the ODA File Converter cannot be redistributed at all. In our hosted service DWG works. For an on-premises install, </w:t>
      </w:r>
      <w:r>
        <w:rPr>
          <w:rFonts w:ascii="Calibri" w:cs="Calibri" w:eastAsia="Calibri" w:hAnsi="Calibri"/>
          <w:b/>
          <w:bCs/>
          <w:color w:val="1B2027"/>
          <w:sz w:val="21"/>
          <w:szCs w:val="21"/>
        </w:rPr>
        <w:t xml:space="preserve">assume DWG is unavailable unless your contract says otherwise</w:t>
      </w:r>
      <w:r>
        <w:rPr>
          <w:rFonts w:ascii="Calibri" w:cs="Calibri" w:eastAsia="Calibri" w:hAnsi="Calibri"/>
          <w:b w:val="false"/>
          <w:bCs w:val="false"/>
          <w:color w:val="1B2027"/>
          <w:sz w:val="21"/>
          <w:szCs w:val="21"/>
        </w:rPr>
        <w:t xml:space="preserve"> and you have obtained an ODA licence yourself. Tracked as ADR 13, referred to counsel, unresolved. Do not plan a DWG workflow on the assumption this resolves in your favour.</w:t>
      </w:r>
    </w:p>
    <w:p>
      <w:pPr>
        <w:pStyle w:val="Heading1"/>
        <w:spacing w:after="160" w:before="360"/>
      </w:pPr>
      <w:r>
        <w:rPr>
          <w:rFonts w:ascii="Calibri" w:cs="Calibri" w:eastAsia="Calibri" w:hAnsi="Calibri"/>
          <w:b/>
          <w:bCs/>
          <w:color w:val="1B2027"/>
          <w:sz w:val="30"/>
          <w:szCs w:val="30"/>
        </w:rPr>
        <w:t xml:space="preserve">5.  Embedding — read before you scope it</w:t>
      </w:r>
    </w:p>
    <w:p>
      <w:pPr>
        <w:spacing w:after="140" w:line="276"/>
      </w:pPr>
      <w:r>
        <w:rPr>
          <w:rFonts w:ascii="Calibri" w:cs="Calibri" w:eastAsia="Calibri" w:hAnsi="Calibri"/>
          <w:b w:val="false"/>
          <w:bCs w:val="false"/>
          <w:color w:val="1B2027"/>
          <w:sz w:val="21"/>
          <w:szCs w:val="21"/>
        </w:rPr>
        <w:t xml:space="preserve">Three constraints, all currently blocking.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71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Content-Security-Policy: frame-ancestors 'none'. A cross-origin iframe will not render</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CORS source registers no origin at all unless a deployment names one in full</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bearer token from our own /api/auth/login, against our own user table. No cookie mode, no silent SSO, no token exchange</w:t>
            </w:r>
          </w:p>
        </w:tc>
      </w:tr>
    </w:tbl>
    <w:p>
      <w:pPr>
        <w:spacing w:after="240" w:before="80"/>
      </w:pPr>
      <w:r>
        <w:rPr>
          <w:rFonts w:ascii="Calibri" w:cs="Calibri" w:eastAsia="Calibri" w:hAnsi="Calibri"/>
          <w:b w:val="false"/>
          <w:bCs w:val="false"/>
          <w:color w:val="5F6875"/>
          <w:sz w:val="17"/>
          <w:szCs w:val="17"/>
        </w:rPr>
        <w:t xml:space="preserve">Table 3 — Why an embedded integration cannot be scoped yet.</w:t>
      </w:r>
    </w:p>
    <w:p>
      <w:pPr>
        <w:spacing w:after="140" w:line="276"/>
      </w:pPr>
      <w:r>
        <w:rPr>
          <w:rFonts w:ascii="Calibri" w:cs="Calibri" w:eastAsia="Calibri" w:hAnsi="Calibri"/>
          <w:b w:val="false"/>
          <w:bCs w:val="false"/>
          <w:color w:val="1B2027"/>
          <w:sz w:val="21"/>
          <w:szCs w:val="21"/>
        </w:rPr>
        <w:t xml:space="preserve">The only path that works today is </w:t>
      </w:r>
      <w:r>
        <w:rPr>
          <w:rFonts w:ascii="Calibri" w:cs="Calibri" w:eastAsia="Calibri" w:hAnsi="Calibri"/>
          <w:b/>
          <w:bCs/>
          <w:color w:val="1B2027"/>
          <w:sz w:val="21"/>
          <w:szCs w:val="21"/>
        </w:rPr>
        <w:t xml:space="preserve">serving our Angular build from your own origin, behind the same web tier that proxies </w:t>
      </w:r>
      <w:r>
        <w:rPr>
          <w:rFonts w:ascii="Consolas" w:cs="Consolas" w:eastAsia="Consolas" w:hAnsi="Consolas"/>
          <w:b/>
          <w:bCs/>
          <w:color w:val="1B2027"/>
          <w:sz w:val="19"/>
          <w:szCs w:val="19"/>
        </w:rPr>
        <w:t xml:space="preserve">/api</w:t>
      </w:r>
      <w:r>
        <w:rPr>
          <w:rFonts w:ascii="Calibri" w:cs="Calibri" w:eastAsia="Calibri" w:hAnsi="Calibri"/>
          <w:b w:val="false"/>
          <w:bCs w:val="false"/>
          <w:color w:val="1B2027"/>
          <w:sz w:val="21"/>
          <w:szCs w:val="21"/>
        </w:rPr>
        <w:t xml:space="preserve">. Same-origin needs no CORS entry, no framing relaxation, and no cross-origin token handling. It is also a deployment of our application into your infrastructure, which is probably not what you meant by “integrate”.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If you only need viewing</w:t>
      </w:r>
      <w:r>
        <w:rPr>
          <w:rFonts w:ascii="Calibri" w:cs="Calibri" w:eastAsia="Calibri" w:hAnsi="Calibri"/>
          <w:b w:val="false"/>
          <w:bCs w:val="false"/>
          <w:color w:val="1B2027"/>
          <w:sz w:val="21"/>
          <w:szCs w:val="21"/>
        </w:rPr>
        <w:t xml:space="preserve">, the honest recommendation is to skip the embed entirely: use section 3 to convert, and render the resulting PDF or SVG in your own interface with your own viewer. That avoids all three constraints and is a complete feature.</w:t>
      </w:r>
    </w:p>
    <w:p>
      <w:pPr>
        <w:pStyle w:val="Heading2"/>
        <w:spacing w:after="140" w:before="280"/>
      </w:pPr>
      <w:r>
        <w:rPr>
          <w:rFonts w:ascii="Calibri" w:cs="Calibri" w:eastAsia="Calibri" w:hAnsi="Calibri"/>
          <w:b/>
          <w:bCs/>
          <w:color w:val="0F7A83"/>
          <w:sz w:val="25"/>
          <w:szCs w:val="25"/>
        </w:rPr>
        <w:t xml:space="preserve">5.1  What the identity gap actually means</w:t>
      </w:r>
    </w:p>
    <w:p>
      <w:pPr>
        <w:spacing w:after="140" w:line="276"/>
      </w:pPr>
      <w:r>
        <w:rPr>
          <w:rFonts w:ascii="Calibri" w:cs="Calibri" w:eastAsia="Calibri" w:hAnsi="Calibri"/>
          <w:b w:val="false"/>
          <w:bCs w:val="false"/>
          <w:color w:val="1B2027"/>
          <w:sz w:val="21"/>
          <w:szCs w:val="21"/>
        </w:rPr>
        <w:t xml:space="preserve">Not “you need to configure SSO”. There is nothing to configure. A markup’s author is a foreign key into our user table, so </w:t>
      </w:r>
      <w:r>
        <w:rPr>
          <w:rFonts w:ascii="Calibri" w:cs="Calibri" w:eastAsia="Calibri" w:hAnsi="Calibri"/>
          <w:b/>
          <w:bCs/>
          <w:color w:val="1B2027"/>
          <w:sz w:val="21"/>
          <w:szCs w:val="21"/>
        </w:rPr>
        <w:t xml:space="preserve">your user must exist as a row in our database before they can annotate anything.</w:t>
      </w:r>
      <w:r>
        <w:rPr>
          <w:rFonts w:ascii="Calibri" w:cs="Calibri" w:eastAsia="Calibri" w:hAnsi="Calibri"/>
          <w:b w:val="false"/>
          <w:bCs w:val="false"/>
          <w:color w:val="1B2027"/>
          <w:sz w:val="21"/>
          <w:szCs w:val="21"/>
        </w:rPr>
        <w:t xml:space="preserve"> Any integration today means shadow-provisioning your users into our system, which is a data-protection conversation before it is an engineering 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signed assertion</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Annotation.authorRef</w:t>
            </w:r>
          </w:p>
          <w:p>
            <w:pPr>
              <w:spacing w:after="40" w:line="240"/>
              <w:jc w:val="center"/>
            </w:pPr>
            <w:r>
              <w:rPr>
                <w:rFonts w:ascii="Calibri" w:cs="Calibri" w:eastAsia="Calibri" w:hAnsi="Calibri"/>
                <w:b w:val="false"/>
                <w:bCs w:val="false"/>
                <w:color w:val="1B2027"/>
                <w:sz w:val="19"/>
                <w:szCs w:val="19"/>
              </w:rPr>
              <w:t xml:space="preserve">opaque value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Issuer + subject</w:t>
            </w:r>
          </w:p>
          <w:p>
            <w:pPr>
              <w:spacing w:after="40" w:line="240"/>
              <w:jc w:val="center"/>
            </w:pPr>
            <w:r>
              <w:rPr>
                <w:rFonts w:ascii="Calibri" w:cs="Calibri" w:eastAsia="Calibri" w:hAnsi="Calibri"/>
                <w:b w:val="false"/>
                <w:bCs w:val="false"/>
                <w:color w:val="0F7A83"/>
                <w:sz w:val="19"/>
                <w:szCs w:val="19"/>
              </w:rPr>
              <w:t xml:space="preserve">no row required</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Integration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for who its people are.</w:t>
            </w:r>
          </w:p>
        </w:tc>
      </w:tr>
    </w:tbl>
    <w:p>
      <w:pPr>
        <w:spacing w:after="240" w:before="80"/>
      </w:pPr>
      <w:r>
        <w:rPr>
          <w:rFonts w:ascii="Calibri" w:cs="Calibri" w:eastAsia="Calibri" w:hAnsi="Calibri"/>
          <w:b w:val="false"/>
          <w:bCs w:val="false"/>
          <w:color w:val="5F6875"/>
          <w:sz w:val="17"/>
          <w:szCs w:val="17"/>
        </w:rPr>
        <w:t xml:space="preserve">Figure 3 — The difference is one field. Annotation.author is a foreign key into our own user table, so a markup cannot exist without a local user row.</w:t>
      </w:r>
    </w:p>
    <w:p>
      <w:pPr>
        <w:spacing w:after="140" w:line="276"/>
      </w:pPr>
      <w:r>
        <w:rPr>
          <w:rFonts w:ascii="Calibri" w:cs="Calibri" w:eastAsia="Calibri" w:hAnsi="Calibri"/>
          <w:b w:val="false"/>
          <w:bCs w:val="false"/>
          <w:color w:val="1B2027"/>
          <w:sz w:val="21"/>
          <w:szCs w:val="21"/>
        </w:rPr>
        <w:t xml:space="preserve">The fix is an opaque issuer-and-subject reference plus a display name you supply, so you stay the system of record for who your people are. It is not built. If markup attribution matters to you, say so — it moves the priority.</w:t>
      </w:r>
    </w:p>
    <w:p>
      <w:pPr>
        <w:pStyle w:val="Heading1"/>
        <w:spacing w:after="160" w:before="360"/>
      </w:pPr>
      <w:r>
        <w:rPr>
          <w:rFonts w:ascii="Calibri" w:cs="Calibri" w:eastAsia="Calibri" w:hAnsi="Calibri"/>
          <w:b/>
          <w:bCs/>
          <w:color w:val="1B2027"/>
          <w:sz w:val="30"/>
          <w:szCs w:val="30"/>
        </w:rPr>
        <w:t xml:space="preserve">6.  What to plan for, not against</w:t>
      </w:r>
    </w:p>
    <w:p>
      <w:pPr>
        <w:spacing w:after="200" w:line="276"/>
      </w:pPr>
      <w:r>
        <w:rPr>
          <w:rFonts w:ascii="Calibri" w:cs="Calibri" w:eastAsia="Calibri" w:hAnsi="Calibri"/>
          <w:b w:val="false"/>
          <w:bCs w:val="false"/>
          <w:color w:val="5F6875"/>
          <w:sz w:val="21"/>
          <w:szCs w:val="21"/>
        </w:rPr>
        <w:t xml:space="preserve">When the contract lands, these are the shapes to expect. None of this is implemented; do not build against it yet. It is here so your architecture does not paint itself into a corner.</w:t>
      </w:r>
    </w:p>
    <w:p>
      <w:pPr>
        <w:pStyle w:val="ListParagraph"/>
        <w:numPr>
          <w:ilvl w:val="0"/>
          <w:numId w:val="2"/>
        </w:numPr>
        <w:spacing w:after="90" w:line="276"/>
      </w:pPr>
      <w:r>
        <w:rPr>
          <w:rFonts w:ascii="Calibri" w:cs="Calibri" w:eastAsia="Calibri" w:hAnsi="Calibri"/>
          <w:b/>
          <w:bCs/>
          <w:color w:val="1B2027"/>
          <w:sz w:val="21"/>
          <w:szCs w:val="21"/>
        </w:rPr>
        <w:t xml:space="preserve">Embedding</w:t>
      </w:r>
      <w:r>
        <w:rPr>
          <w:rFonts w:ascii="Calibri" w:cs="Calibri" w:eastAsia="Calibri" w:hAnsi="Calibri"/>
          <w:b w:val="false"/>
          <w:bCs w:val="false"/>
          <w:color w:val="1B2027"/>
          <w:sz w:val="21"/>
          <w:szCs w:val="21"/>
        </w:rPr>
        <w:t xml:space="preserve"> will be an iframe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a published web component, or both. Keep your viewer container swappable.</w:t>
      </w:r>
    </w:p>
    <w:p>
      <w:pPr>
        <w:pStyle w:val="ListParagraph"/>
        <w:numPr>
          <w:ilvl w:val="0"/>
          <w:numId w:val="2"/>
        </w:numPr>
        <w:spacing w:after="90" w:line="276"/>
      </w:pPr>
      <w:r>
        <w:rPr>
          <w:rFonts w:ascii="Calibri" w:cs="Calibri" w:eastAsia="Calibri" w:hAnsi="Calibri"/>
          <w:b/>
          <w:bCs/>
          <w:color w:val="1B2027"/>
          <w:sz w:val="21"/>
          <w:szCs w:val="21"/>
        </w:rPr>
        <w:t xml:space="preserve">Identity</w:t>
      </w:r>
      <w:r>
        <w:rPr>
          <w:rFonts w:ascii="Calibri" w:cs="Calibri" w:eastAsia="Calibri" w:hAnsi="Calibri"/>
          <w:b w:val="false"/>
          <w:bCs w:val="false"/>
          <w:color w:val="1B2027"/>
          <w:sz w:val="21"/>
          <w:szCs w:val="21"/>
        </w:rPr>
        <w:t xml:space="preserve"> will be a signed assertion you issue, exchanged for a short-lived viewer session. Make sure you can mint a JWT with a stable subject claim per user.</w:t>
      </w:r>
    </w:p>
    <w:p>
      <w:pPr>
        <w:pStyle w:val="ListParagraph"/>
        <w:numPr>
          <w:ilvl w:val="0"/>
          <w:numId w:val="2"/>
        </w:numPr>
        <w:spacing w:after="90" w:line="276"/>
      </w:pPr>
      <w:r>
        <w:rPr>
          <w:rFonts w:ascii="Calibri" w:cs="Calibri" w:eastAsia="Calibri" w:hAnsi="Calibri"/>
          <w:b/>
          <w:bCs/>
          <w:color w:val="1B2027"/>
          <w:sz w:val="21"/>
          <w:szCs w:val="21"/>
        </w:rPr>
        <w:t xml:space="preserve">Markups</w:t>
      </w:r>
      <w:r>
        <w:rPr>
          <w:rFonts w:ascii="Calibri" w:cs="Calibri" w:eastAsia="Calibri" w:hAnsi="Calibri"/>
          <w:b w:val="false"/>
          <w:bCs w:val="false"/>
          <w:color w:val="1B2027"/>
          <w:sz w:val="21"/>
          <w:szCs w:val="21"/>
        </w:rPr>
        <w:t xml:space="preserve"> will come back either as events on a callback you host or as a document you pull. Have a place to put them that is not the rendered file.</w:t>
      </w:r>
    </w:p>
    <w:p>
      <w:pPr>
        <w:pStyle w:val="ListParagraph"/>
        <w:numPr>
          <w:ilvl w:val="0"/>
          <w:numId w:val="2"/>
        </w:numPr>
        <w:spacing w:after="90" w:line="276"/>
      </w:pPr>
      <w:r>
        <w:rPr>
          <w:rFonts w:ascii="Calibri" w:cs="Calibri" w:eastAsia="Calibri" w:hAnsi="Calibri"/>
          <w:b/>
          <w:bCs/>
          <w:color w:val="1B2027"/>
          <w:sz w:val="21"/>
          <w:szCs w:val="21"/>
        </w:rPr>
        <w:t xml:space="preserve">Document identity</w:t>
      </w:r>
      <w:r>
        <w:rPr>
          <w:rFonts w:ascii="Calibri" w:cs="Calibri" w:eastAsia="Calibri" w:hAnsi="Calibri"/>
          <w:b w:val="false"/>
          <w:bCs w:val="false"/>
          <w:color w:val="1B2027"/>
          <w:sz w:val="21"/>
          <w:szCs w:val="21"/>
        </w:rPr>
        <w:t xml:space="preserve"> — we currently key on our own numeric id. An external identifier is planned; keep your own id available at the boundary.</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Has the embed contract been decided? (Section 5 — currently no)</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Has the identity contract been decided? (Section 5.1 — currently no)</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(Section 6)</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If the last three are all “no”, the buildable integration is section 3 and nothing else. That is a real feature and it works — it is just smaller than “embed the viewer”, and worth scoping as what it is.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2026-09-08T00:12:21.551Z</dcterms:created>
  <dcterms:modified xsi:type="dcterms:W3CDTF">2026-09-08T00:12:21.551Z</dcterms:modified>
</cp:coreProperties>
</file>

<file path=docProps/custom.xml><?xml version="1.0" encoding="utf-8"?>
<Properties xmlns="http://schemas.openxmlformats.org/officeDocument/2006/custom-properties" xmlns:vt="http://schemas.openxmlformats.org/officeDocument/2006/docPropsVTypes"/>
</file>