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Status.</w:t>
      </w:r>
      <w:r>
        <w:rPr>
          <w:rFonts w:ascii="Calibri" w:cs="Calibri" w:eastAsia="Calibri" w:hAnsi="Calibri"/>
          <w:b w:val="false"/>
          <w:bCs w:val="false"/>
          <w:color w:val="1B2027"/>
          <w:sz w:val="21"/>
          <w:szCs w:val="21"/>
        </w:rPr>
        <w:t xml:space="preserve"> The rendering core is built and boundary-enforced. The integration surface is not. Section 12 states exactly what is missing — read it before quoting anything here to a customer.</w:t>
      </w:r>
    </w:p>
    <w:p>
      <w:pPr>
        <w:spacing w:after="140" w:line="276"/>
      </w:pPr>
      <w:r>
        <w:rPr>
          <w:rFonts w:ascii="Calibri" w:cs="Calibri" w:eastAsia="Calibri" w:hAnsi="Calibri"/>
          <w:b/>
          <w:bCs/>
          <w:color w:val="1B2027"/>
          <w:sz w:val="21"/>
          <w:szCs w:val="21"/>
        </w:rPr>
        <w:t xml:space="preserve">Scope.</w:t>
      </w:r>
      <w:r>
        <w:rPr>
          <w:rFonts w:ascii="Calibri" w:cs="Calibri" w:eastAsia="Calibri" w:hAnsi="Calibri"/>
          <w:b w:val="false"/>
          <w:bCs w:val="false"/>
          <w:color w:val="1B2027"/>
          <w:sz w:val="21"/>
          <w:szCs w:val="21"/>
        </w:rPr>
        <w:t xml:space="preserve"> The viewer as described by ADR 12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docs/adr/0012-viewer-as-a-standalone-product.md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Companions.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viewer-integration-guide.md</w:t>
      </w:r>
      <w:r>
        <w:rPr>
          <w:rFonts w:ascii="Calibri" w:cs="Calibri" w:eastAsia="Calibri" w:hAnsi="Calibri"/>
          <w:b w:val="false"/>
          <w:bCs w:val="false"/>
          <w:color w:val="1B2027"/>
          <w:sz w:val="21"/>
          <w:szCs w:val="21"/>
        </w:rPr>
        <w:t xml:space="preserve"> for how a host uses it;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for what still has to move; and the platform’s own </w:t>
      </w:r>
      <w:r>
        <w:rPr>
          <w:rFonts w:ascii="Consolas" w:cs="Consolas" w:eastAsia="Consolas" w:hAnsi="Consolas"/>
          <w:b w:val="false"/>
          <w:bCs w:val="false"/>
          <w:color w:val="1B2027"/>
          <w:sz w:val="19"/>
          <w:szCs w:val="19"/>
        </w:rPr>
        <w:t xml:space="preserve">docs/architecture.md</w:t>
      </w:r>
      <w:r>
        <w:rPr>
          <w:rFonts w:ascii="Calibri" w:cs="Calibri" w:eastAsia="Calibri" w:hAnsi="Calibri"/>
          <w:b w:val="false"/>
          <w:b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color w:val="1B2027"/>
          <w:sz w:val="21"/>
          <w:szCs w:val="21"/>
        </w:rPr>
        <w:t xml:space="preserve">It is</w:t>
      </w:r>
      <w:r>
        <w:rPr>
          <w:rFonts w:ascii="Calibri" w:cs="Calibri" w:eastAsia="Calibri" w:hAnsi="Calibri"/>
          <w:b w:val="false"/>
          <w:b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color w:val="1B2027"/>
          <w:sz w:val="21"/>
          <w:szCs w:val="21"/>
        </w:rPr>
        <w:t xml:space="preserve">It is not</w:t>
      </w:r>
      <w:r>
        <w:rPr>
          <w:rFonts w:ascii="Calibri" w:cs="Calibri" w:eastAsia="Calibri" w:hAnsi="Calibri"/>
          <w:b w:val="false"/>
          <w:b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1.  mount the viewer</w:t>
            </w:r>
          </w:p>
          <w:p>
            <w:pPr>
              <w:spacing w:after="40" w:line="240"/>
              <w:jc w:val="center"/>
            </w:pPr>
            <w:r>
              <w:rPr>
                <w:rFonts w:ascii="Calibri" w:cs="Calibri" w:eastAsia="Calibri" w:hAnsi="Calibri"/>
                <w:b w:val="false"/>
                <w:bCs w:val="false"/>
                <w:color w:val="C4342A"/>
                <w:sz w:val="19"/>
                <w:szCs w:val="19"/>
              </w:rPr>
              <w:t xml:space="preserve">✗  NOT BUILT — no embed surface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6 components · 6 services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2.  identify the user</w:t>
            </w:r>
          </w:p>
          <w:p>
            <w:pPr>
              <w:spacing w:after="40" w:line="240"/>
              <w:jc w:val="center"/>
            </w:pPr>
            <w:r>
              <w:rPr>
                <w:rFonts w:ascii="Calibri" w:cs="Calibri" w:eastAsia="Calibri" w:hAnsi="Calibri"/>
                <w:b w:val="false"/>
                <w:bCs w:val="false"/>
                <w:color w:val="C4342A"/>
                <w:sz w:val="19"/>
                <w:szCs w:val="19"/>
              </w:rPr>
              <w:t xml:space="preserve">✗  NOT BUILT — no token exchange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p>
            <w:pPr>
              <w:spacing w:after="40" w:line="240"/>
              <w:jc w:val="center"/>
            </w:pPr>
            <w:r>
              <w:rPr>
                <w:b/>
                <w:bCs/>
              </w:rPr>
            </w:r>
          </w:p>
          <w:p>
            <w:pPr>
              <w:spacing w:after="40" w:line="240"/>
              <w:jc w:val="center"/>
            </w:pPr>
            <w:r>
              <w:rPr>
                <w:b/>
                <w:bCs/>
              </w:rPr>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 store</w:t>
            </w:r>
          </w:p>
          <w:p>
            <w:pPr>
              <w:spacing w:after="40" w:line="240"/>
            </w:pPr>
            <w:r>
              <w:rPr>
                <w:rFonts w:ascii="Calibri" w:cs="Calibri" w:eastAsia="Calibri" w:hAnsi="Calibri"/>
                <w:b w:val="false"/>
                <w:bCs w:val="false"/>
                <w:color w:val="1B2027"/>
                <w:sz w:val="19"/>
                <w:szCs w:val="19"/>
              </w:rPr>
              <w:t xml:space="preserve">tied to our user table</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  4.  return the markups</w:t>
            </w:r>
          </w:p>
          <w:p>
            <w:pPr>
              <w:spacing w:after="40" w:line="240"/>
              <w:jc w:val="center"/>
            </w:pPr>
            <w:r>
              <w:rPr>
                <w:rFonts w:ascii="Calibri" w:cs="Calibri" w:eastAsia="Calibri" w:hAnsi="Calibri"/>
                <w:b w:val="false"/>
                <w:bCs w:val="false"/>
                <w:color w:val="C4342A"/>
                <w:sz w:val="19"/>
                <w:szCs w:val="19"/>
              </w:rPr>
              <w:t xml:space="preserve">✗  NOT BUILT — 17 operations undecided</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Three of the four exchanges do not exist. The viewer can already take a document from anyone’s storage; it cannot yet be mounted, be told who is looking, or give anything back.</w:t>
      </w:r>
    </w:p>
    <w:p>
      <w:pPr>
        <w:spacing w:after="140" w:line="276"/>
      </w:pPr>
      <w:r>
        <w:rPr>
          <w:rFonts w:ascii="Consolas" w:cs="Consolas" w:eastAsia="Consolas" w:hAnsi="Consolas"/>
          <w:b/>
          <w:bCs/>
          <w:color w:val="1B2027"/>
          <w:sz w:val="19"/>
          <w:szCs w:val="19"/>
        </w:rPr>
        <w:t xml:space="preserve">src/viewer-core/</w:t>
      </w:r>
      <w:r>
        <w:rPr>
          <w:rFonts w:ascii="Calibri" w:cs="Calibri" w:eastAsia="Calibri" w:hAnsi="Calibri"/>
          <w:b/>
          <w:bCs/>
          <w:color w:val="1B2027"/>
          <w:sz w:val="21"/>
          <w:szCs w:val="21"/>
        </w:rPr>
        <w:t xml:space="preserve"> is the product.</w:t>
      </w:r>
      <w:r>
        <w:rPr>
          <w:rFonts w:ascii="Calibri" w:cs="Calibri" w:eastAsia="Calibri" w:hAnsi="Calibri"/>
          <w:b w:val="false"/>
          <w:bCs w:val="false"/>
          <w:color w:val="1B2027"/>
          <w:sz w:val="21"/>
          <w:szCs w:val="21"/>
        </w:rPr>
        <w:t xml:space="preserve"> 3,196 lines of production TypeScript across 12 source files, with 7 spec files beside them. Nothing in it imports anything from the application — not a service, not a model, not an environment constant. When the separate repository exists, this directory is </w:t>
      </w:r>
      <w:r>
        <w:rPr>
          <w:rFonts w:ascii="Calibri" w:cs="Calibri" w:eastAsia="Calibri" w:hAnsi="Calibri"/>
          <w:b/>
          <w:bCs/>
          <w:color w:val="1B2027"/>
          <w:sz w:val="21"/>
          <w:szCs w:val="21"/>
        </w:rPr>
        <w:t xml:space="preserve">copied, not untangled</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color w:val="1B2027"/>
          <w:sz w:val="19"/>
          <w:szCs w:val="19"/>
        </w:rPr>
        <w:t xml:space="preserve">viewer-core.boundary.spec.ts</w:t>
      </w:r>
      <w:r>
        <w:rPr>
          <w:rFonts w:ascii="Calibri" w:cs="Calibri" w:eastAsia="Calibri" w:hAnsi="Calibri"/>
          <w:b w:val="false"/>
          <w:bCs w:val="false"/>
          <w:color w:val="1B2027"/>
          <w:sz w:val="21"/>
          <w:szCs w:val="21"/>
        </w:rPr>
        <w:t xml:space="preserve"> reads every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in the directory through Vite’s </w:t>
      </w:r>
      <w:r>
        <w:rPr>
          <w:rFonts w:ascii="Consolas" w:cs="Consolas" w:eastAsia="Consolas" w:hAnsi="Consolas"/>
          <w:b w:val="false"/>
          <w:bCs w:val="false"/>
          <w:color w:val="1B2027"/>
          <w:sz w:val="19"/>
          <w:szCs w:val="19"/>
        </w:rPr>
        <w:t xml:space="preserve">import.meta.glob</w:t>
      </w:r>
      <w:r>
        <w:rPr>
          <w:rFonts w:ascii="Calibri" w:cs="Calibri" w:eastAsia="Calibri" w:hAnsi="Calibri"/>
          <w:b w:val="false"/>
          <w:b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color w:val="5F6875"/>
          <w:sz w:val="17"/>
          <w:szCs w:val="17"/>
        </w:rPr>
        <w:t xml:space="preserve">Table 1 — The four boundary assertions.</w:t>
      </w:r>
    </w:p>
    <w:p>
      <w:pPr>
        <w:spacing w:after="140" w:line="276"/>
      </w:pPr>
      <w:r>
        <w:rPr>
          <w:rFonts w:ascii="Calibri" w:cs="Calibri" w:eastAsia="Calibri" w:hAnsi="Calibri"/>
          <w:b w:val="false"/>
          <w:bCs w:val="false"/>
          <w:color w:val="1B2027"/>
          <w:sz w:val="21"/>
          <w:szCs w:val="21"/>
        </w:rPr>
        <w:t xml:space="preserve">One </w:t>
      </w:r>
      <w:r>
        <w:rPr>
          <w:rFonts w:ascii="Consolas" w:cs="Consolas" w:eastAsia="Consolas" w:hAnsi="Consolas"/>
          <w:b w:val="false"/>
          <w:bCs w:val="false"/>
          <w:color w:val="1B2027"/>
          <w:sz w:val="19"/>
          <w:szCs w:val="19"/>
        </w:rPr>
        <w:t xml:space="preserve">inject(AuthService)</w:t>
      </w:r>
      <w:r>
        <w:rPr>
          <w:rFonts w:ascii="Calibri" w:cs="Calibri" w:eastAsia="Calibri" w:hAnsi="Calibri"/>
          <w:b w:val="false"/>
          <w:bCs w:val="false"/>
          <w:color w:val="1B2027"/>
          <w:sz w:val="21"/>
          <w:szCs w:val="21"/>
        </w:rPr>
        <w:t xml:space="preserve"> added in a hurry turns a copy into a migration, and </w:t>
      </w:r>
      <w:r>
        <w:rPr>
          <w:rFonts w:ascii="Calibri" w:cs="Calibri" w:eastAsia="Calibri" w:hAnsi="Calibri"/>
          <w:b/>
          <w:bCs/>
          <w:color w:val="1B2027"/>
          <w:sz w:val="21"/>
          <w:szCs w:val="21"/>
        </w:rPr>
        <w:t xml:space="preserve">nothing else in the build would notice</w:t>
      </w:r>
      <w:r>
        <w:rPr>
          <w:rFonts w:ascii="Calibri" w:cs="Calibri" w:eastAsia="Calibri" w:hAnsi="Calibri"/>
          <w:b w:val="false"/>
          <w:b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color w:val="1B2027"/>
          <w:sz w:val="21"/>
          <w:szCs w:val="21"/>
        </w:rPr>
        <w:t xml:space="preserve">Components sit flat beside the services rather than in a </w:t>
      </w:r>
      <w:r>
        <w:rPr>
          <w:rFonts w:ascii="Consolas" w:cs="Consolas" w:eastAsia="Consolas" w:hAnsi="Consolas"/>
          <w:b w:val="false"/>
          <w:bCs w:val="false"/>
          <w:color w:val="1B2027"/>
          <w:sz w:val="19"/>
          <w:szCs w:val="19"/>
        </w:rPr>
        <w:t xml:space="preserve">components/</w:t>
      </w:r>
      <w:r>
        <w:rPr>
          <w:rFonts w:ascii="Calibri" w:cs="Calibri" w:eastAsia="Calibri" w:hAnsi="Calibri"/>
          <w:b w:val="false"/>
          <w:bCs w:val="false"/>
          <w:color w:val="1B2027"/>
          <w:sz w:val="21"/>
          <w:szCs w:val="21"/>
        </w:rPr>
        <w:t xml:space="preserve"> subdirectory. The glob is </w:t>
      </w:r>
      <w:r>
        <w:rPr>
          <w:rFonts w:ascii="Consolas" w:cs="Consolas" w:eastAsia="Consolas" w:hAnsi="Consolas"/>
          <w:b w:val="false"/>
          <w:bCs w:val="false"/>
          <w:color w:val="1B2027"/>
          <w:sz w:val="19"/>
          <w:szCs w:val="19"/>
        </w:rPr>
        <w:t xml:space="preserve">./*.ts</w:t>
      </w:r>
      <w:r>
        <w:rPr>
          <w:rFonts w:ascii="Calibri" w:cs="Calibri" w:eastAsia="Calibri" w:hAnsi="Calibri"/>
          <w:b w:val="false"/>
          <w:bCs w:val="false"/>
          <w:color w:val="1B2027"/>
          <w:sz w:val="21"/>
          <w:szCs w:val="21"/>
        </w:rPr>
        <w:t xml:space="preserve"> and the rule forbids every </w:t>
      </w:r>
      <w:r>
        <w:rPr>
          <w:rFonts w:ascii="Consolas" w:cs="Consolas" w:eastAsia="Consolas" w:hAnsi="Consolas"/>
          <w:b w:val="false"/>
          <w:bCs w:val="false"/>
          <w:color w:val="1B2027"/>
          <w:sz w:val="19"/>
          <w:szCs w:val="19"/>
        </w:rPr>
        <w:t xml:space="preserve">../</w:t>
      </w:r>
      <w:r>
        <w:rPr>
          <w:rFonts w:ascii="Calibri" w:cs="Calibri" w:eastAsia="Calibri" w:hAnsi="Calibri"/>
          <w:b w:val="false"/>
          <w:bCs w:val="false"/>
          <w:color w:val="1B2027"/>
          <w:sz w:val="21"/>
          <w:szCs w:val="21"/>
        </w:rPr>
        <w:t xml:space="preserve"> import, so a nested component reaching back for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color w:val="1B2027"/>
          <w:sz w:val="19"/>
          <w:szCs w:val="19"/>
        </w:rPr>
        <w:t xml:space="preserve">cad-viewer</w:t>
      </w:r>
      <w:r>
        <w:rPr>
          <w:rFonts w:ascii="Calibri" w:cs="Calibri" w:eastAsia="Calibri" w:hAnsi="Calibri"/>
          <w:b w:val="false"/>
          <w:bCs w:val="false"/>
          <w:color w:val="1B2027"/>
          <w:sz w:val="21"/>
          <w:szCs w:val="21"/>
        </w:rPr>
        <w:t xml:space="preserve"> (the DXF/DWG canvas),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(the model hierarchy), </w:t>
      </w:r>
      <w:r>
        <w:rPr>
          <w:rFonts w:ascii="Consolas" w:cs="Consolas" w:eastAsia="Consolas" w:hAnsi="Consolas"/>
          <w:b w:val="false"/>
          <w:bCs w:val="false"/>
          <w:color w:val="1B2027"/>
          <w:sz w:val="19"/>
          <w:szCs w:val="19"/>
        </w:rPr>
        <w:t xml:space="preserve">outline-panel</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page-links</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tool-rail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icon</w:t>
      </w:r>
      <w:r>
        <w:rPr>
          <w:rFonts w:ascii="Calibri" w:cs="Calibri" w:eastAsia="Calibri" w:hAnsi="Calibri"/>
          <w:b w:val="false"/>
          <w:b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color w:val="1B2027"/>
          <w:sz w:val="19"/>
          <w:szCs w:val="19"/>
        </w:rPr>
        <w:t xml:space="preserve">cad-viewer.component.ts</w:t>
      </w:r>
      <w:r>
        <w:rPr>
          <w:rFonts w:ascii="Calibri" w:cs="Calibri" w:eastAsia="Calibri" w:hAnsi="Calibri"/>
          <w:b w:val="false"/>
          <w:b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color w:val="1B2027"/>
          <w:sz w:val="19"/>
          <w:szCs w:val="19"/>
        </w:rPr>
        <w:t xml:space="preserve">viewer.component</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viewer3d.component</w:t>
      </w:r>
      <w:r>
        <w:rPr>
          <w:rFonts w:ascii="Calibri" w:cs="Calibri" w:eastAsia="Calibri" w:hAnsi="Calibri"/>
          <w:b w:val="false"/>
          <w:bCs w:val="false"/>
          <w:color w:val="1B2027"/>
          <w:sz w:val="21"/>
          <w:szCs w:val="21"/>
        </w:rPr>
        <w:t xml:space="preserve">) inject </w:t>
      </w:r>
      <w:r>
        <w:rPr>
          <w:rFonts w:ascii="Consolas" w:cs="Consolas" w:eastAsia="Consolas" w:hAnsi="Consolas"/>
          <w:b w:val="false"/>
          <w:bCs w:val="false"/>
          <w:color w:val="1B2027"/>
          <w:sz w:val="19"/>
          <w:szCs w:val="19"/>
        </w:rPr>
        <w:t xml:space="preserve">ViewerService</w:t>
      </w:r>
      <w:r>
        <w:rPr>
          <w:rFonts w:ascii="Calibri" w:cs="Calibri" w:eastAsia="Calibri" w:hAnsi="Calibri"/>
          <w:b w:val="false"/>
          <w:bCs w:val="false"/>
          <w:color w:val="1B2027"/>
          <w:sz w:val="21"/>
          <w:szCs w:val="21"/>
        </w:rPr>
        <w:t xml:space="preserve">, which calls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the annotation endpoints. Where those operations end up — viewer-side work against the fetched copy, a callback into the host, or out of the product — is ADR 12’s open step 4. Moving them before that decision would answer it by accident.</w:t>
      </w:r>
    </w:p>
    <w:p>
      <w:pPr>
        <w:pStyle w:val="Heading1"/>
        <w:spacing w:after="160" w:before="360"/>
      </w:pPr>
      <w:r>
        <w:rPr>
          <w:rFonts w:ascii="Calibri" w:cs="Calibri" w:eastAsia="Calibri" w:hAnsi="Calibri"/>
          <w:b/>
          <w:bCs/>
          <w:color w:val="1B2027"/>
          <w:sz w:val="30"/>
          <w:szCs w:val="30"/>
        </w:rPr>
        <w:t xml:space="preserve">4.  Three rendering pipelines</w:t>
      </w:r>
    </w:p>
    <w:p>
      <w:pPr>
        <w:spacing w:after="140" w:line="276"/>
      </w:pPr>
      <w:r>
        <w:rPr>
          <w:rFonts w:ascii="Calibri" w:cs="Calibri" w:eastAsia="Calibri" w:hAnsi="Calibri"/>
          <w:b/>
          <w:bCs/>
          <w:color w:val="1B2027"/>
          <w:sz w:val="21"/>
          <w:szCs w:val="21"/>
        </w:rPr>
        <w:t xml:space="preserve">PDF</w:t>
      </w:r>
      <w:r>
        <w:rPr>
          <w:rFonts w:ascii="Calibri" w:cs="Calibri" w:eastAsia="Calibri" w:hAnsi="Calibri"/>
          <w:b w:val="false"/>
          <w:bCs w:val="false"/>
          <w:color w:val="1B2027"/>
          <w:sz w:val="21"/>
          <w:szCs w:val="21"/>
        </w:rPr>
        <w:t xml:space="preserve"> is rendered in the browser by </w:t>
      </w:r>
      <w:r>
        <w:rPr>
          <w:rFonts w:ascii="Consolas" w:cs="Consolas" w:eastAsia="Consolas" w:hAnsi="Consolas"/>
          <w:b w:val="false"/>
          <w:bCs w:val="false"/>
          <w:color w:val="1B2027"/>
          <w:sz w:val="19"/>
          <w:szCs w:val="19"/>
        </w:rPr>
        <w:t xml:space="preserve">pdfjs-dist</w:t>
      </w:r>
      <w:r>
        <w:rPr>
          <w:rFonts w:ascii="Calibri" w:cs="Calibri" w:eastAsia="Calibri" w:hAnsi="Calibri"/>
          <w:b w:val="false"/>
          <w:b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color w:val="1B2027"/>
          <w:sz w:val="21"/>
          <w:szCs w:val="21"/>
        </w:rPr>
        <w:t xml:space="preserve">DXF/DWG</w:t>
      </w:r>
      <w:r>
        <w:rPr>
          <w:rFonts w:ascii="Calibri" w:cs="Calibri" w:eastAsia="Calibri" w:hAnsi="Calibri"/>
          <w:b w:val="false"/>
          <w:b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color w:val="1B2027"/>
          <w:sz w:val="21"/>
          <w:szCs w:val="21"/>
        </w:rPr>
        <w:t xml:space="preserve">IFC</w:t>
      </w:r>
      <w:r>
        <w:rPr>
          <w:rFonts w:ascii="Calibri" w:cs="Calibri" w:eastAsia="Calibri" w:hAnsi="Calibri"/>
          <w:b w:val="false"/>
          <w:bCs w:val="false"/>
          <w:color w:val="1B2027"/>
          <w:sz w:val="21"/>
          <w:szCs w:val="21"/>
        </w:rPr>
        <w:t xml:space="preserve"> is rendered with </w:t>
      </w:r>
      <w:r>
        <w:rPr>
          <w:rFonts w:ascii="Consolas" w:cs="Consolas" w:eastAsia="Consolas" w:hAnsi="Consolas"/>
          <w:b w:val="false"/>
          <w:bCs w:val="false"/>
          <w:color w:val="1B2027"/>
          <w:sz w:val="19"/>
          <w:szCs w:val="19"/>
        </w:rPr>
        <w:t xml:space="preserve">three</w:t>
      </w:r>
      <w:r>
        <w:rPr>
          <w:rFonts w:ascii="Calibri" w:cs="Calibri" w:eastAsia="Calibri" w:hAnsi="Calibri"/>
          <w:b w:val="false"/>
          <w:bCs w:val="false"/>
          <w:color w:val="1B2027"/>
          <w:sz w:val="21"/>
          <w:szCs w:val="21"/>
        </w:rPr>
        <w:t xml:space="preserve"> 0.185 as WebGL geometry, with </w:t>
      </w:r>
      <w:r>
        <w:rPr>
          <w:rFonts w:ascii="Consolas" w:cs="Consolas" w:eastAsia="Consolas" w:hAnsi="Consolas"/>
          <w:b w:val="false"/>
          <w:bCs w:val="false"/>
          <w:color w:val="1B2027"/>
          <w:sz w:val="19"/>
          <w:szCs w:val="19"/>
        </w:rPr>
        <w:t xml:space="preserve">ifc-tree</w:t>
      </w:r>
      <w:r>
        <w:rPr>
          <w:rFonts w:ascii="Calibri" w:cs="Calibri" w:eastAsia="Calibri" w:hAnsi="Calibri"/>
          <w:b w:val="false"/>
          <w:bCs w:val="false"/>
          <w:color w:val="1B2027"/>
          <w:sz w:val="21"/>
          <w:szCs w:val="21"/>
        </w:rPr>
        <w:t xml:space="preserve"> carrying the model hierarchy alongside it. </w:t>
      </w:r>
      <w:r>
        <w:rPr>
          <w:rFonts w:ascii="Calibri" w:cs="Calibri" w:eastAsia="Calibri" w:hAnsi="Calibri"/>
          <w:b/>
          <w:bCs/>
          <w:color w:val="1B2027"/>
          <w:sz w:val="21"/>
          <w:szCs w:val="21"/>
        </w:rPr>
        <w:t xml:space="preserve">The tree is the primary interface and the canvas is the visual layer over it</w:t>
      </w:r>
      <w:r>
        <w:rPr>
          <w:rFonts w:ascii="Calibri" w:cs="Calibri" w:eastAsia="Calibri" w:hAnsi="Calibri"/>
          <w:b w:val="false"/>
          <w:b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4.1  The same drawing, rendered twice, on purpose</w:t>
      </w:r>
    </w:p>
    <w:p>
      <w:pPr>
        <w:spacing w:after="140" w:line="276"/>
      </w:pPr>
      <w:r>
        <w:rPr>
          <w:rFonts w:ascii="Calibri" w:cs="Calibri" w:eastAsia="Calibri" w:hAnsi="Calibri"/>
          <w:b w:val="false"/>
          <w:b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color w:val="1B2027"/>
          <w:sz w:val="21"/>
          <w:szCs w:val="21"/>
        </w:rPr>
        <w:t xml:space="preserve">For the viewer</w:t>
      </w:r>
      <w:r>
        <w:rPr>
          <w:rFonts w:ascii="Calibri" w:cs="Calibri" w:eastAsia="Calibri" w:hAnsi="Calibri"/>
          <w:b w:val="false"/>
          <w:bCs w:val="false"/>
          <w:color w:val="1B2027"/>
          <w:sz w:val="21"/>
          <w:szCs w:val="21"/>
        </w:rPr>
        <w:t xml:space="preserve">, geometry is drawn as SVG paths and the text is emitted as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with </w:t>
      </w:r>
      <w:r>
        <w:rPr>
          <w:rFonts w:ascii="Consolas" w:cs="Consolas" w:eastAsia="Consolas" w:hAnsi="Consolas"/>
          <w:b w:val="false"/>
          <w:bCs w:val="false"/>
          <w:color w:val="1B2027"/>
          <w:sz w:val="19"/>
          <w:szCs w:val="19"/>
        </w:rPr>
        <w:t xml:space="preserve">fill="none"</w:t>
      </w:r>
      <w:r>
        <w:rPr>
          <w:rFonts w:ascii="Calibri" w:cs="Calibri" w:eastAsia="Calibri" w:hAnsi="Calibri"/>
          <w:b w:val="false"/>
          <w:b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color w:val="1B2027"/>
          <w:sz w:val="21"/>
          <w:szCs w:val="21"/>
        </w:rPr>
        <w:t xml:space="preserve">For PDF export</w:t>
      </w:r>
      <w:r>
        <w:rPr>
          <w:rFonts w:ascii="Calibri" w:cs="Calibri" w:eastAsia="Calibri" w:hAnsi="Calibri"/>
          <w:b w:val="false"/>
          <w:b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color w:val="1B2027"/>
          <w:sz w:val="21"/>
          <w:szCs w:val="21"/>
        </w:rPr>
        <w:t xml:space="preserve">no</w:t>
      </w:r>
      <w:r>
        <w:rPr>
          <w:rFonts w:ascii="Calibri" w:cs="Calibri" w:eastAsia="Calibri" w:hAnsi="Calibri"/>
          <w:b w:val="false"/>
          <w:bCs w:val="false"/>
          <w:color w:val="1B2027"/>
          <w:sz w:val="21"/>
          <w:szCs w:val="21"/>
        </w:rPr>
        <w:t xml:space="preserve"> glyph geometry (</w:t>
      </w:r>
      <w:r>
        <w:rPr>
          <w:rFonts w:ascii="Consolas" w:cs="Consolas" w:eastAsia="Consolas" w:hAnsi="Consolas"/>
          <w:b w:val="false"/>
          <w:bCs w:val="false"/>
          <w:color w:val="1B2027"/>
          <w:sz w:val="19"/>
          <w:szCs w:val="19"/>
        </w:rPr>
        <w:t xml:space="preserve">TextPolicy.IGNORE</w:t>
      </w:r>
      <w:r>
        <w:rPr>
          <w:rFonts w:ascii="Calibri" w:cs="Calibri" w:eastAsia="Calibri" w:hAnsi="Calibri"/>
          <w:b w:val="false"/>
          <w:bCs w:val="false"/>
          <w:color w:val="1B2027"/>
          <w:sz w:val="21"/>
          <w:szCs w:val="21"/>
        </w:rPr>
        <w:t xml:space="preserve">) and emits </w:t>
      </w:r>
      <w:r>
        <w:rPr>
          <w:rFonts w:ascii="Calibri" w:cs="Calibri" w:eastAsia="Calibri" w:hAnsi="Calibri"/>
          <w:b/>
          <w:bCs/>
          <w:color w:val="1B2027"/>
          <w:sz w:val="21"/>
          <w:szCs w:val="21"/>
        </w:rPr>
        <w:t xml:space="preserve">visible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&lt;text&gt;</w:t>
      </w:r>
      <w:r>
        <w:rPr>
          <w:rFonts w:ascii="Calibri" w:cs="Calibri" w:eastAsia="Calibri" w:hAnsi="Calibri"/>
          <w:b w:val="false"/>
          <w:b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consequence that bites: calibration must measure what was actually drawn.</w:t>
      </w:r>
      <w:r>
        <w:rPr>
          <w:rFonts w:ascii="Calibri" w:cs="Calibri" w:eastAsia="Calibri" w:hAnsi="Calibri"/>
          <w:b w:val="false"/>
          <w:b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5.  Why conversion is server-side and stays there</w:t>
      </w:r>
    </w:p>
    <w:p>
      <w:pPr>
        <w:spacing w:after="140" w:line="276"/>
      </w:pPr>
      <w:r>
        <w:rPr>
          <w:rFonts w:ascii="Calibri" w:cs="Calibri" w:eastAsia="Calibri" w:hAnsi="Calibri"/>
          <w:b w:val="false"/>
          <w:bCs w:val="false"/>
          <w:color w:val="1B2027"/>
          <w:sz w:val="21"/>
          <w:szCs w:val="21"/>
        </w:rPr>
        <w:t xml:space="preserve">Office documents go through LibreOffice, DWG through LibreDWG or the ODA File Converter, OCR through Tesseract, DXF through </w:t>
      </w:r>
      <w:r>
        <w:rPr>
          <w:rFonts w:ascii="Consolas" w:cs="Consolas" w:eastAsia="Consolas" w:hAnsi="Consolas"/>
          <w:b w:val="false"/>
          <w:bCs w:val="false"/>
          <w:color w:val="1B2027"/>
          <w:sz w:val="19"/>
          <w:szCs w:val="19"/>
        </w:rPr>
        <w:t xml:space="preserve">ezdxf</w:t>
      </w:r>
      <w:r>
        <w:rPr>
          <w:rFonts w:ascii="Calibri" w:cs="Calibri" w:eastAsia="Calibri" w:hAnsi="Calibri"/>
          <w:b w:val="false"/>
          <w:b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5.1  DWG has no clean path in a distributed product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Yes</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ship it and owe every recipient corresponding source, which we do not provide</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color w:val="5F6875"/>
          <w:sz w:val="17"/>
          <w:szCs w:val="17"/>
        </w:rPr>
        <w:t xml:space="preserve">Table 3 — Two converters, opposite licence problems.</w:t>
      </w:r>
    </w:p>
    <w:p>
      <w:pPr>
        <w:spacing w:after="140" w:line="276"/>
      </w:pPr>
      <w:r>
        <w:rPr>
          <w:rFonts w:ascii="Calibri" w:cs="Calibri" w:eastAsia="Calibri" w:hAnsi="Calibri"/>
          <w:b w:val="false"/>
          <w:bCs w:val="false"/>
          <w:color w:val="1B2027"/>
          <w:sz w:val="21"/>
          <w:szCs w:val="21"/>
        </w:rPr>
        <w:t xml:space="preserve">Running our own SaaS conceals this — the image never leaves us. The moment the product is installed by a customer, both problems are real on every install. Recorded as ADR 13 (</w:t>
      </w:r>
      <w:r>
        <w:rPr>
          <w:rFonts w:ascii="Consolas" w:cs="Consolas" w:eastAsia="Consolas" w:hAnsi="Consolas"/>
          <w:b w:val="false"/>
          <w:bCs w:val="false"/>
          <w:color w:val="1B2027"/>
          <w:sz w:val="19"/>
          <w:szCs w:val="19"/>
        </w:rPr>
        <w:t xml:space="preserve">cde-platform</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docs/adr/0013-dwg-conversion-in-a-distributed-product.md</w:t>
      </w:r>
      <w:r>
        <w:rPr>
          <w:rFonts w:ascii="Calibri" w:cs="Calibri" w:eastAsia="Calibri" w:hAnsi="Calibri"/>
          <w:b w:val="false"/>
          <w:bCs w:val="false"/>
          <w:color w:val="1B2027"/>
          <w:sz w:val="21"/>
          <w:szCs w:val="21"/>
        </w:rPr>
        <w:t xml:space="preserve">), referred to counsel, unresolved.</w:t>
      </w:r>
    </w:p>
    <w:p>
      <w:pPr>
        <w:spacing w:after="140" w:line="276"/>
      </w:pPr>
      <w:r>
        <w:rPr>
          <w:rFonts w:ascii="Calibri" w:cs="Calibri" w:eastAsia="Calibri" w:hAnsi="Calibri"/>
          <w:b w:val="false"/>
          <w:b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color w:val="1B2027"/>
          <w:sz w:val="19"/>
          <w:szCs w:val="19"/>
        </w:rPr>
        <w:t xml:space="preserve">odaRunnable</w:t>
      </w:r>
      <w:r>
        <w:rPr>
          <w:rFonts w:ascii="Calibri" w:cs="Calibri" w:eastAsia="Calibri" w:hAnsi="Calibri"/>
          <w:b w:val="false"/>
          <w:bCs w:val="false"/>
          <w:color w:val="1B2027"/>
          <w:sz w:val="21"/>
          <w:szCs w:val="21"/>
        </w:rPr>
        <w:t xml:space="preserve"> distinctly from </w:t>
      </w:r>
      <w:r>
        <w:rPr>
          <w:rFonts w:ascii="Consolas" w:cs="Consolas" w:eastAsia="Consolas" w:hAnsi="Consolas"/>
          <w:b w:val="false"/>
          <w:bCs w:val="false"/>
          <w:color w:val="1B2027"/>
          <w:sz w:val="19"/>
          <w:szCs w:val="19"/>
        </w:rPr>
        <w:t xml:space="preserve">odaInstalled</w:t>
      </w:r>
      <w:r>
        <w:rPr>
          <w:rFonts w:ascii="Calibri" w:cs="Calibri" w:eastAsia="Calibri" w:hAnsi="Calibri"/>
          <w:b w:val="false"/>
          <w:bCs w:val="false"/>
          <w:color w:val="1B2027"/>
          <w:sz w:val="21"/>
          <w:szCs w:val="21"/>
        </w:rPr>
        <w:t xml:space="preserve">.</w:t>
      </w:r>
    </w:p>
    <w:p>
      <w:pPr>
        <w:pStyle w:val="Heading1"/>
        <w:spacing w:after="160" w:before="360"/>
      </w:pPr>
      <w:r>
        <w:rPr>
          <w:rFonts w:ascii="Calibri" w:cs="Calibri" w:eastAsia="Calibri" w:hAnsi="Calibri"/>
          <w:b/>
          <w:bCs/>
          <w:color w:val="1B2027"/>
          <w:sz w:val="30"/>
          <w:szCs w:val="30"/>
        </w:rPr>
        <w:t xml:space="preserve">6.  Document ingress</w:t>
      </w:r>
    </w:p>
    <w:p>
      <w:pPr>
        <w:spacing w:after="140" w:line="276"/>
      </w:pPr>
      <w:r>
        <w:rPr>
          <w:rFonts w:ascii="Calibri" w:cs="Calibri" w:eastAsia="Calibri" w:hAnsi="Calibri"/>
          <w:b w:val="false"/>
          <w:bCs w:val="false"/>
          <w:color w:val="1B2027"/>
          <w:sz w:val="21"/>
          <w:szCs w:val="21"/>
        </w:rPr>
        <w:t xml:space="preserve">The one integration exchange that is built.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b/>
                <w:bCs/>
              </w:rPr>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b/>
                <w:bCs/>
              </w:rPr>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one exchange that is built, end to end. Stages 1, 7 and 8 are yours; 2 to 6 are ours. Always send an Idempotency-Key so a timed-out retry returns the same job rather than converting twice.</w:t>
      </w:r>
    </w:p>
    <w:p>
      <w:pPr>
        <w:spacing w:after="140" w:line="276"/>
      </w:pPr>
      <w:r>
        <w:rPr>
          <w:rFonts w:ascii="Calibri" w:cs="Calibri" w:eastAsia="Calibri" w:hAnsi="Calibri"/>
          <w:b w:val="false"/>
          <w:bCs w:val="false"/>
          <w:color w:val="1B2027"/>
          <w:sz w:val="21"/>
          <w:szCs w:val="21"/>
        </w:rPr>
        <w:t xml:space="preserve">A refused destination is a </w:t>
      </w:r>
      <w:r>
        <w:rPr>
          <w:rFonts w:ascii="Calibri" w:cs="Calibri" w:eastAsia="Calibri" w:hAnsi="Calibri"/>
          <w:b/>
          <w:bCs/>
          <w:color w:val="1B2027"/>
          <w:sz w:val="21"/>
          <w:szCs w:val="21"/>
        </w:rPr>
        <w:t xml:space="preserve">422</w:t>
      </w:r>
      <w:r>
        <w:rPr>
          <w:rFonts w:ascii="Calibri" w:cs="Calibri" w:eastAsia="Calibri" w:hAnsi="Calibri"/>
          <w:b w:val="false"/>
          <w:bCs w:val="false"/>
          <w:color w:val="1B2027"/>
          <w:sz w:val="21"/>
          <w:szCs w:val="21"/>
        </w:rPr>
        <w:t xml:space="preserve">, and a job belonging to another tenant is a </w:t>
      </w:r>
      <w:r>
        <w:rPr>
          <w:rFonts w:ascii="Calibri" w:cs="Calibri" w:eastAsia="Calibri" w:hAnsi="Calibri"/>
          <w:b/>
          <w:bCs/>
          <w:color w:val="1B2027"/>
          <w:sz w:val="21"/>
          <w:szCs w:val="21"/>
        </w:rPr>
        <w:t xml:space="preserve">404</w:t>
      </w:r>
      <w:r>
        <w:rPr>
          <w:rFonts w:ascii="Calibri" w:cs="Calibri" w:eastAsia="Calibri" w:hAnsi="Calibri"/>
          <w:b w:val="false"/>
          <w:bCs w:val="false"/>
          <w:color w:val="1B2027"/>
          <w:sz w:val="21"/>
          <w:szCs w:val="21"/>
        </w:rPr>
        <w:t xml:space="preserve"> rather than a 403 — invisible, not forbidden. Every operation requires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bCs/>
          <w:color w:val="1B2027"/>
          <w:sz w:val="21"/>
          <w:szCs w:val="21"/>
        </w:rPr>
        <w:t xml:space="preserve">The viewer never holds a customer credential</w:t>
      </w:r>
      <w:r>
        <w:rPr>
          <w:rFonts w:ascii="Calibri" w:cs="Calibri" w:eastAsia="Calibri" w:hAnsi="Calibri"/>
          <w:b w:val="false"/>
          <w:b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color w:val="1B2027"/>
          <w:sz w:val="21"/>
          <w:szCs w:val="21"/>
        </w:rPr>
        <w:t xml:space="preserve">The source URL is never stored.</w:t>
      </w:r>
      <w:r>
        <w:rPr>
          <w:rFonts w:ascii="Calibri" w:cs="Calibri" w:eastAsia="Calibri" w:hAnsi="Calibri"/>
          <w:b w:val="false"/>
          <w:b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6.1  The gap under this</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viewer’s own front end has never called </w:t>
      </w:r>
      <w:r>
        <w:rPr>
          <w:rFonts w:ascii="Consolas" w:cs="Consolas" w:eastAsia="Consolas" w:hAnsi="Consolas"/>
          <w:b w:val="false"/>
          <w:bCs w:val="false"/>
          <w:color w:val="1B2027"/>
          <w:sz w:val="19"/>
          <w:szCs w:val="19"/>
        </w:rPr>
        <w:t xml:space="preserve">/api/conversions</w:t>
      </w:r>
      <w:r>
        <w:rPr>
          <w:rFonts w:ascii="Calibri" w:cs="Calibri" w:eastAsia="Calibri" w:hAnsi="Calibri"/>
          <w:b w:val="false"/>
          <w:bCs w:val="false"/>
          <w:color w:val="1B2027"/>
          <w:sz w:val="21"/>
          <w:szCs w:val="21"/>
        </w:rPr>
        <w:t xml:space="preserve">. It still reads </w:t>
      </w:r>
      <w:r>
        <w:rPr>
          <w:rFonts w:ascii="Consolas" w:cs="Consolas" w:eastAsia="Consolas" w:hAnsi="Consolas"/>
          <w:b w:val="false"/>
          <w:bCs w:val="false"/>
          <w:color w:val="1B2027"/>
          <w:sz w:val="19"/>
          <w:szCs w:val="19"/>
        </w:rPr>
        <w:t xml:space="preserve">/api/viewer/{id}</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/api/documents/*</w:t>
      </w:r>
      <w:r>
        <w:rPr>
          <w:rFonts w:ascii="Calibri" w:cs="Calibri" w:eastAsia="Calibri" w:hAnsi="Calibri"/>
          <w:b w:val="false"/>
          <w:bCs w:val="false"/>
          <w:color w:val="1B2027"/>
          <w:sz w:val="21"/>
          <w:szCs w:val="21"/>
        </w:rPr>
        <w:t xml:space="preserve">, which assume the platform owns the document. The product has two halves that do not meet: an ingress for the host’s storage with no interface on it, and an interface that only opens documents we already hold.</w:t>
      </w:r>
    </w:p>
    <w:p>
      <w:pPr>
        <w:pStyle w:val="Heading1"/>
        <w:spacing w:after="160" w:before="360"/>
      </w:pPr>
      <w:r>
        <w:rPr>
          <w:rFonts w:ascii="Calibri" w:cs="Calibri" w:eastAsia="Calibri" w:hAnsi="Calibri"/>
          <w:b/>
          <w:bCs/>
          <w:color w:val="1B2027"/>
          <w:sz w:val="30"/>
          <w:szCs w:val="30"/>
        </w:rPr>
        <w:t xml:space="preserve">7.  State</w:t>
      </w:r>
    </w:p>
    <w:p>
      <w:pPr>
        <w:spacing w:after="140" w:line="276"/>
      </w:pPr>
      <w:r>
        <w:rPr>
          <w:rFonts w:ascii="Calibri" w:cs="Calibri" w:eastAsia="Calibri" w:hAnsi="Calibri"/>
          <w:b w:val="false"/>
          <w:bCs w:val="false"/>
          <w:color w:val="1B2027"/>
          <w:sz w:val="21"/>
          <w:szCs w:val="21"/>
        </w:rPr>
        <w:t xml:space="preserve">Angular signals throughout, with </w:t>
      </w:r>
      <w:r>
        <w:rPr>
          <w:rFonts w:ascii="Consolas" w:cs="Consolas" w:eastAsia="Consolas" w:hAnsi="Consolas"/>
          <w:b w:val="false"/>
          <w:bCs w:val="false"/>
          <w:color w:val="1B2027"/>
          <w:sz w:val="19"/>
          <w:szCs w:val="19"/>
        </w:rPr>
        <w:t xml:space="preserve">ViewerStateService</w:t>
      </w:r>
      <w:r>
        <w:rPr>
          <w:rFonts w:ascii="Calibri" w:cs="Calibri" w:eastAsia="Calibri" w:hAnsi="Calibri"/>
          <w:b w:val="false"/>
          <w:b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color w:val="1B2027"/>
          <w:sz w:val="21"/>
          <w:szCs w:val="21"/>
        </w:rPr>
        <w:t xml:space="preserve">Server-side operations that rewrite the document (redaction, OCR, flatten, form fill, page rearrange) commit a </w:t>
      </w:r>
      <w:r>
        <w:rPr>
          <w:rFonts w:ascii="Calibri" w:cs="Calibri" w:eastAsia="Calibri" w:hAnsi="Calibri"/>
          <w:b/>
          <w:bCs/>
          <w:color w:val="1B2027"/>
          <w:sz w:val="21"/>
          <w:szCs w:val="21"/>
        </w:rPr>
        <w:t xml:space="preserve">new version</w:t>
      </w:r>
      <w:r>
        <w:rPr>
          <w:rFonts w:ascii="Calibri" w:cs="Calibri" w:eastAsia="Calibri" w:hAnsi="Calibri"/>
          <w:b w:val="false"/>
          <w:b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8.  Accessibility architecture</w:t>
      </w:r>
    </w:p>
    <w:p>
      <w:pPr>
        <w:spacing w:after="140" w:line="276"/>
      </w:pPr>
      <w:r>
        <w:rPr>
          <w:rFonts w:ascii="Calibri" w:cs="Calibri" w:eastAsia="Calibri" w:hAnsi="Calibri"/>
          <w:b w:val="false"/>
          <w:b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color w:val="1B2027"/>
          <w:sz w:val="21"/>
          <w:szCs w:val="21"/>
        </w:rPr>
        <w:t xml:space="preserve">The IFC tree is the primary data interface.</w:t>
      </w:r>
      <w:r>
        <w:rPr>
          <w:rFonts w:ascii="Calibri" w:cs="Calibri" w:eastAsia="Calibri" w:hAnsi="Calibri"/>
          <w:b w:val="false"/>
          <w:b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color w:val="1B2027"/>
          <w:sz w:val="21"/>
          <w:szCs w:val="21"/>
        </w:rPr>
        <w:t xml:space="preserve">Every drag interaction needs a single-pointer alternative</w:t>
      </w:r>
      <w:r>
        <w:rPr>
          <w:rFonts w:ascii="Calibri" w:cs="Calibri" w:eastAsia="Calibri" w:hAnsi="Calibri"/>
          <w:b w:val="false"/>
          <w:b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color w:val="1B2027"/>
          <w:sz w:val="19"/>
          <w:szCs w:val="19"/>
        </w:rPr>
        <w:t xml:space="preserve">updateShape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callout</w:t>
      </w:r>
      <w:r>
        <w:rPr>
          <w:rFonts w:ascii="Calibri" w:cs="Calibri" w:eastAsia="Calibri" w:hAnsi="Calibri"/>
          <w:b w:val="false"/>
          <w:bCs w:val="false"/>
          <w:color w:val="1B2027"/>
          <w:sz w:val="21"/>
          <w:szCs w:val="21"/>
        </w:rPr>
        <w:t xml:space="preserve"> case.</w:t>
      </w:r>
    </w:p>
    <w:p>
      <w:pPr>
        <w:pStyle w:val="ListParagraph"/>
        <w:numPr>
          <w:ilvl w:val="0"/>
          <w:numId w:val="2"/>
        </w:numPr>
        <w:spacing w:after="90" w:line="276"/>
      </w:pPr>
      <w:r>
        <w:rPr>
          <w:rFonts w:ascii="Calibri" w:cs="Calibri" w:eastAsia="Calibri" w:hAnsi="Calibri"/>
          <w:b/>
          <w:bCs/>
          <w:color w:val="1B2027"/>
          <w:sz w:val="21"/>
          <w:szCs w:val="21"/>
        </w:rPr>
        <w:t xml:space="preserve">Exports must be tagged and PDF/UA-conformant.</w:t>
      </w:r>
      <w:r>
        <w:rPr>
          <w:rFonts w:ascii="Calibri" w:cs="Calibri" w:eastAsia="Calibri" w:hAnsi="Calibri"/>
          <w:b w:val="false"/>
          <w:b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9.  Security posture</w:t>
      </w:r>
    </w:p>
    <w:p>
      <w:pPr>
        <w:spacing w:after="140" w:line="276"/>
      </w:pPr>
      <w:r>
        <w:rPr>
          <w:rFonts w:ascii="Calibri" w:cs="Calibri" w:eastAsia="Calibri" w:hAnsi="Calibri"/>
          <w:b w:val="false"/>
          <w:b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color w:val="1B2027"/>
          <w:sz w:val="21"/>
          <w:szCs w:val="21"/>
        </w:rPr>
        <w:t xml:space="preserve">viewer product</w:t>
      </w:r>
      <w:r>
        <w:rPr>
          <w:rFonts w:ascii="Calibri" w:cs="Calibri" w:eastAsia="Calibri" w:hAnsi="Calibri"/>
          <w:b w:val="false"/>
          <w:b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b/>
                <w:bCs/>
              </w:rPr>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response headers</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Must become per-deployment, because embedding requires relaxing frame-ancestors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color w:val="5F6875"/>
          <w:sz w:val="17"/>
          <w:szCs w:val="17"/>
        </w:rPr>
        <w:t xml:space="preserve">Table 4 — What travels with the product and what does not.</w:t>
      </w:r>
    </w:p>
    <w:p>
      <w:pPr>
        <w:spacing w:after="140" w:line="276"/>
      </w:pPr>
      <w:r>
        <w:rPr>
          <w:rFonts w:ascii="Calibri" w:cs="Calibri" w:eastAsia="Calibri" w:hAnsi="Calibri"/>
          <w:b w:val="false"/>
          <w:bCs w:val="false"/>
          <w:color w:val="1B2027"/>
          <w:sz w:val="21"/>
          <w:szCs w:val="21"/>
        </w:rPr>
        <w:t xml:space="preserve">The last two rows matter most. A distributed viewer that assumes it owns tenancy would be wrong in a way that is expensive to unwind.</w:t>
      </w:r>
    </w:p>
    <w:p>
      <w:pPr>
        <w:pStyle w:val="Heading1"/>
        <w:spacing w:after="160" w:before="360"/>
      </w:pPr>
      <w:r>
        <w:rPr>
          <w:rFonts w:ascii="Calibri" w:cs="Calibri" w:eastAsia="Calibri" w:hAnsi="Calibri"/>
          <w:b/>
          <w:bCs/>
          <w:color w:val="1B2027"/>
          <w:sz w:val="30"/>
          <w:szCs w:val="30"/>
        </w:rPr>
        <w:t xml:space="preserve">10.  Performance</w:t>
      </w:r>
    </w:p>
    <w:p>
      <w:pPr>
        <w:spacing w:after="140" w:line="276"/>
      </w:pPr>
      <w:r>
        <w:rPr>
          <w:rFonts w:ascii="Calibri" w:cs="Calibri" w:eastAsia="Calibri" w:hAnsi="Calibri"/>
          <w:b w:val="false"/>
          <w:b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color w:val="1B2027"/>
          <w:sz w:val="19"/>
          <w:szCs w:val="19"/>
        </w:rPr>
        <w:t xml:space="preserve">import()</w:t>
      </w:r>
      <w:r>
        <w:rPr>
          <w:rFonts w:ascii="Calibri" w:cs="Calibri" w:eastAsia="Calibri" w:hAnsi="Calibri"/>
          <w:b w:val="false"/>
          <w:bCs w:val="false"/>
          <w:color w:val="1B2027"/>
          <w:sz w:val="21"/>
          <w:szCs w:val="21"/>
        </w:rPr>
        <w:t xml:space="preserve"> so they never enter the initial bundle.</w:t>
      </w:r>
    </w:p>
    <w:p>
      <w:pPr>
        <w:spacing w:after="140" w:line="276"/>
      </w:pPr>
      <w:r>
        <w:rPr>
          <w:rFonts w:ascii="Calibri" w:cs="Calibri" w:eastAsia="Calibri" w:hAnsi="Calibri"/>
          <w:b w:val="false"/>
          <w:b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color w:val="1B2027"/>
          <w:sz w:val="19"/>
          <w:szCs w:val="19"/>
        </w:rPr>
        <w:t xml:space="preserve">readAllBytes</w:t>
      </w:r>
      <w:r>
        <w:rPr>
          <w:rFonts w:ascii="Calibri" w:cs="Calibri" w:eastAsia="Calibri" w:hAnsi="Calibri"/>
          <w:b w:val="false"/>
          <w:b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11.  Build and verification</w:t>
      </w:r>
    </w:p>
    <w:p>
      <w:pPr>
        <w:spacing w:after="140" w:line="276"/>
      </w:pPr>
      <w:r>
        <w:rPr>
          <w:rFonts w:ascii="Calibri" w:cs="Calibri" w:eastAsia="Calibri" w:hAnsi="Calibri"/>
          <w:b w:val="false"/>
          <w:bCs w:val="false"/>
          <w:color w:val="1B2027"/>
          <w:sz w:val="21"/>
          <w:szCs w:val="21"/>
        </w:rPr>
        <w:t xml:space="preserve">Angular 22 with TypeScript strict </w:t>
      </w:r>
      <w:r>
        <w:rPr>
          <w:rFonts w:ascii="Calibri" w:cs="Calibri" w:eastAsia="Calibri" w:hAnsi="Calibri"/>
          <w:b/>
          <w:bCs/>
          <w:color w:val="1B2027"/>
          <w:sz w:val="21"/>
          <w:szCs w:val="21"/>
        </w:rPr>
        <w:t xml:space="preserve">and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noUncheckedIndexedAccess</w:t>
      </w:r>
      <w:r>
        <w:rPr>
          <w:rFonts w:ascii="Calibri" w:cs="Calibri" w:eastAsia="Calibri" w:hAnsi="Calibri"/>
          <w:b w:val="false"/>
          <w:b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color w:val="1B2027"/>
          <w:sz w:val="19"/>
          <w:szCs w:val="19"/>
        </w:rPr>
        <w:t xml:space="preserve">ng test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ng build</w:t>
      </w:r>
      <w:r>
        <w:rPr>
          <w:rFonts w:ascii="Calibri" w:cs="Calibri" w:eastAsia="Calibri" w:hAnsi="Calibri"/>
          <w:b w:val="false"/>
          <w:bCs w:val="false"/>
          <w:color w:val="1B2027"/>
          <w:sz w:val="21"/>
          <w:szCs w:val="21"/>
        </w:rPr>
        <w:t xml:space="preserve"> require Node ≥ 22.22.3, and the development container runs 22.22.2. Specs that need Angular TestBed cannot run there at all; </w:t>
      </w:r>
      <w:r>
        <w:rPr>
          <w:rFonts w:ascii="Consolas" w:cs="Consolas" w:eastAsia="Consolas" w:hAnsi="Consolas"/>
          <w:b w:val="false"/>
          <w:bCs w:val="false"/>
          <w:color w:val="1B2027"/>
          <w:sz w:val="19"/>
          <w:szCs w:val="19"/>
        </w:rPr>
        <w:t xml:space="preserve">tsc --noEmit</w:t>
      </w:r>
      <w:r>
        <w:rPr>
          <w:rFonts w:ascii="Calibri" w:cs="Calibri" w:eastAsia="Calibri" w:hAnsi="Calibri"/>
          <w:b w:val="false"/>
          <w:bCs w:val="false"/>
          <w:color w:val="1B2027"/>
          <w:sz w:val="21"/>
          <w:szCs w:val="21"/>
        </w:rPr>
        <w:t xml:space="preserve"> and Vitest-only specs can. Any claim of “tests pass” in this repository should say which of those two it means.</w:t>
      </w:r>
    </w:p>
    <w:p>
      <w:pPr>
        <w:pStyle w:val="Heading1"/>
        <w:spacing w:after="160" w:before="360"/>
      </w:pPr>
      <w:r>
        <w:rPr>
          <w:rFonts w:ascii="Calibri" w:cs="Calibri" w:eastAsia="Calibri" w:hAnsi="Calibri"/>
          <w:b/>
          <w:bCs/>
          <w:color w:val="1B2027"/>
          <w:sz w:val="30"/>
          <w:szCs w:val="30"/>
        </w:rPr>
        <w:t xml:space="preserve">12.  What this architecture does not yet have</w:t>
      </w:r>
    </w:p>
    <w:p>
      <w:pPr>
        <w:spacing w:after="200" w:line="276"/>
      </w:pPr>
      <w:r>
        <w:rPr>
          <w:rFonts w:ascii="Calibri" w:cs="Calibri" w:eastAsia="Calibri" w:hAnsi="Calibri"/>
          <w:b w:val="false"/>
          <w:bCs w:val="false"/>
          <w:color w:val="5F6875"/>
          <w:sz w:val="21"/>
          <w:szCs w:val="21"/>
        </w:rPr>
        <w:t xml:space="preserve">Stated plainly, because the gap between “the viewer works” and “a CDE can integrate it” is larger than a demo suggests.</w:t>
      </w:r>
    </w:p>
    <w:p>
      <w:pPr>
        <w:spacing w:after="140" w:line="276"/>
      </w:pPr>
      <w:r>
        <w:rPr>
          <w:rFonts w:ascii="Calibri" w:cs="Calibri" w:eastAsia="Calibri" w:hAnsi="Calibri"/>
          <w:b/>
          <w:bCs/>
          <w:color w:val="1B2027"/>
          <w:sz w:val="21"/>
          <w:szCs w:val="21"/>
        </w:rPr>
        <w:t xml:space="preserve">No embed surface.</w:t>
      </w:r>
      <w:r>
        <w:rPr>
          <w:rFonts w:ascii="Calibri" w:cs="Calibri" w:eastAsia="Calibri" w:hAnsi="Calibri"/>
          <w:b w:val="false"/>
          <w:bCs w:val="false"/>
          <w:color w:val="1B2027"/>
          <w:sz w:val="21"/>
          <w:szCs w:val="21"/>
        </w:rPr>
        <w:t xml:space="preserve"> No </w:t>
      </w:r>
      <w:r>
        <w:rPr>
          <w:rFonts w:ascii="Consolas" w:cs="Consolas" w:eastAsia="Consolas" w:hAnsi="Consolas"/>
          <w:b w:val="false"/>
          <w:bCs w:val="false"/>
          <w:color w:val="1B2027"/>
          <w:sz w:val="19"/>
          <w:szCs w:val="19"/>
        </w:rPr>
        <w:t xml:space="preserve">postMessage</w:t>
      </w:r>
      <w:r>
        <w:rPr>
          <w:rFonts w:ascii="Calibri" w:cs="Calibri" w:eastAsia="Calibri" w:hAnsi="Calibri"/>
          <w:b w:val="false"/>
          <w:bCs w:val="false"/>
          <w:color w:val="1B2027"/>
          <w:sz w:val="21"/>
          <w:szCs w:val="21"/>
        </w:rPr>
        <w:t xml:space="preserve">, no custom elements, no </w:t>
      </w:r>
      <w:r>
        <w:rPr>
          <w:rFonts w:ascii="Consolas" w:cs="Consolas" w:eastAsia="Consolas" w:hAnsi="Consolas"/>
          <w:b w:val="false"/>
          <w:bCs w:val="false"/>
          <w:color w:val="1B2027"/>
          <w:sz w:val="19"/>
          <w:szCs w:val="19"/>
        </w:rPr>
        <w:t xml:space="preserve">@angular/elements</w:t>
      </w:r>
      <w:r>
        <w:rPr>
          <w:rFonts w:ascii="Calibri" w:cs="Calibri" w:eastAsia="Calibri" w:hAnsi="Calibri"/>
          <w:b w:val="false"/>
          <w:bCs w:val="false"/>
          <w:color w:val="1B2027"/>
          <w:sz w:val="21"/>
          <w:szCs w:val="21"/>
        </w:rPr>
        <w:t xml:space="preserve">. The CSP sets </w:t>
      </w:r>
      <w:r>
        <w:rPr>
          <w:rFonts w:ascii="Consolas" w:cs="Consolas" w:eastAsia="Consolas" w:hAnsi="Consolas"/>
          <w:b w:val="false"/>
          <w:bCs w:val="false"/>
          <w:color w:val="1B2027"/>
          <w:sz w:val="19"/>
          <w:szCs w:val="19"/>
        </w:rPr>
        <w:t xml:space="preserve">frame-ancestors 'none'</w:t>
      </w:r>
      <w:r>
        <w:rPr>
          <w:rFonts w:ascii="Calibri" w:cs="Calibri" w:eastAsia="Calibri" w:hAnsi="Calibri"/>
          <w:b w:val="false"/>
          <w:bCs w:val="false"/>
          <w:color w:val="1B2027"/>
          <w:sz w:val="21"/>
          <w:szCs w:val="21"/>
        </w:rPr>
        <w:t xml:space="preserve"> and the CORS source registers no origin unless a deployment names one, so cross-origin framing and cross-origin XHR are both closed. The only honest answer today is “serve our build from your own origin”, which is a deployment, not an integration.</w:t>
      </w:r>
    </w:p>
    <w:p>
      <w:pPr>
        <w:spacing w:after="140" w:line="276"/>
      </w:pPr>
      <w:r>
        <w:rPr>
          <w:rFonts w:ascii="Calibri" w:cs="Calibri" w:eastAsia="Calibri" w:hAnsi="Calibri"/>
          <w:b/>
          <w:bCs/>
          <w:color w:val="1B2027"/>
          <w:sz w:val="21"/>
          <w:szCs w:val="21"/>
        </w:rPr>
        <w:t xml:space="preserve">No identity contract.</w:t>
      </w:r>
      <w:r>
        <w:rPr>
          <w:rFonts w:ascii="Calibri" w:cs="Calibri" w:eastAsia="Calibri" w:hAnsi="Calibri"/>
          <w:b w:val="false"/>
          <w:bCs w:val="false"/>
          <w:color w:val="1B2027"/>
          <w:sz w:val="21"/>
          <w:szCs w:val="21"/>
        </w:rPr>
        <w:t xml:space="preserve"> Authentication is our own JWT from </w:t>
      </w:r>
      <w:r>
        <w:rPr>
          <w:rFonts w:ascii="Consolas" w:cs="Consolas" w:eastAsia="Consolas" w:hAnsi="Consolas"/>
          <w:b w:val="false"/>
          <w:bCs w:val="false"/>
          <w:color w:val="1B2027"/>
          <w:sz w:val="19"/>
          <w:szCs w:val="19"/>
        </w:rPr>
        <w:t xml:space="preserve">/api/auth/login</w:t>
      </w:r>
      <w:r>
        <w:rPr>
          <w:rFonts w:ascii="Calibri" w:cs="Calibri" w:eastAsia="Calibri" w:hAnsi="Calibri"/>
          <w:b w:val="false"/>
          <w:bCs w:val="false"/>
          <w:color w:val="1B2027"/>
          <w:sz w:val="21"/>
          <w:szCs w:val="21"/>
        </w:rPr>
        <w:t xml:space="preserve"> against our own user table — no OIDC, no SAML, no API key, no token exchange.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b/>
                <w:bCs/>
              </w:rPr>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signed assertion</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Annotation.authorRef</w:t>
            </w:r>
          </w:p>
          <w:p>
            <w:pPr>
              <w:spacing w:after="40" w:line="240"/>
              <w:jc w:val="center"/>
            </w:pPr>
            <w:r>
              <w:rPr>
                <w:rFonts w:ascii="Calibri" w:cs="Calibri" w:eastAsia="Calibri" w:hAnsi="Calibri"/>
                <w:b w:val="false"/>
                <w:bCs w:val="false"/>
                <w:color w:val="1B2027"/>
                <w:sz w:val="19"/>
                <w:szCs w:val="19"/>
              </w:rPr>
              <w:t xml:space="preserve">opaque value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b/>
                <w:bCs/>
              </w:rPr>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Issuer + subject</w:t>
            </w:r>
          </w:p>
          <w:p>
            <w:pPr>
              <w:spacing w:after="40" w:line="240"/>
              <w:jc w:val="center"/>
            </w:pPr>
            <w:r>
              <w:rPr>
                <w:rFonts w:ascii="Calibri" w:cs="Calibri" w:eastAsia="Calibri" w:hAnsi="Calibri"/>
                <w:b w:val="false"/>
                <w:bCs w:val="false"/>
                <w:color w:val="0F7A83"/>
                <w:sz w:val="19"/>
                <w:szCs w:val="19"/>
              </w:rPr>
              <w:t xml:space="preserve">no row required</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Integration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for who its people are.</w:t>
            </w:r>
          </w:p>
        </w:tc>
      </w:tr>
    </w:tbl>
    <w:p>
      <w:pPr>
        <w:spacing w:after="240" w:before="80"/>
      </w:pPr>
      <w:r>
        <w:rPr>
          <w:rFonts w:ascii="Calibri" w:cs="Calibri" w:eastAsia="Calibri" w:hAnsi="Calibri"/>
          <w:b w:val="false"/>
          <w:bCs w:val="false"/>
          <w:color w:val="5F6875"/>
          <w:sz w:val="17"/>
          <w:szCs w:val="17"/>
        </w:rPr>
        <w:t xml:space="preserve">Figure 3 — The difference is one field. Annotation.author is a foreign key into our own user table, so a markup cannot exist without a local user row.</w:t>
      </w:r>
    </w:p>
    <w:p>
      <w:pPr>
        <w:spacing w:after="140" w:line="276"/>
      </w:pPr>
      <w:r>
        <w:rPr>
          <w:rFonts w:ascii="Calibri" w:cs="Calibri" w:eastAsia="Calibri" w:hAnsi="Calibri"/>
          <w:b/>
          <w:bCs/>
          <w:color w:val="1B2027"/>
          <w:sz w:val="21"/>
          <w:szCs w:val="21"/>
        </w:rPr>
        <w:t xml:space="preserve">No external document identity.</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Document</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externalId</w:t>
      </w:r>
      <w:r>
        <w:rPr>
          <w:rFonts w:ascii="Calibri" w:cs="Calibri" w:eastAsia="Calibri" w:hAnsi="Calibri"/>
          <w:b w:val="false"/>
          <w:bCs w:val="false"/>
          <w:color w:val="1B2027"/>
          <w:sz w:val="21"/>
          <w:szCs w:val="21"/>
        </w:rPr>
        <w:t xml:space="preserve">, so a host must store our numeric id against its own record.</w:t>
      </w:r>
    </w:p>
    <w:p>
      <w:pPr>
        <w:spacing w:after="140" w:line="276"/>
      </w:pPr>
      <w:r>
        <w:rPr>
          <w:rFonts w:ascii="Calibri" w:cs="Calibri" w:eastAsia="Calibri" w:hAnsi="Calibri"/>
          <w:b/>
          <w:bCs/>
          <w:color w:val="1B2027"/>
          <w:sz w:val="21"/>
          <w:szCs w:val="21"/>
        </w:rPr>
        <w:t xml:space="preserve">36 endpoints across 13 services</w:t>
      </w:r>
      <w:r>
        <w:rPr>
          <w:rFonts w:ascii="Calibri" w:cs="Calibri" w:eastAsia="Calibri" w:hAnsi="Calibri"/>
          <w:b w:val="false"/>
          <w:bCs w:val="false"/>
          <w:color w:val="1B2027"/>
          <w:sz w:val="21"/>
          <w:szCs w:val="21"/>
        </w:rPr>
        <w:t xml:space="preserve">, re-derived by following the imports from every viewer component. (</w:t>
      </w:r>
      <w:r>
        <w:rPr>
          <w:rFonts w:ascii="Consolas" w:cs="Consolas" w:eastAsia="Consolas" w:hAnsi="Consolas"/>
          <w:b w:val="false"/>
          <w:bCs w:val="false"/>
          <w:color w:val="1B2027"/>
          <w:sz w:val="19"/>
          <w:szCs w:val="19"/>
        </w:rPr>
        <w:t xml:space="preserve">viewer-extraction-inventory.md</w:t>
      </w:r>
      <w:r>
        <w:rPr>
          <w:rFonts w:ascii="Calibri" w:cs="Calibri" w:eastAsia="Calibri" w:hAnsi="Calibri"/>
          <w:b w:val="false"/>
          <w:bCs w:val="false"/>
          <w:color w:val="1B2027"/>
          <w:sz w:val="21"/>
          <w:szCs w:val="21"/>
        </w:rPr>
        <w:t xml:space="preserve"> §2 says 26 across 9; that number is stale and the file is the older count, not a different scope.) Five of those are content, and are what the ingress replaces. Seventeen are document operations awaiting ADR 12 step 4. The rest are identity and collaboration.</w:t>
      </w:r>
    </w:p>
    <w:p>
      <w:pPr>
        <w:spacing w:after="140" w:line="276"/>
      </w:pPr>
      <w:r>
        <w:rPr>
          <w:rFonts w:ascii="Calibri" w:cs="Calibri" w:eastAsia="Calibri" w:hAnsi="Calibri"/>
          <w:b/>
          <w:bCs/>
          <w:color w:val="1B2027"/>
          <w:sz w:val="21"/>
          <w:szCs w:val="21"/>
        </w:rPr>
        <w:t xml:space="preserve">Not a publishable package.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viewer-core</w:t>
      </w:r>
      <w:r>
        <w:rPr>
          <w:rFonts w:ascii="Calibri" w:cs="Calibri" w:eastAsia="Calibri" w:hAnsi="Calibri"/>
          <w:b w:val="false"/>
          <w:bCs w:val="false"/>
          <w:color w:val="1B2027"/>
          <w:sz w:val="21"/>
          <w:szCs w:val="21"/>
        </w:rPr>
        <w:t xml:space="preserve"> has no </w:t>
      </w:r>
      <w:r>
        <w:rPr>
          <w:rFonts w:ascii="Consolas" w:cs="Consolas" w:eastAsia="Consolas" w:hAnsi="Consolas"/>
          <w:b w:val="false"/>
          <w:bCs w:val="false"/>
          <w:color w:val="1B2027"/>
          <w:sz w:val="19"/>
          <w:szCs w:val="19"/>
        </w:rPr>
        <w:t xml:space="preserve">package.json</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ng-package.json</w:t>
      </w:r>
      <w:r>
        <w:rPr>
          <w:rFonts w:ascii="Calibri" w:cs="Calibri" w:eastAsia="Calibri" w:hAnsi="Calibri"/>
          <w:b w:val="false"/>
          <w:bCs w:val="false"/>
          <w:color w:val="1B2027"/>
          <w:sz w:val="21"/>
          <w:szCs w:val="21"/>
        </w:rPr>
        <w:t xml:space="preserve"> — it is a directory, not a library.</w:t>
      </w:r>
    </w:p>
    <w:p>
      <w:pPr>
        <w:spacing w:after="140" w:line="276"/>
      </w:pPr>
      <w:r>
        <w:rPr>
          <w:rFonts w:ascii="Calibri" w:cs="Calibri" w:eastAsia="Calibri" w:hAnsi="Calibri"/>
          <w:b/>
          <w:bCs/>
          <w:color w:val="1B2027"/>
          <w:sz w:val="21"/>
          <w:szCs w:val="21"/>
        </w:rPr>
        <w:t xml:space="preserve">No attribution file.</w:t>
      </w:r>
      <w:r>
        <w:rPr>
          <w:rFonts w:ascii="Calibri" w:cs="Calibri" w:eastAsia="Calibri" w:hAnsi="Calibri"/>
          <w:b w:val="false"/>
          <w:bCs w:val="false"/>
          <w:color w:val="1B2027"/>
          <w:sz w:val="21"/>
          <w:szCs w:val="21"/>
        </w:rPr>
        <w:t xml:space="preserve"> No </w:t>
      </w:r>
      <w:r>
        <w:rPr>
          <w:rFonts w:ascii="Consolas" w:cs="Consolas" w:eastAsia="Consolas" w:hAnsi="Consolas"/>
          <w:b w:val="false"/>
          <w:bCs w:val="false"/>
          <w:color w:val="1B2027"/>
          <w:sz w:val="19"/>
          <w:szCs w:val="19"/>
        </w:rPr>
        <w:t xml:space="preserve">LICENSE</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NOTICE</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THIRD-PARTY-NOTICES.txt</w:t>
      </w:r>
      <w:r>
        <w:rPr>
          <w:rFonts w:ascii="Calibri" w:cs="Calibri" w:eastAsia="Calibri" w:hAnsi="Calibri"/>
          <w:b w:val="false"/>
          <w:bCs w:val="false"/>
          <w:color w:val="1B2027"/>
          <w:sz w:val="21"/>
          <w:szCs w:val="21"/>
        </w:rPr>
        <w:t xml:space="preserve"> at this repository’s root. §17.2 makes shipping that file a licence obligation, so first distribution without it is a breach rather than an untidiness.</w:t>
      </w:r>
    </w:p>
    <w:p>
      <w:pPr>
        <w:spacing w:after="140" w:line="276"/>
      </w:pPr>
      <w:r>
        <w:rPr>
          <w:rFonts w:ascii="Calibri" w:cs="Calibri" w:eastAsia="Calibri" w:hAnsi="Calibri"/>
          <w:b/>
          <w:bCs/>
          <w:color w:val="1B2027"/>
          <w:sz w:val="21"/>
          <w:szCs w:val="21"/>
        </w:rPr>
        <w:t xml:space="preserve">No DWG position.</w:t>
      </w:r>
      <w:r>
        <w:rPr>
          <w:rFonts w:ascii="Calibri" w:cs="Calibri" w:eastAsia="Calibri" w:hAnsi="Calibri"/>
          <w:b w:val="false"/>
          <w:bCs w:val="false"/>
          <w:color w:val="1B2027"/>
          <w:sz w:val="21"/>
          <w:szCs w:val="21"/>
        </w:rPr>
        <w:t xml:space="preserve"> ADR 13, above.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Of these, the embed contract and the identity contract are </w:t>
      </w:r>
      <w:r>
        <w:rPr>
          <w:rFonts w:ascii="Calibri" w:cs="Calibri" w:eastAsia="Calibri" w:hAnsi="Calibri"/>
          <w:b/>
          <w:bCs/>
          <w:color w:val="1B2027"/>
          <w:sz w:val="21"/>
          <w:szCs w:val="21"/>
        </w:rPr>
        <w:t xml:space="preserve">decisions nobody has taken</w:t>
      </w:r>
      <w:r>
        <w:rPr>
          <w:rFonts w:ascii="Calibri" w:cs="Calibri" w:eastAsia="Calibri" w:hAnsi="Calibri"/>
          <w:b w:val="false"/>
          <w:bCs w:val="false"/>
          <w:color w:val="1B2027"/>
          <w:sz w:val="21"/>
          <w:szCs w:val="21"/>
        </w:rPr>
        <w:t xml:space="preserve">, not work nobody has done — and everything else queues behind them.</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2026-09-08T00:12:21.340Z</dcterms:created>
  <dcterms:modified xsi:type="dcterms:W3CDTF">2026-09-08T00:12:21.340Z</dcterms:modified>
</cp:coreProperties>
</file>

<file path=docProps/custom.xml><?xml version="1.0" encoding="utf-8"?>
<Properties xmlns="http://schemas.openxmlformats.org/officeDocument/2006/custom-properties" xmlns:vt="http://schemas.openxmlformats.org/officeDocument/2006/docPropsVTypes"/>
</file>