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Read section 1 before planning anything.</w:t>
      </w:r>
      <w:r>
        <w:rPr>
          <w:rFonts w:ascii="Calibri" w:cs="Calibri" w:eastAsia="Calibri" w:hAnsi="Calibri"/>
          <w:b w:val="false"/>
          <w:bCs w:val="false"/>
          <w:color w:val="1B2027"/>
          <w:sz w:val="21"/>
          <w:szCs w:val="21"/>
        </w:rPr>
        <w:t xml:space="preserve"> One of the four exchanges an integration needs is built. The other three are not, and this guide says so rather than describing an interface you would then fail to find.</w:t>
      </w:r>
    </w:p>
    <w:p>
      <w:pPr>
        <w:spacing w:after="140" w:line="276"/>
      </w:pPr>
      <w:r>
        <w:rPr>
          <w:rFonts w:ascii="Calibri" w:cs="Calibri" w:eastAsia="Calibri" w:hAnsi="Calibri"/>
          <w:b w:val="false"/>
          <w:bCs w:val="false"/>
          <w:color w:val="1B2027"/>
          <w:sz w:val="21"/>
          <w:szCs w:val="21"/>
        </w:rPr>
        <w:t xml:space="preserve">Companion document: </w:t>
      </w:r>
      <w:r>
        <w:rPr>
          <w:rFonts w:ascii="Calibri" w:cs="Calibri" w:eastAsia="Calibri" w:hAnsi="Calibri"/>
          <w:b/>
          <w:bCs/>
          <w:color w:val="1B2027"/>
          <w:sz w:val="21"/>
          <w:szCs w:val="21"/>
        </w:rPr>
        <w:t xml:space="preserve">Technical Architecture</w:t>
      </w:r>
      <w:r>
        <w:rPr>
          <w:rFonts w:ascii="Calibri" w:cs="Calibri" w:eastAsia="Calibri" w:hAnsi="Calibri"/>
          <w:b w:val="false"/>
          <w:b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document store</w:t>
            </w:r>
          </w:p>
          <w:p>
            <w:pPr>
              <w:spacing w:after="40" w:line="240"/>
            </w:pPr>
            <w:r>
              <w:rPr>
                <w:rFonts w:ascii="Calibri" w:cs="Calibri" w:eastAsia="Calibri" w:hAnsi="Calibri"/>
                <w:b w:val="false"/>
                <w:b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1.  mount the viewer</w:t>
            </w:r>
          </w:p>
          <w:p>
            <w:pPr>
              <w:spacing w:after="40" w:line="240"/>
              <w:jc w:val="center"/>
            </w:pPr>
            <w:r>
              <w:rPr>
                <w:rFonts w:ascii="Calibri" w:cs="Calibri" w:eastAsia="Calibri" w:hAnsi="Calibri"/>
                <w:b w:val="false"/>
                <w:bCs w:val="false"/>
                <w:color w:val="C4342A"/>
                <w:sz w:val="19"/>
                <w:szCs w:val="19"/>
              </w:rPr>
              <w:t xml:space="preserve">✗  NOT BUILT — no embed surface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viewer-core</w:t>
            </w:r>
          </w:p>
          <w:p>
            <w:pPr>
              <w:spacing w:after="40" w:line="240"/>
            </w:pPr>
            <w:r>
              <w:rPr>
                <w:rFonts w:ascii="Calibri" w:cs="Calibri" w:eastAsia="Calibri" w:hAnsi="Calibri"/>
                <w:b w:val="false"/>
                <w:bCs w:val="false"/>
                <w:color w:val="1B2027"/>
                <w:sz w:val="19"/>
                <w:szCs w:val="19"/>
              </w:rPr>
              <w:t xml:space="preserve">6 components · 6 services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identity provider</w:t>
            </w:r>
          </w:p>
          <w:p>
            <w:pPr>
              <w:spacing w:after="40" w:line="240"/>
            </w:pPr>
            <w:r>
              <w:rPr>
                <w:rFonts w:ascii="Calibri" w:cs="Calibri" w:eastAsia="Calibri" w:hAnsi="Calibri"/>
                <w:b w:val="false"/>
                <w:b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2.  identify the user</w:t>
            </w:r>
          </w:p>
          <w:p>
            <w:pPr>
              <w:spacing w:after="40" w:line="240"/>
              <w:jc w:val="center"/>
            </w:pPr>
            <w:r>
              <w:rPr>
                <w:rFonts w:ascii="Calibri" w:cs="Calibri" w:eastAsia="Calibri" w:hAnsi="Calibri"/>
                <w:b w:val="false"/>
                <w:bCs w:val="false"/>
                <w:color w:val="C4342A"/>
                <w:sz w:val="19"/>
                <w:szCs w:val="19"/>
              </w:rPr>
              <w:t xml:space="preserve">✗  NOT BUILT — no token exchange</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Conversion pipeline</w:t>
            </w:r>
          </w:p>
          <w:p>
            <w:pPr>
              <w:spacing w:after="40" w:line="240"/>
            </w:pPr>
            <w:r>
              <w:rPr>
                <w:rFonts w:ascii="Calibri" w:cs="Calibri" w:eastAsia="Calibri" w:hAnsi="Calibri"/>
                <w:b w:val="false"/>
                <w:b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Their web interface</w:t>
            </w:r>
          </w:p>
          <w:p>
            <w:pPr>
              <w:spacing w:after="40" w:line="240"/>
            </w:pPr>
            <w:r>
              <w:rPr>
                <w:rFonts w:ascii="Calibri" w:cs="Calibri" w:eastAsia="Calibri" w:hAnsi="Calibri"/>
                <w:b w:val="false"/>
                <w:b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  hand over the document  →</w:t>
            </w:r>
          </w:p>
          <w:p>
            <w:pPr>
              <w:spacing w:after="40" w:line="240"/>
              <w:jc w:val="center"/>
            </w:pPr>
            <w:r>
              <w:rPr>
                <w:rFonts w:ascii="Calibri" w:cs="Calibri" w:eastAsia="Calibri" w:hAnsi="Calibri"/>
                <w:b/>
                <w:bCs/>
                <w:color w:val="0F7A83"/>
                <w:sz w:val="19"/>
                <w:szCs w:val="19"/>
              </w:rPr>
              <w:t xml:space="preserve">✓  BUILT</w:t>
            </w:r>
          </w:p>
          <w:p>
            <w:pPr>
              <w:spacing w:after="40" w:line="240"/>
              <w:jc w:val="center"/>
            </w:pPr>
            <w:r>
              <w:rPr>
                <w:rFonts w:ascii="Calibri" w:cs="Calibri" w:eastAsia="Calibri" w:hAnsi="Calibri"/>
                <w:b/>
                <w:bCs/>
                <w:color w:val="0F7A83"/>
                <w:sz w:val="19"/>
                <w:szCs w:val="19"/>
              </w:rPr>
              <w:t xml:space="preserve">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Markup store</w:t>
            </w:r>
          </w:p>
          <w:p>
            <w:pPr>
              <w:spacing w:after="40" w:line="240"/>
            </w:pPr>
            <w:r>
              <w:rPr>
                <w:rFonts w:ascii="Calibri" w:cs="Calibri" w:eastAsia="Calibri" w:hAnsi="Calibri"/>
                <w:b w:val="false"/>
                <w:bCs w:val="false"/>
                <w:color w:val="1B2027"/>
                <w:sz w:val="19"/>
                <w:szCs w:val="19"/>
              </w:rPr>
              <w:t xml:space="preserve">tied to our user table</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  4.  return the markups</w:t>
            </w:r>
          </w:p>
          <w:p>
            <w:pPr>
              <w:spacing w:after="40" w:line="240"/>
              <w:jc w:val="center"/>
            </w:pPr>
            <w:r>
              <w:rPr>
                <w:rFonts w:ascii="Calibri" w:cs="Calibri" w:eastAsia="Calibri" w:hAnsi="Calibri"/>
                <w:b w:val="false"/>
                <w:bCs w:val="false"/>
                <w:color w:val="C4342A"/>
                <w:sz w:val="19"/>
                <w:szCs w:val="19"/>
              </w:rPr>
              <w:t xml:space="preserve">✗  NOT BUILT — 17 operations undecided</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color w:val="5F6875"/>
          <w:sz w:val="17"/>
          <w:szCs w:val="17"/>
        </w:rPr>
        <w:t xml:space="preserve">Figure 1 — Three of the four exchanges do not exist. The viewer can already take a document from anyone’s storage; it cannot yet be mounted, be told who is looking, or give anything back.</w:t>
      </w:r>
    </w:p>
    <w:p>
      <w:pPr>
        <w:spacing w:after="140" w:line="276"/>
      </w:pPr>
      <w:r>
        <w:rPr>
          <w:rFonts w:ascii="Calibri" w:cs="Calibri" w:eastAsia="Calibri" w:hAnsi="Calibri"/>
          <w:b w:val="false"/>
          <w:bCs w:val="false"/>
          <w:color w:val="1B2027"/>
          <w:sz w:val="21"/>
          <w:szCs w:val="21"/>
        </w:rPr>
        <w:t xml:space="preserve">So: you can convert and render your customers’ documents through our API today, inside your own interface, using your own rendering. You cannot yet embed our viewer, and if you do get it on screen it has no way to know who your user is.</w:t>
      </w:r>
    </w:p>
    <w:p>
      <w:pPr>
        <w:spacing w:after="140" w:line="276"/>
      </w:pPr>
      <w:r>
        <w:rPr>
          <w:rFonts w:ascii="Calibri" w:cs="Calibri" w:eastAsia="Calibri" w:hAnsi="Calibri"/>
          <w:b w:val="false"/>
          <w:bCs w:val="false"/>
          <w:color w:val="1B2027"/>
          <w:sz w:val="21"/>
          <w:szCs w:val="21"/>
        </w:rPr>
        <w:t xml:space="preserve">If that is enough — and for a “preview any file format” feature it often is — section 3 is a complete, working integration. If you need markup round-tripping, section 6 is what you are waiting for.</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color w:val="1B2027"/>
          <w:sz w:val="21"/>
          <w:szCs w:val="21"/>
        </w:rPr>
        <w:t xml:space="preserve">We never hold your credentials</w:t>
      </w:r>
      <w:r>
        <w:rPr>
          <w:rFonts w:ascii="Calibri" w:cs="Calibri" w:eastAsia="Calibri" w:hAnsi="Calibri"/>
          <w:b w:val="false"/>
          <w:b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color w:val="5F6875"/>
          <w:sz w:val="17"/>
          <w:szCs w:val="17"/>
        </w:rPr>
        <w:t xml:space="preserve">Figure 2 — The one exchange that is built, end to end. Stages 1, 7 and 8 are yours; 2 to 6 are ours. Always send an Idempotency-Key so a timed-out retry returns the same job rather than converting twice.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color w:val="1B2027"/>
          <w:sz w:val="21"/>
          <w:szCs w:val="21"/>
        </w:rPr>
        <w:t xml:space="preserve">Do </w:t>
      </w:r>
      <w:r>
        <w:rPr>
          <w:rFonts w:ascii="Calibri" w:cs="Calibri" w:eastAsia="Calibri" w:hAnsi="Calibri"/>
          <w:b/>
          <w:bCs/>
          <w:color w:val="1B2027"/>
          <w:sz w:val="21"/>
          <w:szCs w:val="21"/>
        </w:rPr>
        <w:t xml:space="preserve">not</w:t>
      </w:r>
      <w:r>
        <w:rPr>
          <w:rFonts w:ascii="Calibri" w:cs="Calibri" w:eastAsia="Calibri" w:hAnsi="Calibri"/>
          <w:b w:val="false"/>
          <w:b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color w:val="1B2027"/>
          <w:sz w:val="21"/>
          <w:szCs w:val="21"/>
        </w:rPr>
        <w:t xml:space="preserve">Both fields are required. </w:t>
      </w:r>
      <w:r>
        <w:rPr>
          <w:rFonts w:ascii="Consolas" w:cs="Consolas" w:eastAsia="Consolas" w:hAnsi="Consolas"/>
          <w:b w:val="false"/>
          <w:bCs w:val="false"/>
          <w:color w:val="1B2027"/>
          <w:sz w:val="19"/>
          <w:szCs w:val="19"/>
        </w:rPr>
        <w:t xml:space="preserve">targetFormat</w:t>
      </w:r>
      <w:r>
        <w:rPr>
          <w:rFonts w:ascii="Calibri" w:cs="Calibri" w:eastAsia="Calibri" w:hAnsi="Calibri"/>
          <w:b w:val="false"/>
          <w:bCs w:val="false"/>
          <w:color w:val="1B2027"/>
          <w:sz w:val="21"/>
          <w:szCs w:val="21"/>
        </w:rPr>
        <w:t xml:space="preserve"> accepts </w:t>
      </w:r>
      <w:r>
        <w:rPr>
          <w:rFonts w:ascii="Consolas" w:cs="Consolas" w:eastAsia="Consolas" w:hAnsi="Consolas"/>
          <w:b w:val="false"/>
          <w:bCs w:val="false"/>
          <w:color w:val="1B2027"/>
          <w:sz w:val="19"/>
          <w:szCs w:val="19"/>
        </w:rPr>
        <w:t xml:space="preserve">PDF</w:t>
      </w:r>
      <w:r>
        <w:rPr>
          <w:rFonts w:ascii="Calibri" w:cs="Calibri" w:eastAsia="Calibri" w:hAnsi="Calibri"/>
          <w:b w:val="false"/>
          <w:b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color w:val="1B2027"/>
          <w:sz w:val="19"/>
          <w:szCs w:val="19"/>
        </w:rPr>
        <w:t xml:space="preserve">jobId</w:t>
      </w:r>
      <w:r>
        <w:rPr>
          <w:rFonts w:ascii="Calibri" w:cs="Calibri" w:eastAsia="Calibri" w:hAnsi="Calibri"/>
          <w:b w:val="false"/>
          <w:b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color w:val="1B2027"/>
          <w:sz w:val="21"/>
          <w:szCs w:val="21"/>
        </w:rPr>
        <w:t xml:space="preserve">Requires the </w:t>
      </w:r>
      <w:r>
        <w:rPr>
          <w:rFonts w:ascii="Consolas" w:cs="Consolas" w:eastAsia="Consolas" w:hAnsi="Consolas"/>
          <w:b w:val="false"/>
          <w:bCs w:val="false"/>
          <w:color w:val="1B2027"/>
          <w:sz w:val="19"/>
          <w:szCs w:val="19"/>
        </w:rPr>
        <w:t xml:space="preserve">document:convert</w:t>
      </w:r>
      <w:r>
        <w:rPr>
          <w:rFonts w:ascii="Calibri" w:cs="Calibri" w:eastAsia="Calibri" w:hAnsi="Calibri"/>
          <w:b w:val="false"/>
          <w:b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Always send </w:t>
      </w:r>
      <w:r>
        <w:rPr>
          <w:rFonts w:ascii="Consolas" w:cs="Consolas" w:eastAsia="Consolas" w:hAnsi="Consolas"/>
          <w:b/>
          <w:bCs/>
          <w:color w:val="1B2027"/>
          <w:sz w:val="19"/>
          <w:szCs w:val="19"/>
        </w:rPr>
        <w:t xml:space="preserve">Idempotency-Key</w:t>
      </w:r>
      <w:r>
        <w:rPr>
          <w:rFonts w:ascii="Calibri" w:cs="Calibri" w:eastAsia="Calibri" w:hAnsi="Calibri"/>
          <w:b/>
          <w:bCs/>
          <w:color w:val="1B2027"/>
          <w:sz w:val="21"/>
          <w:szCs w:val="21"/>
        </w:rPr>
        <w:t xml:space="preserve">.</w:t>
      </w:r>
      <w:r>
        <w:rPr>
          <w:rFonts w:ascii="Calibri" w:cs="Calibri" w:eastAsia="Calibri" w:hAnsi="Calibri"/>
          <w:b w:val="false"/>
          <w:b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color w:val="1B2027"/>
          <w:sz w:val="21"/>
          <w:szCs w:val="21"/>
        </w:rPr>
        <w:t xml:space="preserve">Note what is not echoed back: the URL.</w:t>
      </w:r>
      <w:r>
        <w:rPr>
          <w:rFonts w:ascii="Calibri" w:cs="Calibri" w:eastAsia="Calibri" w:hAnsi="Calibri"/>
          <w:b w:val="false"/>
          <w:b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color w:val="1B2027"/>
          <w:sz w:val="19"/>
          <w:szCs w:val="19"/>
        </w:rPr>
        <w:t xml:space="preserve">PENDING</w:t>
      </w:r>
      <w:r>
        <w:rPr>
          <w:rFonts w:ascii="Calibri" w:cs="Calibri" w:eastAsia="Calibri" w:hAnsi="Calibri"/>
          <w:b w:val="false"/>
          <w:bCs w:val="false"/>
          <w:color w:val="1B2027"/>
          <w:sz w:val="21"/>
          <w:szCs w:val="21"/>
        </w:rPr>
        <w:t xml:space="preserve"> while queued, </w:t>
      </w:r>
      <w:r>
        <w:rPr>
          <w:rFonts w:ascii="Consolas" w:cs="Consolas" w:eastAsia="Consolas" w:hAnsi="Consolas"/>
          <w:b w:val="false"/>
          <w:bCs w:val="false"/>
          <w:color w:val="1B2027"/>
          <w:sz w:val="19"/>
          <w:szCs w:val="19"/>
        </w:rPr>
        <w:t xml:space="preserve">RUNNING</w:t>
      </w:r>
      <w:r>
        <w:rPr>
          <w:rFonts w:ascii="Calibri" w:cs="Calibri" w:eastAsia="Calibri" w:hAnsi="Calibri"/>
          <w:b w:val="false"/>
          <w:bCs w:val="false"/>
          <w:color w:val="1B2027"/>
          <w:sz w:val="21"/>
          <w:szCs w:val="21"/>
        </w:rPr>
        <w:t xml:space="preserve"> while working, then one of </w:t>
      </w:r>
      <w:r>
        <w:rPr>
          <w:rFonts w:ascii="Consolas" w:cs="Consolas" w:eastAsia="Consolas" w:hAnsi="Consolas"/>
          <w:b w:val="false"/>
          <w:bCs w:val="false"/>
          <w:color w:val="1B2027"/>
          <w:sz w:val="19"/>
          <w:szCs w:val="19"/>
        </w:rPr>
        <w:t xml:space="preserve">SUCCEEDED</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or </w:t>
      </w:r>
      <w:r>
        <w:rPr>
          <w:rFonts w:ascii="Consolas" w:cs="Consolas" w:eastAsia="Consolas" w:hAnsi="Consolas"/>
          <w:b w:val="false"/>
          <w:bCs w:val="false"/>
          <w:color w:val="1B2027"/>
          <w:sz w:val="19"/>
          <w:szCs w:val="19"/>
        </w:rPr>
        <w:t xml:space="preserve">CANCELLED</w:t>
      </w:r>
      <w:r>
        <w:rPr>
          <w:rFonts w:ascii="Calibri" w:cs="Calibri" w:eastAsia="Calibri" w:hAnsi="Calibri"/>
          <w:b w:val="false"/>
          <w:bCs w:val="false"/>
          <w:color w:val="1B2027"/>
          <w:sz w:val="21"/>
          <w:szCs w:val="21"/>
        </w:rPr>
        <w:t xml:space="preserve">. </w:t>
      </w:r>
      <w:r>
        <w:rPr>
          <w:rFonts w:ascii="Calibri" w:cs="Calibri" w:eastAsia="Calibri" w:hAnsi="Calibri"/>
          <w:b/>
          <w:bCs/>
          <w:color w:val="1B2027"/>
          <w:sz w:val="21"/>
          <w:szCs w:val="21"/>
        </w:rPr>
        <w:t xml:space="preserve">Those three are terminal and never change again</w:t>
      </w:r>
      <w:r>
        <w:rPr>
          <w:rFonts w:ascii="Calibri" w:cs="Calibri" w:eastAsia="Calibri" w:hAnsi="Calibri"/>
          <w:b w:val="false"/>
          <w:bCs w:val="false"/>
          <w:color w:val="1B2027"/>
          <w:sz w:val="21"/>
          <w:szCs w:val="21"/>
        </w:rPr>
        <w:t xml:space="preserve">, so stop polling when you see one. On </w:t>
      </w:r>
      <w:r>
        <w:rPr>
          <w:rFonts w:ascii="Consolas" w:cs="Consolas" w:eastAsia="Consolas" w:hAnsi="Consolas"/>
          <w:b w:val="false"/>
          <w:bCs w:val="false"/>
          <w:color w:val="1B2027"/>
          <w:sz w:val="19"/>
          <w:szCs w:val="19"/>
        </w:rPr>
        <w:t xml:space="preserve">FAILED</w:t>
      </w:r>
      <w:r>
        <w:rPr>
          <w:rFonts w:ascii="Calibri" w:cs="Calibri" w:eastAsia="Calibri" w:hAnsi="Calibri"/>
          <w:b w:val="false"/>
          <w:bCs w:val="false"/>
          <w:color w:val="1B2027"/>
          <w:sz w:val="21"/>
          <w:szCs w:val="21"/>
        </w:rPr>
        <w:t xml:space="preserve">, read </w:t>
      </w:r>
      <w:r>
        <w:rPr>
          <w:rFonts w:ascii="Consolas" w:cs="Consolas" w:eastAsia="Consolas" w:hAnsi="Consolas"/>
          <w:b w:val="false"/>
          <w:bCs w:val="false"/>
          <w:color w:val="1B2027"/>
          <w:sz w:val="19"/>
          <w:szCs w:val="19"/>
        </w:rPr>
        <w:t xml:space="preserve">failureReason</w:t>
      </w:r>
      <w:r>
        <w:rPr>
          <w:rFonts w:ascii="Calibri" w:cs="Calibri" w:eastAsia="Calibri" w:hAnsi="Calibri"/>
          <w:b w:val="false"/>
          <w:bCs w:val="false"/>
          <w:color w:val="1B2027"/>
          <w:sz w:val="21"/>
          <w:szCs w:val="21"/>
        </w:rPr>
        <w:t xml:space="preserve">.</w:t>
      </w:r>
    </w:p>
    <w:p>
      <w:pPr>
        <w:spacing w:after="140" w:line="276"/>
      </w:pPr>
      <w:r>
        <w:rPr>
          <w:rFonts w:ascii="Calibri" w:cs="Calibri" w:eastAsia="Calibri" w:hAnsi="Calibri"/>
          <w:b w:val="false"/>
          <w:b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color w:val="1B2027"/>
          <w:sz w:val="21"/>
          <w:szCs w:val="21"/>
        </w:rPr>
        <w:t xml:space="preserve">Streamed, with </w:t>
      </w:r>
      <w:r>
        <w:rPr>
          <w:rFonts w:ascii="Consolas" w:cs="Consolas" w:eastAsia="Consolas" w:hAnsi="Consolas"/>
          <w:b w:val="false"/>
          <w:bCs w:val="false"/>
          <w:color w:val="1B2027"/>
          <w:sz w:val="19"/>
          <w:szCs w:val="19"/>
        </w:rPr>
        <w:t xml:space="preserve">Content-Disposition: attachment</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X-Content-Type-Options: nosniff</w:t>
      </w:r>
      <w:r>
        <w:rPr>
          <w:rFonts w:ascii="Calibri" w:cs="Calibri" w:eastAsia="Calibri" w:hAnsi="Calibri"/>
          <w:b w:val="false"/>
          <w:bCs w:val="false"/>
          <w:color w:val="1B2027"/>
          <w:sz w:val="21"/>
          <w:szCs w:val="21"/>
        </w:rPr>
        <w:t xml:space="preserve">. Cancel an in-flight job with </w:t>
      </w:r>
      <w:r>
        <w:rPr>
          <w:rFonts w:ascii="Consolas" w:cs="Consolas" w:eastAsia="Consolas" w:hAnsi="Consolas"/>
          <w:b w:val="false"/>
          <w:bCs w:val="false"/>
          <w:color w:val="1B2027"/>
          <w:sz w:val="19"/>
          <w:szCs w:val="19"/>
        </w:rPr>
        <w:t xml:space="preserve">DELETE /api/conversions/{jobId}</w:t>
      </w:r>
      <w:r>
        <w:rPr>
          <w:rFonts w:ascii="Calibri" w:cs="Calibri" w:eastAsia="Calibri" w:hAnsi="Calibri"/>
          <w:b w:val="false"/>
          <w:b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color w:val="1B2027"/>
          <w:sz w:val="21"/>
          <w:szCs w:val="21"/>
        </w:rPr>
        <w:t xml:space="preserve">resolves the hostname and validates the resolved address</w:t>
      </w:r>
      <w:r>
        <w:rPr>
          <w:rFonts w:ascii="Calibri" w:cs="Calibri" w:eastAsia="Calibri" w:hAnsi="Calibri"/>
          <w:b w:val="false"/>
          <w:bCs w:val="false"/>
          <w:color w:val="1B2027"/>
          <w:sz w:val="21"/>
          <w:szCs w:val="21"/>
        </w:rPr>
        <w:t xml:space="preserve">, not the string — a name that resolves to </w:t>
      </w:r>
      <w:r>
        <w:rPr>
          <w:rFonts w:ascii="Consolas" w:cs="Consolas" w:eastAsia="Consolas" w:hAnsi="Consolas"/>
          <w:b w:val="false"/>
          <w:bCs w:val="false"/>
          <w:color w:val="1B2027"/>
          <w:sz w:val="19"/>
          <w:szCs w:val="19"/>
        </w:rPr>
        <w:t xml:space="preserve">169.254.169.254</w:t>
      </w:r>
      <w:r>
        <w:rPr>
          <w:rFonts w:ascii="Calibri" w:cs="Calibri" w:eastAsia="Calibri" w:hAnsi="Calibri"/>
          <w:b w:val="false"/>
          <w:b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refuses loopback, link-local, RFC 1918 (</w:t>
      </w:r>
      <w:r>
        <w:rPr>
          <w:rFonts w:ascii="Consolas" w:cs="Consolas" w:eastAsia="Consolas" w:hAnsi="Consolas"/>
          <w:b w:val="false"/>
          <w:bCs w:val="false"/>
          <w:color w:val="1B2027"/>
          <w:sz w:val="19"/>
          <w:szCs w:val="19"/>
        </w:rPr>
        <w:t xml:space="preserve">10/8</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172.16/12</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192.168/16</w:t>
      </w:r>
      <w:r>
        <w:rPr>
          <w:rFonts w:ascii="Calibri" w:cs="Calibri" w:eastAsia="Calibri" w:hAnsi="Calibri"/>
          <w:b w:val="false"/>
          <w:bCs w:val="false"/>
          <w:color w:val="1B2027"/>
          <w:sz w:val="21"/>
          <w:szCs w:val="21"/>
        </w:rPr>
        <w:t xml:space="preserve">), </w:t>
      </w:r>
      <w:r>
        <w:rPr>
          <w:rFonts w:ascii="Consolas" w:cs="Consolas" w:eastAsia="Consolas" w:hAnsi="Consolas"/>
          <w:b w:val="false"/>
          <w:bCs w:val="false"/>
          <w:color w:val="1B2027"/>
          <w:sz w:val="19"/>
          <w:szCs w:val="19"/>
        </w:rPr>
        <w:t xml:space="preserve">::1</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.internal</w:t>
      </w:r>
      <w:r>
        <w:rPr>
          <w:rFonts w:ascii="Calibri" w:cs="Calibri" w:eastAsia="Calibri" w:hAnsi="Calibri"/>
          <w:b w:val="false"/>
          <w:b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color w:val="1B2027"/>
          <w:sz w:val="21"/>
          <w:szCs w:val="21"/>
        </w:rPr>
        <w:t xml:space="preserve">does not follow redirects at all.</w:t>
      </w:r>
      <w:r>
        <w:rPr>
          <w:rFonts w:ascii="Calibri" w:cs="Calibri" w:eastAsia="Calibri" w:hAnsi="Calibri"/>
          <w:b w:val="false"/>
          <w:b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requires </w:t>
      </w:r>
      <w:r>
        <w:rPr>
          <w:rFonts w:ascii="Consolas" w:cs="Consolas" w:eastAsia="Consolas" w:hAnsi="Consolas"/>
          <w:b w:val="false"/>
          <w:bCs w:val="false"/>
          <w:color w:val="1B2027"/>
          <w:sz w:val="19"/>
          <w:szCs w:val="19"/>
        </w:rPr>
        <w:t xml:space="preserve">https</w:t>
      </w:r>
      <w:r>
        <w:rPr>
          <w:rFonts w:ascii="Calibri" w:cs="Calibri" w:eastAsia="Calibri" w:hAnsi="Calibri"/>
          <w:b w:val="false"/>
          <w:b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bounds the fetch: size enforced </w:t>
      </w:r>
      <w:r>
        <w:rPr>
          <w:rFonts w:ascii="Calibri" w:cs="Calibri" w:eastAsia="Calibri" w:hAnsi="Calibri"/>
          <w:b/>
          <w:bCs/>
          <w:color w:val="1B2027"/>
          <w:sz w:val="21"/>
          <w:szCs w:val="21"/>
        </w:rPr>
        <w:t xml:space="preserve">during</w:t>
      </w:r>
      <w:r>
        <w:rPr>
          <w:rFonts w:ascii="Calibri" w:cs="Calibri" w:eastAsia="Calibri" w:hAnsi="Calibri"/>
          <w:b w:val="false"/>
          <w:b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The redirect rule is the one most likely to break you.</w:t>
      </w:r>
      <w:r>
        <w:rPr>
          <w:rFonts w:ascii="Calibri" w:cs="Calibri" w:eastAsia="Calibri" w:hAnsi="Calibri"/>
          <w:b w:val="false"/>
          <w:b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color w:val="1B2027"/>
          <w:sz w:val="21"/>
          <w:szCs w:val="21"/>
        </w:rPr>
        <w:t xml:space="preserve">After the fetch: content type is decided by </w:t>
      </w:r>
      <w:r>
        <w:rPr>
          <w:rFonts w:ascii="Calibri" w:cs="Calibri" w:eastAsia="Calibri" w:hAnsi="Calibri"/>
          <w:b/>
          <w:bCs/>
          <w:color w:val="1B2027"/>
          <w:sz w:val="21"/>
          <w:szCs w:val="21"/>
        </w:rPr>
        <w:t xml:space="preserve">magic bytes</w:t>
      </w:r>
      <w:r>
        <w:rPr>
          <w:rFonts w:ascii="Calibri" w:cs="Calibri" w:eastAsia="Calibri" w:hAnsi="Calibri"/>
          <w:b w:val="false"/>
          <w:bCs w:val="false"/>
          <w:color w:val="1B2027"/>
          <w:sz w:val="21"/>
          <w:szCs w:val="21"/>
        </w:rPr>
        <w:t xml:space="preserve">, never by your </w:t>
      </w:r>
      <w:r>
        <w:rPr>
          <w:rFonts w:ascii="Consolas" w:cs="Consolas" w:eastAsia="Consolas" w:hAnsi="Consolas"/>
          <w:b w:val="false"/>
          <w:bCs w:val="false"/>
          <w:color w:val="1B2027"/>
          <w:sz w:val="19"/>
          <w:szCs w:val="19"/>
        </w:rPr>
        <w:t xml:space="preserve">Content-Type</w:t>
      </w:r>
      <w:r>
        <w:rPr>
          <w:rFonts w:ascii="Calibri" w:cs="Calibri" w:eastAsia="Calibri" w:hAnsi="Calibri"/>
          <w:b w:val="false"/>
          <w:b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color w:val="1B2027"/>
          <w:sz w:val="21"/>
          <w:szCs w:val="21"/>
        </w:rPr>
        <w:t xml:space="preserve">RFC 9457 problem documents throughout, with a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color w:val="5F6875"/>
          <w:sz w:val="17"/>
          <w:szCs w:val="17"/>
        </w:rPr>
        <w:t xml:space="preserve">Table 1 — Status codes you will actually meet.</w:t>
      </w:r>
    </w:p>
    <w:p>
      <w:pPr>
        <w:spacing w:after="140" w:line="276"/>
      </w:pPr>
      <w:r>
        <w:rPr>
          <w:rFonts w:ascii="Calibri" w:cs="Calibri" w:eastAsia="Calibri" w:hAnsi="Calibri"/>
          <w:b w:val="false"/>
          <w:bCs w:val="false"/>
          <w:color w:val="1B2027"/>
          <w:sz w:val="21"/>
          <w:szCs w:val="21"/>
        </w:rPr>
        <w:t xml:space="preserve">Read </w:t>
      </w:r>
      <w:r>
        <w:rPr>
          <w:rFonts w:ascii="Consolas" w:cs="Consolas" w:eastAsia="Consolas" w:hAnsi="Consolas"/>
          <w:b w:val="false"/>
          <w:bCs w:val="false"/>
          <w:color w:val="1B2027"/>
          <w:sz w:val="19"/>
          <w:szCs w:val="19"/>
        </w:rPr>
        <w:t xml:space="preserve">detail</w:t>
      </w:r>
      <w:r>
        <w:rPr>
          <w:rFonts w:ascii="Calibri" w:cs="Calibri" w:eastAsia="Calibri" w:hAnsi="Calibri"/>
          <w:b w:val="false"/>
          <w:bCs w:val="false"/>
          <w:color w:val="1B2027"/>
          <w:sz w:val="21"/>
          <w:szCs w:val="21"/>
        </w:rPr>
        <w:t xml:space="preserve"> and show it. It is written to be shown. Quote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Hosted only</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Works in our hosted service. NOT shippable on-premises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color w:val="5F6875"/>
          <w:sz w:val="17"/>
          <w:szCs w:val="17"/>
        </w:rPr>
        <w:t xml:space="preserve">Table 2 — What the pipeline actually accepts. Four supported, one hosted-only, two not supported at all.</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DWG has no clean licensing path for a distributed product.</w:t>
      </w:r>
      <w:r>
        <w:rPr>
          <w:rFonts w:ascii="Calibri" w:cs="Calibri" w:eastAsia="Calibri" w:hAnsi="Calibri"/>
          <w:b w:val="false"/>
          <w:bCs w:val="false"/>
          <w:color w:val="1B2027"/>
          <w:sz w:val="21"/>
          <w:szCs w:val="21"/>
        </w:rPr>
        <w:t xml:space="preserve"> The two converters have opposite problems: LibreDWG is GPL-3.0 and ships in our image (so distribution owes corresponding source we do not currently provide), and the ODA File Converter cannot be redistributed at all. In our hosted service DWG works. For an on-premises install, </w:t>
      </w:r>
      <w:r>
        <w:rPr>
          <w:rFonts w:ascii="Calibri" w:cs="Calibri" w:eastAsia="Calibri" w:hAnsi="Calibri"/>
          <w:b/>
          <w:bCs/>
          <w:color w:val="1B2027"/>
          <w:sz w:val="21"/>
          <w:szCs w:val="21"/>
        </w:rPr>
        <w:t xml:space="preserve">assume DWG is unavailable unless your contract says otherwise</w:t>
      </w:r>
      <w:r>
        <w:rPr>
          <w:rFonts w:ascii="Calibri" w:cs="Calibri" w:eastAsia="Calibri" w:hAnsi="Calibri"/>
          <w:b w:val="false"/>
          <w:bCs w:val="false"/>
          <w:color w:val="1B2027"/>
          <w:sz w:val="21"/>
          <w:szCs w:val="21"/>
        </w:rPr>
        <w:t xml:space="preserve"> and you have obtained an ODA licence yourself. Tracked as ADR 13, referred to counsel, unresolved. Do not plan a DWG workflow on the assumption this resolves in your favour.</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color w:val="1B2027"/>
          <w:sz w:val="21"/>
          <w:szCs w:val="21"/>
        </w:rPr>
        <w:t xml:space="preserve">RVT (and RFA) is a proprietary Autodesk binary with no open reader.</w:t>
      </w:r>
      <w:r>
        <w:rPr>
          <w:rFonts w:ascii="Calibri" w:cs="Calibri" w:eastAsia="Calibri" w:hAnsi="Calibri"/>
          <w:b w:val="false"/>
          <w:b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color w:val="1B2027"/>
          <w:sz w:val="19"/>
          <w:szCs w:val="19"/>
        </w:rPr>
        <w:t xml:space="preserve">REVIT_BINARY</w:t>
      </w:r>
      <w:r>
        <w:rPr>
          <w:rFonts w:ascii="Calibri" w:cs="Calibri" w:eastAsia="Calibri" w:hAnsi="Calibri"/>
          <w:b w:val="false"/>
          <w:b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vendor relationship and a per-deployment fee, with the same redistribution question ADR 13 is already stuck on</w:t>
            </w:r>
          </w:p>
        </w:tc>
      </w:tr>
    </w:tbl>
    <w:p>
      <w:pPr>
        <w:spacing w:after="240" w:before="80"/>
      </w:pPr>
      <w:r>
        <w:rPr>
          <w:rFonts w:ascii="Calibri" w:cs="Calibri" w:eastAsia="Calibri" w:hAnsi="Calibri"/>
          <w:b w:val="false"/>
          <w:b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The sovereignty collision is the important one. </w:t>
      </w:r>
      <w:r>
        <w:rPr>
          <w:rFonts w:ascii="Calibri" w:cs="Calibri" w:eastAsia="Calibri" w:hAnsi="Calibri"/>
          <w:b/>
          <w:bCs/>
          <w:color w:val="1B2027"/>
          <w:sz w:val="21"/>
          <w:szCs w:val="21"/>
        </w:rPr>
        <w:t xml:space="preserve">The cheapest route is the one we can least use</w:t>
      </w:r>
      <w:r>
        <w:rPr>
          <w:rFonts w:ascii="Calibri" w:cs="Calibri" w:eastAsia="Calibri" w:hAnsi="Calibri"/>
          <w:b w:val="false"/>
          <w:b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color w:val="1B2027"/>
          <w:sz w:val="21"/>
          <w:szCs w:val="21"/>
        </w:rPr>
        <w:t xml:space="preserve">DWF is unimplemented rather than refused.</w:t>
      </w:r>
      <w:r>
        <w:rPr>
          <w:rFonts w:ascii="Calibri" w:cs="Calibri" w:eastAsia="Calibri" w:hAnsi="Calibri"/>
          <w:b w:val="false"/>
          <w:b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color w:val="1B2027"/>
          <w:sz w:val="21"/>
          <w:szCs w:val="21"/>
        </w:rPr>
        <w:t xml:space="preserve">If you need either, raise it as a commercial requirement, not a bug.</w:t>
      </w:r>
      <w:r>
        <w:rPr>
          <w:rFonts w:ascii="Calibri" w:cs="Calibri" w:eastAsia="Calibri" w:hAnsi="Calibri"/>
          <w:b w:val="false"/>
          <w:b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read before you scope it</w:t>
      </w:r>
    </w:p>
    <w:p>
      <w:pPr>
        <w:spacing w:after="140" w:line="276"/>
      </w:pPr>
      <w:r>
        <w:rPr>
          <w:rFonts w:ascii="Calibri" w:cs="Calibri" w:eastAsia="Calibri" w:hAnsi="Calibri"/>
          <w:b w:val="false"/>
          <w:bCs w:val="false"/>
          <w:color w:val="1B2027"/>
          <w:sz w:val="21"/>
          <w:szCs w:val="21"/>
        </w:rPr>
        <w:t xml:space="preserve">Three constraints, all currently blocking.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Constraint</w:t>
            </w:r>
          </w:p>
        </w:tc>
        <w:tc>
          <w:tcPr>
            <w:tcW w:type="dxa" w:w="71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Reality today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Framing</w:t>
            </w:r>
          </w:p>
        </w:tc>
        <w:tc>
          <w:tcPr>
            <w:tcW w:type="dxa" w:w="71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Content-Security-Policy: frame-ancestors 'none'. A cross-origin iframe will not render</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Cross-origin XHR</w:t>
            </w:r>
          </w:p>
        </w:tc>
        <w:tc>
          <w:tcPr>
            <w:tcW w:type="dxa" w:w="71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The CORS source registers no origin at all unless a deployment names one in full</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color w:val="1B2027"/>
                <w:sz w:val="19"/>
                <w:szCs w:val="19"/>
              </w:rPr>
              <w:t xml:space="preserve">Session</w:t>
            </w:r>
          </w:p>
        </w:tc>
        <w:tc>
          <w:tcPr>
            <w:tcW w:type="dxa" w:w="71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color w:val="1B2027"/>
                <w:sz w:val="19"/>
                <w:szCs w:val="19"/>
              </w:rPr>
              <w:t xml:space="preserve">A bearer token from our own /api/auth/login, against our own user table. No cookie mode, no silent SSO, no token exchange</w:t>
            </w:r>
          </w:p>
        </w:tc>
      </w:tr>
    </w:tbl>
    <w:p>
      <w:pPr>
        <w:spacing w:after="240" w:before="80"/>
      </w:pPr>
      <w:r>
        <w:rPr>
          <w:rFonts w:ascii="Calibri" w:cs="Calibri" w:eastAsia="Calibri" w:hAnsi="Calibri"/>
          <w:b w:val="false"/>
          <w:bCs w:val="false"/>
          <w:color w:val="5F6875"/>
          <w:sz w:val="17"/>
          <w:szCs w:val="17"/>
        </w:rPr>
        <w:t xml:space="preserve">Table 4 — Why an embedded integration cannot be scoped yet.</w:t>
      </w:r>
    </w:p>
    <w:p>
      <w:pPr>
        <w:spacing w:after="140" w:line="276"/>
      </w:pPr>
      <w:r>
        <w:rPr>
          <w:rFonts w:ascii="Calibri" w:cs="Calibri" w:eastAsia="Calibri" w:hAnsi="Calibri"/>
          <w:b w:val="false"/>
          <w:bCs w:val="false"/>
          <w:color w:val="1B2027"/>
          <w:sz w:val="21"/>
          <w:szCs w:val="21"/>
        </w:rPr>
        <w:t xml:space="preserve">The only path that works today is </w:t>
      </w:r>
      <w:r>
        <w:rPr>
          <w:rFonts w:ascii="Calibri" w:cs="Calibri" w:eastAsia="Calibri" w:hAnsi="Calibri"/>
          <w:b/>
          <w:bCs/>
          <w:color w:val="1B2027"/>
          <w:sz w:val="21"/>
          <w:szCs w:val="21"/>
        </w:rPr>
        <w:t xml:space="preserve">serving our Angular build from your own origin, behind the same web tier that proxies </w:t>
      </w:r>
      <w:r>
        <w:rPr>
          <w:rFonts w:ascii="Consolas" w:cs="Consolas" w:eastAsia="Consolas" w:hAnsi="Consolas"/>
          <w:b/>
          <w:bCs/>
          <w:color w:val="1B2027"/>
          <w:sz w:val="19"/>
          <w:szCs w:val="19"/>
        </w:rPr>
        <w:t xml:space="preserve">/api</w:t>
      </w:r>
      <w:r>
        <w:rPr>
          <w:rFonts w:ascii="Calibri" w:cs="Calibri" w:eastAsia="Calibri" w:hAnsi="Calibri"/>
          <w:b w:val="false"/>
          <w:bCs w:val="false"/>
          <w:color w:val="1B2027"/>
          <w:sz w:val="21"/>
          <w:szCs w:val="21"/>
        </w:rPr>
        <w:t xml:space="preserve">. Same-origin needs no CORS entry, no framing relaxation, and no cross-origin token handling. It is also a deployment of our application into your infrastructure, which is probably not what you meant by “integrate”.</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If you only need viewing</w:t>
      </w:r>
      <w:r>
        <w:rPr>
          <w:rFonts w:ascii="Calibri" w:cs="Calibri" w:eastAsia="Calibri" w:hAnsi="Calibri"/>
          <w:b w:val="false"/>
          <w:bCs w:val="false"/>
          <w:color w:val="1B2027"/>
          <w:sz w:val="21"/>
          <w:szCs w:val="21"/>
        </w:rPr>
        <w:t xml:space="preserve">, the honest recommendation is to skip the embed entirely: use section 3 to convert, and render the resulting PDF or SVG in your own interface with your own viewer. That avoids all three constraints and is a complete feature.</w:t>
      </w:r>
    </w:p>
    <w:p>
      <w:pPr>
        <w:pStyle w:val="Heading2"/>
        <w:spacing w:after="140" w:before="280"/>
      </w:pPr>
      <w:r>
        <w:rPr>
          <w:rFonts w:ascii="Calibri" w:cs="Calibri" w:eastAsia="Calibri" w:hAnsi="Calibri"/>
          <w:b/>
          <w:bCs/>
          <w:color w:val="0F7A83"/>
          <w:sz w:val="25"/>
          <w:szCs w:val="25"/>
        </w:rPr>
        <w:t xml:space="preserve">5.1  What the identity gap actually means</w:t>
      </w:r>
    </w:p>
    <w:p>
      <w:pPr>
        <w:spacing w:after="140" w:line="276"/>
      </w:pPr>
      <w:r>
        <w:rPr>
          <w:rFonts w:ascii="Calibri" w:cs="Calibri" w:eastAsia="Calibri" w:hAnsi="Calibri"/>
          <w:b w:val="false"/>
          <w:bCs w:val="false"/>
          <w:color w:val="1B2027"/>
          <w:sz w:val="21"/>
          <w:szCs w:val="21"/>
        </w:rPr>
        <w:t xml:space="preserve">Not “you need to configure SSO”. There is nothing to configure. A markup’s author is a foreign key into our user table, so </w:t>
      </w:r>
      <w:r>
        <w:rPr>
          <w:rFonts w:ascii="Calibri" w:cs="Calibri" w:eastAsia="Calibri" w:hAnsi="Calibri"/>
          <w:b/>
          <w:bCs/>
          <w:color w:val="1B2027"/>
          <w:sz w:val="21"/>
          <w:szCs w:val="21"/>
        </w:rPr>
        <w:t xml:space="preserve">your user must exist as a row in our database before they can annotate anything.</w:t>
      </w:r>
      <w:r>
        <w:rPr>
          <w:rFonts w:ascii="Calibri" w:cs="Calibri" w:eastAsia="Calibri" w:hAnsi="Calibri"/>
          <w:b w:val="false"/>
          <w:bCs w:val="false"/>
          <w:color w:val="1B2027"/>
          <w:sz w:val="21"/>
          <w:szCs w:val="21"/>
        </w:rPr>
        <w:t xml:space="preserve"> Any integration today means shadow-provisioning your users into our system, which is a data-protection conversation before it is an engineering one.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TODAY</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NEEDED</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Priya, at Asite</w:t>
            </w:r>
          </w:p>
          <w:p>
            <w:pPr>
              <w:spacing w:after="40" w:line="240"/>
              <w:jc w:val="center"/>
            </w:pPr>
            <w:r>
              <w:rPr>
                <w:rFonts w:ascii="Calibri" w:cs="Calibri" w:eastAsia="Calibri" w:hAnsi="Calibri"/>
                <w:b w:val="false"/>
                <w:bCs w:val="false"/>
                <w:color w:val="1B2027"/>
                <w:sz w:val="19"/>
                <w:szCs w:val="19"/>
              </w:rPr>
              <w:t xml:space="preserve">signed assertion</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w:t>
            </w:r>
          </w:p>
          <w:p>
            <w:pPr>
              <w:spacing w:after="40" w:line="240"/>
              <w:jc w:val="center"/>
            </w:pPr>
            <w:r>
              <w:rPr>
                <w:rFonts w:ascii="Calibri" w:cs="Calibri" w:eastAsia="Calibri" w:hAnsi="Calibri"/>
                <w:b w:val="false"/>
                <w:b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1B2027"/>
                <w:sz w:val="19"/>
                <w:szCs w:val="19"/>
              </w:rPr>
              <w:t xml:space="preserve">Annotation.authorRef</w:t>
            </w:r>
          </w:p>
          <w:p>
            <w:pPr>
              <w:spacing w:after="40" w:line="240"/>
              <w:jc w:val="center"/>
            </w:pPr>
            <w:r>
              <w:rPr>
                <w:rFonts w:ascii="Calibri" w:cs="Calibri" w:eastAsia="Calibri" w:hAnsi="Calibri"/>
                <w:b w:val="false"/>
                <w:bCs w:val="false"/>
                <w:color w:val="1B2027"/>
                <w:sz w:val="19"/>
                <w:szCs w:val="19"/>
              </w:rPr>
              <w:t xml:space="preserve">opaque value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C4342A"/>
                <w:sz w:val="19"/>
                <w:szCs w:val="19"/>
              </w:rPr>
              <w:t xml:space="preserve">OUR users table</w:t>
            </w:r>
          </w:p>
          <w:p>
            <w:pPr>
              <w:spacing w:after="40" w:line="240"/>
              <w:jc w:val="center"/>
            </w:pPr>
            <w:r>
              <w:rPr>
                <w:rFonts w:ascii="Calibri" w:cs="Calibri" w:eastAsia="Calibri" w:hAnsi="Calibri"/>
                <w:b w:val="false"/>
                <w:b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color w:val="0F7A83"/>
                <w:sz w:val="19"/>
                <w:szCs w:val="19"/>
              </w:rPr>
              <w:t xml:space="preserve">Issuer + subject</w:t>
            </w:r>
          </w:p>
          <w:p>
            <w:pPr>
              <w:spacing w:after="40" w:line="240"/>
              <w:jc w:val="center"/>
            </w:pPr>
            <w:r>
              <w:rPr>
                <w:rFonts w:ascii="Calibri" w:cs="Calibri" w:eastAsia="Calibri" w:hAnsi="Calibri"/>
                <w:b w:val="false"/>
                <w:bCs w:val="false"/>
                <w:color w:val="0F7A83"/>
                <w:sz w:val="19"/>
                <w:szCs w:val="19"/>
              </w:rPr>
              <w:t xml:space="preserve">no row required</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Integration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color w:val="5F6875"/>
                <w:sz w:val="19"/>
                <w:szCs w:val="19"/>
              </w:rPr>
              <w:t xml:space="preserve">The host stays the system of record for who its people are.</w:t>
            </w:r>
          </w:p>
        </w:tc>
      </w:tr>
    </w:tbl>
    <w:p>
      <w:pPr>
        <w:spacing w:after="240" w:before="80"/>
      </w:pPr>
      <w:r>
        <w:rPr>
          <w:rFonts w:ascii="Calibri" w:cs="Calibri" w:eastAsia="Calibri" w:hAnsi="Calibri"/>
          <w:b w:val="false"/>
          <w:bCs w:val="false"/>
          <w:color w:val="5F6875"/>
          <w:sz w:val="17"/>
          <w:szCs w:val="17"/>
        </w:rPr>
        <w:t xml:space="preserve">Figure 3 — The difference is one field. Annotation.author is a foreign key into our own user table, so a markup cannot exist without a local user row.</w:t>
      </w:r>
    </w:p>
    <w:p>
      <w:pPr>
        <w:spacing w:after="140" w:line="276"/>
      </w:pPr>
      <w:r>
        <w:rPr>
          <w:rFonts w:ascii="Calibri" w:cs="Calibri" w:eastAsia="Calibri" w:hAnsi="Calibri"/>
          <w:b w:val="false"/>
          <w:bCs w:val="false"/>
          <w:color w:val="1B2027"/>
          <w:sz w:val="21"/>
          <w:szCs w:val="21"/>
        </w:rPr>
        <w:t xml:space="preserve">The fix is an opaque issuer-and-subject reference plus a display name you supply, so you stay the system of record for who your people are. It is not built. If markup attribution matters to you, say so — it moves the priority.</w:t>
      </w:r>
    </w:p>
    <w:p>
      <w:pPr>
        <w:pStyle w:val="Heading1"/>
        <w:spacing w:after="160" w:before="360"/>
      </w:pPr>
      <w:r>
        <w:rPr>
          <w:rFonts w:ascii="Calibri" w:cs="Calibri" w:eastAsia="Calibri" w:hAnsi="Calibri"/>
          <w:b/>
          <w:bCs/>
          <w:color w:val="1B2027"/>
          <w:sz w:val="30"/>
          <w:szCs w:val="30"/>
        </w:rPr>
        <w:t xml:space="preserve">6.  What to plan for, not against</w:t>
      </w:r>
    </w:p>
    <w:p>
      <w:pPr>
        <w:spacing w:after="200" w:line="276"/>
      </w:pPr>
      <w:r>
        <w:rPr>
          <w:rFonts w:ascii="Calibri" w:cs="Calibri" w:eastAsia="Calibri" w:hAnsi="Calibri"/>
          <w:b w:val="false"/>
          <w:bCs w:val="false"/>
          <w:color w:val="5F6875"/>
          <w:sz w:val="21"/>
          <w:szCs w:val="21"/>
        </w:rPr>
        <w:t xml:space="preserve">When the contract lands, these are the shapes to expect. None of this is implemented; do not build against it yet. It is here so your architecture does not paint itself into a corner.</w:t>
      </w:r>
    </w:p>
    <w:p>
      <w:pPr>
        <w:pStyle w:val="ListParagraph"/>
        <w:numPr>
          <w:ilvl w:val="0"/>
          <w:numId w:val="2"/>
        </w:numPr>
        <w:spacing w:after="90" w:line="276"/>
      </w:pPr>
      <w:r>
        <w:rPr>
          <w:rFonts w:ascii="Calibri" w:cs="Calibri" w:eastAsia="Calibri" w:hAnsi="Calibri"/>
          <w:b/>
          <w:bCs/>
          <w:color w:val="1B2027"/>
          <w:sz w:val="21"/>
          <w:szCs w:val="21"/>
        </w:rPr>
        <w:t xml:space="preserve">Embedding</w:t>
      </w:r>
      <w:r>
        <w:rPr>
          <w:rFonts w:ascii="Calibri" w:cs="Calibri" w:eastAsia="Calibri" w:hAnsi="Calibri"/>
          <w:b w:val="false"/>
          <w:bCs w:val="false"/>
          <w:color w:val="1B2027"/>
          <w:sz w:val="21"/>
          <w:szCs w:val="21"/>
        </w:rPr>
        <w:t xml:space="preserve"> will be an iframe with a per-tenant </w:t>
      </w:r>
      <w:r>
        <w:rPr>
          <w:rFonts w:ascii="Consolas" w:cs="Consolas" w:eastAsia="Consolas" w:hAnsi="Consolas"/>
          <w:b w:val="false"/>
          <w:bCs w:val="false"/>
          <w:color w:val="1B2027"/>
          <w:sz w:val="19"/>
          <w:szCs w:val="19"/>
        </w:rPr>
        <w:t xml:space="preserve">frame-ancestors</w:t>
      </w:r>
      <w:r>
        <w:rPr>
          <w:rFonts w:ascii="Calibri" w:cs="Calibri" w:eastAsia="Calibri" w:hAnsi="Calibri"/>
          <w:b w:val="false"/>
          <w:bCs w:val="false"/>
          <w:color w:val="1B2027"/>
          <w:sz w:val="21"/>
          <w:szCs w:val="21"/>
        </w:rPr>
        <w:t xml:space="preserve"> allow-list, a published web component, or both. Keep your viewer container swappable.</w:t>
      </w:r>
    </w:p>
    <w:p>
      <w:pPr>
        <w:pStyle w:val="ListParagraph"/>
        <w:numPr>
          <w:ilvl w:val="0"/>
          <w:numId w:val="2"/>
        </w:numPr>
        <w:spacing w:after="90" w:line="276"/>
      </w:pPr>
      <w:r>
        <w:rPr>
          <w:rFonts w:ascii="Calibri" w:cs="Calibri" w:eastAsia="Calibri" w:hAnsi="Calibri"/>
          <w:b/>
          <w:bCs/>
          <w:color w:val="1B2027"/>
          <w:sz w:val="21"/>
          <w:szCs w:val="21"/>
        </w:rPr>
        <w:t xml:space="preserve">Identity</w:t>
      </w:r>
      <w:r>
        <w:rPr>
          <w:rFonts w:ascii="Calibri" w:cs="Calibri" w:eastAsia="Calibri" w:hAnsi="Calibri"/>
          <w:b w:val="false"/>
          <w:bCs w:val="false"/>
          <w:color w:val="1B2027"/>
          <w:sz w:val="21"/>
          <w:szCs w:val="21"/>
        </w:rPr>
        <w:t xml:space="preserve"> will be a signed assertion you issue, exchanged for a short-lived viewer session. Make sure you can mint a JWT with a stable subject claim per user.</w:t>
      </w:r>
    </w:p>
    <w:p>
      <w:pPr>
        <w:pStyle w:val="ListParagraph"/>
        <w:numPr>
          <w:ilvl w:val="0"/>
          <w:numId w:val="2"/>
        </w:numPr>
        <w:spacing w:after="90" w:line="276"/>
      </w:pPr>
      <w:r>
        <w:rPr>
          <w:rFonts w:ascii="Calibri" w:cs="Calibri" w:eastAsia="Calibri" w:hAnsi="Calibri"/>
          <w:b/>
          <w:bCs/>
          <w:color w:val="1B2027"/>
          <w:sz w:val="21"/>
          <w:szCs w:val="21"/>
        </w:rPr>
        <w:t xml:space="preserve">Markups</w:t>
      </w:r>
      <w:r>
        <w:rPr>
          <w:rFonts w:ascii="Calibri" w:cs="Calibri" w:eastAsia="Calibri" w:hAnsi="Calibri"/>
          <w:b w:val="false"/>
          <w:bCs w:val="false"/>
          <w:color w:val="1B2027"/>
          <w:sz w:val="21"/>
          <w:szCs w:val="21"/>
        </w:rPr>
        <w:t xml:space="preserve"> will come back either as events on a callback you host or as a document you pull. Have a place to put them that is not the rendered file.</w:t>
      </w:r>
    </w:p>
    <w:p>
      <w:pPr>
        <w:pStyle w:val="ListParagraph"/>
        <w:numPr>
          <w:ilvl w:val="0"/>
          <w:numId w:val="2"/>
        </w:numPr>
        <w:spacing w:after="90" w:line="276"/>
      </w:pPr>
      <w:r>
        <w:rPr>
          <w:rFonts w:ascii="Calibri" w:cs="Calibri" w:eastAsia="Calibri" w:hAnsi="Calibri"/>
          <w:b/>
          <w:bCs/>
          <w:color w:val="1B2027"/>
          <w:sz w:val="21"/>
          <w:szCs w:val="21"/>
        </w:rPr>
        <w:t xml:space="preserve">Document identity</w:t>
      </w:r>
      <w:r>
        <w:rPr>
          <w:rFonts w:ascii="Calibri" w:cs="Calibri" w:eastAsia="Calibri" w:hAnsi="Calibri"/>
          <w:b w:val="false"/>
          <w:bCs w:val="false"/>
          <w:color w:val="1B2027"/>
          <w:sz w:val="21"/>
          <w:szCs w:val="21"/>
        </w:rPr>
        <w:t xml:space="preserve"> — we currently key on our own numeric id. An external identifier is planned; keep your own id available at the boundary.</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color w:val="1B2027"/>
          <w:sz w:val="21"/>
          <w:szCs w:val="21"/>
        </w:rPr>
        <w:t xml:space="preserve">Accessibility.</w:t>
      </w:r>
      <w:r>
        <w:rPr>
          <w:rFonts w:ascii="Calibri" w:cs="Calibri" w:eastAsia="Calibri" w:hAnsi="Calibri"/>
          <w:b w:val="false"/>
          <w:bCs w:val="false"/>
          <w:color w:val="1B2027"/>
          <w:sz w:val="21"/>
          <w:szCs w:val="21"/>
        </w:rPr>
        <w:t xml:space="preserve"> WCAG 2.2 AA is a procurement gate in the UK, EU, Australia and the US, and an embedded viewer becomes part of *your*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spacing w:after="140" w:line="276"/>
      </w:pPr>
      <w:r>
        <w:rPr>
          <w:rFonts w:ascii="Calibri" w:cs="Calibri" w:eastAsia="Calibri" w:hAnsi="Calibri"/>
          <w:b/>
          <w:bCs/>
          <w:color w:val="1B2027"/>
          <w:sz w:val="21"/>
          <w:szCs w:val="21"/>
        </w:rPr>
        <w:t xml:space="preserve">Trademarks.</w:t>
      </w:r>
      <w:r>
        <w:rPr>
          <w:rFonts w:ascii="Calibri" w:cs="Calibri" w:eastAsia="Calibri" w:hAnsi="Calibri"/>
          <w:b w:val="false"/>
          <w:b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color w:val="1B2027"/>
          <w:sz w:val="21"/>
          <w:szCs w:val="21"/>
        </w:rPr>
        <w:t xml:space="preserve">Certification claims.</w:t>
      </w:r>
      <w:r>
        <w:rPr>
          <w:rFonts w:ascii="Calibri" w:cs="Calibri" w:eastAsia="Calibri" w:hAnsi="Calibri"/>
          <w:b w:val="false"/>
          <w:b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generate an </w:t>
      </w:r>
      <w:r>
        <w:rPr>
          <w:rFonts w:ascii="Consolas" w:cs="Consolas" w:eastAsia="Consolas" w:hAnsi="Consolas"/>
          <w:b w:val="false"/>
          <w:bCs w:val="false"/>
          <w:color w:val="1B2027"/>
          <w:sz w:val="19"/>
          <w:szCs w:val="19"/>
        </w:rPr>
        <w:t xml:space="preserve">Idempotency-Key</w:t>
      </w:r>
      <w:r>
        <w:rPr>
          <w:rFonts w:ascii="Calibri" w:cs="Calibri" w:eastAsia="Calibri" w:hAnsi="Calibri"/>
          <w:b w:val="false"/>
          <w:b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back off while polling, and honour </w:t>
      </w:r>
      <w:r>
        <w:rPr>
          <w:rFonts w:ascii="Consolas" w:cs="Consolas" w:eastAsia="Consolas" w:hAnsi="Consolas"/>
          <w:b w:val="false"/>
          <w:bCs w:val="false"/>
          <w:color w:val="1B2027"/>
          <w:sz w:val="19"/>
          <w:szCs w:val="19"/>
        </w:rPr>
        <w:t xml:space="preserve">Retry-After</w:t>
      </w:r>
      <w:r>
        <w:rPr>
          <w:rFonts w:ascii="Calibri" w:cs="Calibri" w:eastAsia="Calibri" w:hAnsi="Calibri"/>
          <w:b w:val="false"/>
          <w:bCs w:val="false"/>
          <w:color w:val="1B2027"/>
          <w:sz w:val="21"/>
          <w:szCs w:val="21"/>
        </w:rPr>
        <w:t xml:space="preserve"> on </w:t>
      </w:r>
      <w:r>
        <w:rPr>
          <w:rFonts w:ascii="Consolas" w:cs="Consolas" w:eastAsia="Consolas" w:hAnsi="Consolas"/>
          <w:b w:val="false"/>
          <w:bCs w:val="false"/>
          <w:color w:val="1B2027"/>
          <w:sz w:val="19"/>
          <w:szCs w:val="19"/>
        </w:rPr>
        <w:t xml:space="preserve">429</w:t>
      </w:r>
      <w:r>
        <w:rPr>
          <w:rFonts w:ascii="Calibri" w:cs="Calibri" w:eastAsia="Calibri" w:hAnsi="Calibri"/>
          <w:b w:val="false"/>
          <w:b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surface </w:t>
      </w:r>
      <w:r>
        <w:rPr>
          <w:rFonts w:ascii="Consolas" w:cs="Consolas" w:eastAsia="Consolas" w:hAnsi="Consolas"/>
          <w:b w:val="false"/>
          <w:bCs w:val="false"/>
          <w:color w:val="1B2027"/>
          <w:sz w:val="19"/>
          <w:szCs w:val="19"/>
        </w:rPr>
        <w:t xml:space="preserve">detail</w:t>
      </w:r>
      <w:r>
        <w:rPr>
          <w:rFonts w:ascii="Calibri" w:cs="Calibri" w:eastAsia="Calibri" w:hAnsi="Calibri"/>
          <w:b w:val="false"/>
          <w:bCs w:val="false"/>
          <w:color w:val="1B2027"/>
          <w:sz w:val="21"/>
          <w:szCs w:val="21"/>
        </w:rPr>
        <w:t xml:space="preserve"> and </w:t>
      </w:r>
      <w:r>
        <w:rPr>
          <w:rFonts w:ascii="Consolas" w:cs="Consolas" w:eastAsia="Consolas" w:hAnsi="Consolas"/>
          <w:b w:val="false"/>
          <w:bCs w:val="false"/>
          <w:color w:val="1B2027"/>
          <w:sz w:val="19"/>
          <w:szCs w:val="19"/>
        </w:rPr>
        <w:t xml:space="preserve">traceId</w:t>
      </w:r>
      <w:r>
        <w:rPr>
          <w:rFonts w:ascii="Calibri" w:cs="Calibri" w:eastAsia="Calibri" w:hAnsi="Calibri"/>
          <w:b w:val="false"/>
          <w:b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Has the embed contract been decided? (Section 5 — currently no)</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Has the identity contract been decided? (Section 5.1 — currently no)</w:t>
      </w:r>
    </w:p>
    <w:p>
      <w:pPr>
        <w:pStyle w:val="ListParagraph"/>
        <w:numPr>
          <w:ilvl w:val="0"/>
          <w:numId w:val="2"/>
        </w:numPr>
        <w:spacing w:after="90" w:line="276"/>
      </w:pPr>
      <w:r>
        <w:rPr>
          <w:rFonts w:ascii="Calibri" w:cs="Calibri" w:eastAsia="Calibri" w:hAnsi="Calibri"/>
          <w:b w:val="false"/>
          <w:bCs w:val="false"/>
          <w:color w:val="1B2027"/>
          <w:sz w:val="21"/>
          <w:szCs w:val="21"/>
        </w:rPr>
        <w:t xml:space="preserve">Do you know which of the 17 document operations you need? (Section 6)</w:t>
      </w:r>
    </w:p>
    <w:p>
      <w:pPr>
        <w:pBdr>
          <w:left w:val="single" w:color="C4342A" w:sz="18" w:space="8"/>
        </w:pBdr>
        <w:shd w:fill="FBEDEC" w:color="auto" w:val="clear"/>
        <w:spacing w:after="180" w:before="140"/>
        <w:ind w:left="120" w:right="120"/>
      </w:pPr>
      <w:r>
        <w:rPr>
          <w:rFonts w:ascii="Calibri" w:cs="Calibri" w:eastAsia="Calibri" w:hAnsi="Calibri"/>
          <w:b w:val="false"/>
          <w:bCs w:val="false"/>
          <w:color w:val="1B2027"/>
          <w:sz w:val="21"/>
          <w:szCs w:val="21"/>
        </w:rPr>
        <w:t xml:space="preserve">If the last three are all “no”, the buildable integration is section 3 and nothing else. That is a real feature and it works — it is just smaller than “embed the viewer”, and worth scoping as what it is.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2026-09-08T01:56:30.184Z</dcterms:created>
  <dcterms:modified xsi:type="dcterms:W3CDTF">2026-09-08T01:56:30.184Z</dcterms:modified>
</cp:coreProperties>
</file>

<file path=docProps/custom.xml><?xml version="1.0" encoding="utf-8"?>
<Properties xmlns="http://schemas.openxmlformats.org/officeDocument/2006/custom-properties" xmlns:vt="http://schemas.openxmlformats.org/officeDocument/2006/docPropsVTypes"/>
</file>