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Validation of SURPASS-Alpha Monte Carlo Dynamics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Through Polymer Scaling Law Verification</w:t>
      </w:r>
    </w:p>
    <w:p>
      <w:pPr>
        <w:pStyle w:val="Heading1"/>
      </w:pPr>
      <w:r>
        <w:t xml:space="preserve">Core Proposal in One Sentence</w:t>
      </w:r>
    </w:p>
    <w:p>
      <w:pPr>
        <w:spacing w:after="200"/>
      </w:pPr>
      <w:r>
        <w:t xml:space="preserve">The central idea is to systematically validate the SURPASS-Alpha Monte Carlo simulation framework by replicating the polymer dynamics benchmarks established in the Kuriata, Gront &amp; Sikorski (2016) paper [1], demonstrating that the simulation engine correctly reproduces fundamental polymer physics scaling laws—including the Flory exponent ν ≈ 0.588 for static properties and Rouse model predictions for dynamic properties—before applying the framework to protein folding simulations. This validation establishes baseline correctness through comparison of two sampling algorithms (single-bead random displacements and backrub rotations) against well-established self-avoiding walk statistics, providing essential debugging infrastructure and ensuring the Monte Carlo dynamics engine operates correctly.</w:t>
      </w:r>
    </w:p>
    <w:p>
      <w:pPr>
        <w:pStyle w:val="Heading1"/>
      </w:pPr>
      <w:r>
        <w:t xml:space="preserve">Why This Represents a Real Gap</w:t>
      </w:r>
    </w:p>
    <w:p>
      <w:pPr>
        <w:spacing w:after="200"/>
      </w:pPr>
      <w:r>
        <w:t xml:space="preserve">The SURPASS (Single United Residue per Pre-Averaged Secondary Structure) model developed by Dawid, Gront, and Kolinski [11] represents proteins using a single center of interaction per residue, accounting for preaveraged effects of four adjacent residue fragments. SURPASS-Alpha extends this framework with a simplified two-bead representation (Cα and SG pseudo-atoms) designed for Monte Carlo simulations of protein folding. As noted in the comprehensive review by Kmiecik et al. [12], coarse-grained models must be carefully validated against known physical benchmarks before application to complex biomolecular systems.</w:t>
      </w:r>
    </w:p>
    <w:p>
      <w:pPr>
        <w:spacing w:after="200"/>
      </w:pPr>
      <w:r>
        <w:t xml:space="preserve">The Rouse model, first proposed in 1953 [2], remains a cornerstone of polymer dynamics theory. It describes polymer chains as a series of beads connected by harmonic springs undergoing overdamped Brownian motion. The model predicts that the diffusion coefficient scales inversely with chain length (D ∼ N⁻¹) and that the mean-square displacement of the center of mass grows linearly with time (gCM(t) ∼ t¹). The backrub algorithm [4, 5], originally designed for protein simulations, rotates chain fragments about an axis defined by flanking segments, enabling large conformational changes while disturbing only a few internal degrees of freedom.</w:t>
      </w:r>
    </w:p>
    <w:p>
      <w:pPr>
        <w:spacing w:after="200"/>
      </w:pPr>
      <w:r>
        <w:t xml:space="preserve">Testing against athermal polymer chains (excluded volume only, no attractive interactions) provides the cleanest possible validation scenario. The original Kuriata-Gront-Sikorski study demonstrated that both static properties (R² and Rg² scaling with exponent 2ν ≈ 1.20) and dynamic properties (diffusion coefficients, MSD behavior, relaxation times) could be successfully reproduced by appropriately tuned Monte Carlo algorithms [1]. No existing validation framework has been applied to SURPASS-Alpha; success in reproducing these scaling laws will confirm that the Monte Carlo dynamics engine, move acceptance criteria, and observable calculations are functioning correctly before protein-specific force field terms are activated.</w:t>
      </w:r>
    </w:p>
    <w:p>
      <w:pPr>
        <w:pStyle w:val="Heading1"/>
      </w:pPr>
      <w:r>
        <w:t xml:space="preserve">Method Sketch: Polymer Scaling Law Validation</w:t>
      </w:r>
    </w:p>
    <w:p>
      <w:pPr>
        <w:spacing w:after="200"/>
      </w:pPr>
      <w:r>
        <w:t xml:space="preserve">The proposed validation method consists of two stages. The first stage focuses on static property validation, confirming correct scaling of end-to-end distance and radius of gyration with chain length. The second stage validates dynamic properties including diffusion coefficients, mean square displacements, and relaxation times. Together, these stages establish that SURPASS-Alpha's Monte Carlo implementation correctly captures fundamental polymer physics.</w:t>
      </w:r>
    </w:p>
    <w:p>
      <w:pPr>
        <w:pStyle w:val="Heading2"/>
      </w:pPr>
      <w:r>
        <w:t xml:space="preserve">Stage 1 — Static Property Validation</w:t>
      </w:r>
    </w:p>
    <w:p>
      <w:pPr>
        <w:spacing w:after="200"/>
      </w:pPr>
      <w:r>
        <w:t xml:space="preserve">Following the Kuriata-Gront-Sikorski protocol [1], simulations will employ chain lengths N = 25, 50, 75, 100, 150, and 200 residues under athermal conditions (excluded volume interactions only). Initial conformations will be generated as self-avoiding off-lattice random walks that enforce excluded volume throughout the construction process. The excluded volume potential follows the form: Uij = E for rij ≤ dk and Uij = 0 for rij &gt; dk, where E is an arbitrary energy barrier, rij is the distance between the ith and jth polymer bead, and dk is the bead diameter.</w:t>
      </w:r>
    </w:p>
    <w:p>
      <w:pPr>
        <w:spacing w:after="200"/>
      </w:pPr>
      <w:r>
        <w:t xml:space="preserve">The key scaling laws for self-avoiding walk polymer chains are well-established [3, 6, 7]. The Flory exponent ν ≈ 0.588 for three-dimensional SAW chains has been determined with high precision through extensive Monte Carlo simulations and renormalization group calculations [8, 9]. Recent work by Schnabel (2023) using binary-tree Monte Carlo methods confirmed ν = 0.587604(8), providing strong support for universality [10]. The target relationships are: ⟨R²⟩ ~ N^(2ν) and ⟨Rg²⟩ ~ N^(2ν) with expected exponent 2ν ≈ 1.18.</w:t>
      </w:r>
    </w:p>
    <w:p>
      <w:pPr>
        <w:spacing w:after="200"/>
      </w:pPr>
      <w:r>
        <w:rPr>
          <w:b/>
          <w:bCs/>
        </w:rPr>
        <w:t xml:space="preserve">Implementation (Weeks 1-6):</w:t>
      </w:r>
      <w:r>
        <w:t xml:space="preserve"> Infrastructure setup includes implementing MSDObserver class for center-of-mass tracking, creating AthermalForceField configuration, and verifying single-bead displacement move implementation. Static simulations will run equilibration studies for each chain length, collect ⟨R²⟩ and ⟨Rg²⟩ statistics, generate scaling plots, and investigate l₀/d₀ ratio effects if scaling deviates from theoretical values.</w:t>
      </w:r>
    </w:p>
    <w:p>
      <w:pPr>
        <w:pStyle w:val="Heading2"/>
      </w:pPr>
      <w:r>
        <w:t xml:space="preserve">Stage 2 — Dynamic Property Validation</w:t>
      </w:r>
    </w:p>
    <w:p>
      <w:pPr>
        <w:spacing w:after="200"/>
      </w:pPr>
      <w:r>
        <w:t xml:space="preserve">The second stage validates dynamic properties against Rouse model predictions [2, 3]. The diffusion coefficient D will be calculated from the Einstein relation: D = ⟨(r(t) − r(0))²⟩/(6t). The longest relaxation time τR will be extracted by fitting the end-to-end vector autocorrelation function gR(t) = ⟨R(0)·R(t)⟩/⟨R²⟩ to an exponential decay: gR(t) ∝ exp(−t/τR).</w:t>
      </w:r>
    </w:p>
    <w:p>
      <w:pPr>
        <w:spacing w:after="200"/>
      </w:pPr>
      <w:r>
        <w:t xml:space="preserve">Target dynamic scaling laws include: diffusion coefficient D ~ N⁻¹ (exponent -1.0), center of mass MSD gCM(t) ~ t¹ (exponent 1.0), middle segment MSD g₁(t) ~ t^0.5 → t¹ transition, and relaxation time τR ~ N^2.2. These relationships are fundamental predictions of polymer dynamics theory that any correct Monte Carlo implementation must reproduce.</w:t>
      </w:r>
    </w:p>
    <w:p>
      <w:pPr>
        <w:spacing w:after="200"/>
      </w:pPr>
      <w:r>
        <w:rPr>
          <w:b/>
          <w:bCs/>
        </w:rPr>
        <w:t xml:space="preserve">Implementation (Weeks 7-10):</w:t>
      </w:r>
      <w:r>
        <w:t xml:space="preserve"> New observer classes will be developed including MiddleSegmentMSDObserver for g₁(t), AutocorrelationObserver for gR(t), DiffusionCoefficientCalculator, and RelaxationTimeEstimator. Extended trajectories will be run for MSD collection, ensuring sufficient statistics for both short-time and long-time regimes. Scaling analysis will employ log-log plots with linear regression to extract exponents, using block averaging for error estimation [17, 18].</w:t>
      </w:r>
    </w:p>
    <w:p>
      <w:pPr>
        <w:pStyle w:val="Heading1"/>
      </w:pPr>
      <w:r>
        <w:t xml:space="preserve">Paper Framing for a Q1 Journal</w:t>
      </w:r>
    </w:p>
    <w:p>
      <w:pPr>
        <w:spacing w:after="200"/>
      </w:pPr>
      <w:r>
        <w:t xml:space="preserve">The proposed approach is best presented as establishing rigorous validation protocols for coarse-grained protein simulation frameworks. The key idea is that before any coarse-grained model can claim validity for complex biomolecular systems, it must first correctly reproduce fundamental polymer behavior. A concise framing statement is: </w:t>
      </w:r>
      <w:r>
        <w:rPr>
          <w:i/>
          <w:iCs/>
        </w:rPr>
        <w:t xml:space="preserve">Systematic validation of coarse-grained Monte Carlo dynamics through polymer scaling law verification: establishing baseline correctness for protein folding simulations.</w:t>
      </w:r>
    </w:p>
    <w:p>
      <w:pPr>
        <w:pStyle w:val="Heading1"/>
      </w:pPr>
      <w:r>
        <w:t xml:space="preserve">Key Claims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Claim 1 — Correct static scaling: </w:t>
      </w:r>
      <w:r>
        <w:t xml:space="preserve">The SURPASS-Alpha framework reproduces the Flory exponent ν ≈ 0.588 for 3D self-avoiding walk chains, with static scaling exponent 2ν within ±5% of the theoretical value (1.18 ± 0.06), consistent with precision achieved in [8, 10]. This confirms that the excluded volume interactions and equilibrium sampling are implemented correctly.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Claim 2 — Correct dynamic scaling: </w:t>
      </w:r>
      <w:r>
        <w:t xml:space="preserve">The Monte Carlo dynamics engine produces diffusion coefficient scaling D ~ N⁻¹ within ±10% of theoretical predictions, as established by Rouse theory [2, 3]. MSD time exponents match theory: ~1.0 for center of mass, ~0.5→1.0 transition for middle segment. This validates that the move algorithms correctly sample configuration space with proper dynamics.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Claim 3 — Algorithm comparison: </w:t>
      </w:r>
      <w:r>
        <w:t xml:space="preserve">Direct comparison of SURPASS-Alpha's hinge moves versus single-bead displacement moves mirrors the backrub vs. Rouse comparison in [1], providing quantitative guidance for optimal parameter selection. The ratio l₀/d₀ (bond length to bead diameter) significantly affects scaling behavior and optimal values are documented for production simulations.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Claim 4 — Foundation for protein simulations: </w:t>
      </w:r>
      <w:r>
        <w:t xml:space="preserve">Successful validation establishes the infrastructure for subsequent development: Q2 REMC validation using the same polymer system [15, 16], Q3 addition of protein-specific force field terms including hydrogen bonds [20] and sequence-specific contacts [11, 12], and Q4 protein folding benchmarks on small test proteins [12, 21]. The observer infrastructure and regression test suite ensure future code modifications do not compromise validated behavior.</w:t>
      </w:r>
    </w:p>
    <w:p>
      <w:pPr>
        <w:pStyle w:val="Heading1"/>
      </w:pPr>
      <w:r>
        <w:t xml:space="preserve">Why This Concept Fits a Q1 Venue</w:t>
      </w:r>
    </w:p>
    <w:p>
      <w:pPr>
        <w:spacing w:after="200"/>
      </w:pPr>
      <w:r>
        <w:t xml:space="preserve">From a conceptual standpoint, the method demonstrates that rigorous validation against fundamental physics is essential before applying coarse-grained models to complex biomolecular systems. This addresses a critical gap in the field where many simulation frameworks lack systematic validation of their underlying dynamics engines.</w:t>
      </w:r>
    </w:p>
    <w:p>
      <w:pPr>
        <w:spacing w:after="200"/>
      </w:pPr>
      <w:r>
        <w:t xml:space="preserve">The experimental story is clean and supports a strong Q1-level manuscript. One can perform ablations comparing single-bead displacement moves to hinge/backrub moves, with systematic variation of the l₀/d₀ ratio. Benchmarks include direct comparison with Kuriata et al. [1] results, the Li-Madras-Sokal reference values [8], and recent Schnabel [10] high-precision measurements. Each ablation isolates the contribution of move type, acceptance criteria, and geometric parameters to the final scaling exponents.</w:t>
      </w:r>
    </w:p>
    <w:p>
      <w:pPr>
        <w:spacing w:after="200"/>
      </w:pPr>
      <w:r>
        <w:t xml:space="preserve">Finally, the method has strong synergy with existing tools. SURPASS-Alpha builds on the established SURPASS framework [11], and the validation methodology follows the elegant approach of [1]. The deliverables include not only a validated simulation engine but also new observer classes (MSDObserver, AutocorrelationObserver, DiffusionCoefficientCalculator, RelaxationTimeEstimator), benchmark datasets for regression testing, and documented parameter recommendations—all directly applicable to the broader coarse-grained simulation community.</w:t>
      </w:r>
    </w:p>
    <w:p>
      <w:pPr>
        <w:pStyle w:val="Heading1"/>
      </w:pPr>
      <w:r>
        <w:t xml:space="preserve">References</w:t>
      </w:r>
    </w:p>
    <w:p>
      <w:pPr>
        <w:spacing w:after="80"/>
      </w:pPr>
      <w:r>
        <w:t xml:space="preserve">[1] A. Kuriata, D. Gront, and A. Sikorski, "The Comparison of Monte Carlo Algorithms Applied for Off-Lattice Models of Polymer Chains," CMST, vol. 22, no. 4, pp. 179–185, 2016, doi: 10.12921/cmst.2016.0000052.</w:t>
      </w:r>
    </w:p>
    <w:p>
      <w:pPr>
        <w:spacing w:after="80"/>
      </w:pPr>
      <w:r>
        <w:t xml:space="preserve">[2] P. E. Rouse, "A Theory of the Linear Viscoelastic Properties of Dilute Solutions of Coiling Polymers," J. Chem. Phys., vol. 21, no. 7, pp. 1272–1280, 1953, doi: 10.1063/1.1699180.</w:t>
      </w:r>
    </w:p>
    <w:p>
      <w:pPr>
        <w:spacing w:after="80"/>
      </w:pPr>
      <w:r>
        <w:t xml:space="preserve">[3] I. Teraoka, Polymer Solutions: An Introduction to Physical Properties, Wiley-Interscience, New York, 2002.</w:t>
      </w:r>
    </w:p>
    <w:p>
      <w:pPr>
        <w:spacing w:after="80"/>
      </w:pPr>
      <w:r>
        <w:t xml:space="preserve">[4] I. W. Davis et al., "The backrub motion: how protein backbone shrugs when a sidechain dances," Structure, vol. 14, no. 2, pp. 265–274, 2006, doi: 10.1016/j.str.2005.10.007.</w:t>
      </w:r>
    </w:p>
    <w:p>
      <w:pPr>
        <w:spacing w:after="80"/>
      </w:pPr>
      <w:r>
        <w:t xml:space="preserve">[5] C. A. Smith and T. Kortemme, "Backrub-like backbone simulation recapitulates natural protein conformational variability," J. Mol. Biol., vol. 380, no. 4, pp. 742–756, 2008, doi: 10.1016/j.jmb.2008.05.023.</w:t>
      </w:r>
    </w:p>
    <w:p>
      <w:pPr>
        <w:spacing w:after="80"/>
      </w:pPr>
      <w:r>
        <w:t xml:space="preserve">[6] P. J. Flory, Principles of Polymer Chemistry, Cornell University Press, Ithaca, NY, 1953.</w:t>
      </w:r>
    </w:p>
    <w:p>
      <w:pPr>
        <w:spacing w:after="80"/>
      </w:pPr>
      <w:r>
        <w:t xml:space="preserve">[7] P.-G. de Gennes, Scaling Concepts in Polymer Physics, Cornell University Press, Ithaca, NY, 1979.</w:t>
      </w:r>
    </w:p>
    <w:p>
      <w:pPr>
        <w:spacing w:after="80"/>
      </w:pPr>
      <w:r>
        <w:t xml:space="preserve">[8] B. Li, N. Madras, and A. D. Sokal, "Critical exponents, hyperscaling, and universal amplitude ratios for two- and three-dimensional self-avoiding walks," J. Stat. Phys., vol. 80, no. 3–4, pp. 661–754, 1995, doi: 10.1007/BF02178552.</w:t>
      </w:r>
    </w:p>
    <w:p>
      <w:pPr>
        <w:spacing w:after="80"/>
      </w:pPr>
      <w:r>
        <w:t xml:space="preserve">[9] K. Binder, "Applications of Monte Carlo methods to statistical physics," Rep. Prog. Phys., vol. 60, no. 5, pp. 487–559, 1997, doi: 10.1088/0034-4885/60/5/001.</w:t>
      </w:r>
    </w:p>
    <w:p>
      <w:pPr>
        <w:spacing w:after="80"/>
      </w:pPr>
      <w:r>
        <w:t xml:space="preserve">[10] S. Schnabel, "Monte Carlo Simulation of Long Hard-Sphere Polymer Chains in Two to Five Dimensions," Macromol. Theory Simul., vol. 32, no. 3, p. 2200080, 2023, doi: 10.1002/mats.202200080.</w:t>
      </w:r>
    </w:p>
    <w:p>
      <w:pPr>
        <w:spacing w:after="80"/>
      </w:pPr>
      <w:r>
        <w:t xml:space="preserve">[11] A. E. Dawid, D. Gront, and A. Kolinski, "SURPASS Low-Resolution Coarse-Grained Protein Modeling," J. Chem. Theory Comput., vol. 13, no. 11, pp. 5766–5779, 2017, doi: 10.1021/acs.jctc.7b00642.</w:t>
      </w:r>
    </w:p>
    <w:p>
      <w:pPr>
        <w:spacing w:after="80"/>
      </w:pPr>
      <w:r>
        <w:t xml:space="preserve">[12] S. Kmiecik et al., "Coarse-Grained Protein Models and Their Applications," Chem. Rev., vol. 116, no. 14, pp. 7898–7936, 2016, doi: 10.1021/acs.chemrev.6b00163.</w:t>
      </w:r>
    </w:p>
    <w:p>
      <w:pPr>
        <w:spacing w:after="80"/>
      </w:pPr>
      <w:r>
        <w:t xml:space="preserve">[13] C. F. Abrams and K. Kremer, "The effect of bond length on the structure of dense bead-spring polymer melts," J. Chem. Phys., vol. 115, no. 6, pp. 2776–2785, 2001, doi: 10.1063/1.1385791.</w:t>
      </w:r>
    </w:p>
    <w:p>
      <w:pPr>
        <w:spacing w:after="80"/>
      </w:pPr>
      <w:r>
        <w:t xml:space="preserve">[14] C. F. Abrams and K. Kremer, "Effects of excluded volume and bond length on the dynamics of dense bead-spring polymer melts," J. Chem. Phys., vol. 116, no. 8, pp. 3162–3165, 2002, doi: 10.1063/1.1445107.</w:t>
      </w:r>
    </w:p>
    <w:p>
      <w:pPr>
        <w:spacing w:after="80"/>
      </w:pPr>
      <w:r>
        <w:t xml:space="preserve">[15] C. J. Geyer, "Markov chain Monte Carlo maximum likelihood," in Computing Science and Statistics: Proceedings of the 23rd Symposium on the Interface, pp. 156–163, 1991.</w:t>
      </w:r>
    </w:p>
    <w:p>
      <w:pPr>
        <w:spacing w:after="80"/>
      </w:pPr>
      <w:r>
        <w:t xml:space="preserve">[16] A. Kolinski, "Protein modeling and structure prediction with a reduced representation," Acta Biochim. Pol., vol. 51, no. 2, pp. 349–371, 2004.</w:t>
      </w:r>
    </w:p>
    <w:p>
      <w:pPr>
        <w:spacing w:after="80"/>
      </w:pPr>
      <w:r>
        <w:t xml:space="preserve">[17] D. P. Landau and K. Binder, A Guide to Monte Carlo Simulations in Statistical Physics, 3rd ed., Cambridge University Press, 2009.</w:t>
      </w:r>
    </w:p>
    <w:p>
      <w:pPr>
        <w:spacing w:after="80"/>
      </w:pPr>
      <w:r>
        <w:t xml:space="preserve">[18] K. Kremer and G. S. Grest, "Dynamics of entangled linear polymer melts: A molecular-dynamics simulation," J. Chem. Phys., vol. 92, no. 8, pp. 5057–5086, 1990, doi: 10.1063/1.458541.</w:t>
      </w:r>
    </w:p>
    <w:p>
      <w:pPr>
        <w:spacing w:after="80"/>
      </w:pPr>
      <w:r>
        <w:t xml:space="preserve">[19] L. Harnau, R. G. Winkler, and P. Reineker, "On the dynamics of polymer melts: Contribution of Rouse and bending modes," Europhys. Lett., vol. 45, no. 4, pp. 488–494, 1999, doi: 10.1209/epl/i1999-00193-6.</w:t>
      </w:r>
    </w:p>
    <w:p>
      <w:pPr>
        <w:spacing w:after="80"/>
      </w:pPr>
      <w:r>
        <w:t xml:space="preserve">[20] J. D. Kryś and D. Gront, "Hydrogen bond modeling in SURPASS coarse-grained representation of proteins," J. Mol. Model., vol. 29, p. 208, 2023, doi: 10.1007/s00894-023-05609-1.</w:t>
      </w:r>
    </w:p>
    <w:p>
      <w:pPr>
        <w:spacing w:after="80"/>
      </w:pPr>
      <w:r>
        <w:t xml:space="preserve">[21] M. Betancourt, "Efficient Monte Carlo trial moves for polypeptide simulations," J. Chem. Phys., vol. 123, no. 17, p. 174905, 2005, doi: 10.1063/1.2102869.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i/>
      <w:i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2025-12-24T22:13:14.655Z</dcterms:created>
  <dcterms:modified xsi:type="dcterms:W3CDTF">2025-12-24T22:13:14.655Z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