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Rouse Codebase Verification Checklist</w:t>
      </w:r>
    </w:p>
    <w:p>
      <w:r>
        <w:rPr>
          <w:sz w:val="20"/>
        </w:rPr>
        <w:t>surpass-alpha Coarse-Grained Framework  |  Rouse (1953) &amp; Kuriata et al. (2016)</w:t>
      </w:r>
    </w:p>
    <w:p>
      <w:r>
        <w:rPr>
          <w:sz w:val="20"/>
        </w:rPr>
        <w:t>71 items total  |  6 Kuriata-validated  |  9 Rouse-only  |  2 Model inputs  |  54 Infrastructure</w:t>
      </w:r>
    </w:p>
    <w:p>
      <w:r>
        <w:rPr>
          <w:b/>
          <w:sz w:val="22"/>
        </w:rPr>
        <w:t>Annotation Key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[Kuriata] — Validated by Kuriata et al. (2016)</w:t>
            </w:r>
          </w:p>
        </w:tc>
        <w:tc>
          <w:tcPr>
            <w:tcW w:type="dxa" w:w="2160"/>
          </w:tcPr>
          <w:p>
            <w:r>
              <w:t>[Rouse only] — Rouse (1953), not in Kuriata</w:t>
            </w:r>
          </w:p>
        </w:tc>
        <w:tc>
          <w:tcPr>
            <w:tcW w:type="dxa" w:w="2160"/>
          </w:tcPr>
          <w:p>
            <w:r>
              <w:t>[Model input] — Assumed construction choice</w:t>
            </w:r>
          </w:p>
        </w:tc>
        <w:tc>
          <w:tcPr>
            <w:tcW w:type="dxa" w:w="2160"/>
          </w:tcPr>
          <w:p>
            <w:r>
              <w:t>(no badge) — Infrastructure/correctness</w:t>
            </w:r>
          </w:p>
        </w:tc>
      </w:tr>
    </w:tbl>
    <w:p/>
    <w:p>
      <w:r>
        <w:rPr>
          <w:b/>
          <w:sz w:val="26"/>
        </w:rPr>
        <w:t>1.  Architecture &amp; Configuration</w:t>
      </w:r>
    </w:p>
    <w:p>
      <w:r>
        <w:rPr>
          <w:sz w:val="20"/>
        </w:rPr>
        <w:t>1.  Segmented multistep MC algorithm only (no other MC variants)</w:t>
      </w:r>
    </w:p>
    <w:p>
      <w:r>
        <w:rPr>
          <w:sz w:val="20"/>
        </w:rPr>
        <w:t>2.  multistep_size (batch size for parallel proposals) and segment_size (residue count per segment) are independently configurable and correctly used</w:t>
      </w:r>
    </w:p>
    <w:p>
      <w:r>
        <w:rPr>
          <w:sz w:val="20"/>
        </w:rPr>
        <w:t>3.  Three simulation modes supported: Serial CPU, Multithreaded CPU, Multithreaded GPU</w:t>
      </w:r>
    </w:p>
    <w:p>
      <w:r>
        <w:rPr>
          <w:sz w:val="20"/>
        </w:rPr>
        <w:t>4.  Results are deterministic given the same seed, device, and mode; set_all_seeds covers numpy, torch, and Python random</w:t>
      </w:r>
    </w:p>
    <w:p>
      <w:r>
        <w:rPr>
          <w:b/>
          <w:sz w:val="26"/>
        </w:rPr>
        <w:t>2.  Initialization &amp; Setup</w:t>
      </w:r>
    </w:p>
    <w:p>
      <w:r>
        <w:rPr>
          <w:sz w:val="20"/>
        </w:rPr>
        <w:t>5.  Random walk initialization (self-avoiding off-lattice) used for all chain lengths (serpentine grid not used in production runs)</w:t>
      </w:r>
    </w:p>
    <w:p>
      <w:r>
        <w:rPr>
          <w:sz w:val="20"/>
        </w:rPr>
        <w:t>6.  Box size correctly computed from volume fraction for each (N, phi) state point using L_box = sigma * (N_chains * N / phi)^(1/3); derivation documented for all 30 state points</w:t>
      </w:r>
    </w:p>
    <w:p>
      <w:r>
        <w:rPr>
          <w:sz w:val="20"/>
        </w:rPr>
        <w:t>7.  Volume fraction tested across a density progression: phi = 0.001 (effectively dilute), 0.01, 0.05, 0.10, 0.20, 0.30 for all N in {25, 50, 100, 250, 500} — giving a 5x6 = 30 state-point simulation matrix</w:t>
      </w:r>
    </w:p>
    <w:p>
      <w:r>
        <w:rPr>
          <w:sz w:val="20"/>
        </w:rPr>
        <w:t>8.  Volume fraction remains physically reasonable across all (N, phi) combinations (no chain overlap at initialization)</w:t>
      </w:r>
    </w:p>
    <w:p>
      <w:r>
        <w:rPr>
          <w:b/>
          <w:sz w:val="26"/>
        </w:rPr>
        <w:t>3.  Periodic Boundary Conditions &amp; Geometry</w:t>
      </w:r>
    </w:p>
    <w:p>
      <w:r>
        <w:rPr>
          <w:sz w:val="20"/>
        </w:rPr>
        <w:t>9.  NumberSpace used for PBC/MIC in both batched and non-batched modes</w:t>
      </w:r>
    </w:p>
    <w:p>
      <w:r>
        <w:rPr>
          <w:sz w:val="20"/>
        </w:rPr>
        <w:t>10.  Chain unwrapping (unwrap_chains via bond vectors + cumsum) gives correct end-to-end distances across periodic boundaries</w:t>
      </w:r>
    </w:p>
    <w:p>
      <w:r>
        <w:rPr>
          <w:sz w:val="20"/>
        </w:rPr>
        <w:t>11.  Anchor-relative unwrapping (unwrap_chain_from_anchor) is consistent with full sequential unwrapping</w:t>
      </w:r>
    </w:p>
    <w:p>
      <w:r>
        <w:rPr>
          <w:sz w:val="20"/>
        </w:rPr>
        <w:t>12.  Cell-list grid indices respect PBC (27-neighbor offsets with periodic wrapping)</w:t>
      </w:r>
    </w:p>
    <w:p>
      <w:r>
        <w:rPr>
          <w:b/>
          <w:sz w:val="26"/>
        </w:rPr>
        <w:t>4.  Model Potentials</w:t>
      </w:r>
    </w:p>
    <w:p>
      <w:r>
        <w:rPr>
          <w:sz w:val="20"/>
        </w:rPr>
        <w:t>13.  [Model input]  Harmonic bond potential U_ij^S = k(l_ij - l0)^2 with l0 = 5.7 A (= 1.5 x sigma, sigma = 3.8 A, l0/d0 = 1.5 chosen by Mohammad Nazmul Saqib) correctly implemented; no bond broken during or after simulation; l0/d0 = 1.5 verified against Kuriata Fig. 3 to confirm SAW scaling regime yielding 2nu ~ 1.20</w:t>
      </w:r>
    </w:p>
    <w:p>
      <w:r>
        <w:rPr>
          <w:sz w:val="20"/>
        </w:rPr>
        <w:t>14.  [Model input]  Athermal excluded-volume potential: U_ij = 1e6 for r_ij &lt;= sigma, U_ij = contact for sigma &lt;= r &lt; 2*sigma, U_ij = 0 for r &gt;= 2*sigma; contactEnergy = 0 (purely repulsive / athermal). The excluded volume energy E is effectively INFINITE — any move violating excluded volume is ALWAYS rejected. Temperature does NOT appear as a simulation parameter; the Boltzmann accept/reject criterion reduces to: accept if no overlap, reject if overlap.</w:t>
      </w:r>
    </w:p>
    <w:p>
      <w:r>
        <w:rPr>
          <w:sz w:val="20"/>
        </w:rPr>
        <w:t>15.  RepulsiveEnergy = 1e6 verified to be effectively infinite: no overlapping configuration is ever accepted in a test run. Verification documented.</w:t>
      </w:r>
    </w:p>
    <w:p>
      <w:r>
        <w:rPr>
          <w:b/>
          <w:sz w:val="26"/>
        </w:rPr>
        <w:t>5.  Energy Calculation</w:t>
      </w:r>
    </w:p>
    <w:p>
      <w:r>
        <w:rPr>
          <w:sz w:val="20"/>
        </w:rPr>
        <w:t>16.  Matrix-based energy calculation used inside the segmented multistep MC algorithm</w:t>
      </w:r>
    </w:p>
    <w:p>
      <w:r>
        <w:rPr>
          <w:sz w:val="20"/>
        </w:rPr>
        <w:t>17.  Cell-list neighbor gathering produces the same deltaE as brute-force all-pairs computation</w:t>
      </w:r>
    </w:p>
    <w:p>
      <w:r>
        <w:rPr>
          <w:sz w:val="20"/>
        </w:rPr>
        <w:t>18.  Rank-1 energy correction in multistep MC (E11 - E01 - E10 + E00) matches recomputed full deltaE</w:t>
      </w:r>
    </w:p>
    <w:p>
      <w:r>
        <w:rPr>
          <w:sz w:val="20"/>
        </w:rPr>
        <w:t>19.  FP32 GPU energy kernels agree with FP64 CPU results within acceptable tolerance</w:t>
      </w:r>
    </w:p>
    <w:p>
      <w:r>
        <w:rPr>
          <w:sz w:val="20"/>
        </w:rPr>
        <w:t>20.  Cell list rebuilt between batches so accepted moves are reflected in neighbor lookups</w:t>
      </w:r>
    </w:p>
    <w:p>
      <w:r>
        <w:rPr>
          <w:b/>
          <w:sz w:val="26"/>
        </w:rPr>
        <w:t>6.  MC Moves</w:t>
      </w:r>
    </w:p>
    <w:p>
      <w:r>
        <w:rPr>
          <w:sz w:val="20"/>
        </w:rPr>
        <w:t>21.  Hinge move rotates only the interior segment [seg_start, seg_end) while anchor beads remain fixed</w:t>
      </w:r>
    </w:p>
    <w:p>
      <w:r>
        <w:rPr>
          <w:sz w:val="20"/>
        </w:rPr>
        <w:t>22.  C-terminal tail, N-terminal tail, and pivot moves all implemented; pivot selects N- vs C-terminal half with equal probability (50/50)</w:t>
      </w:r>
    </w:p>
    <w:p>
      <w:r>
        <w:rPr>
          <w:sz w:val="20"/>
        </w:rPr>
        <w:t>23.  Rodrigues rotation matrix is orthogonal (R*R^T = I) and preserves bond lengths exactly</w:t>
      </w:r>
    </w:p>
    <w:p>
      <w:r>
        <w:rPr>
          <w:sz w:val="20"/>
        </w:rPr>
        <w:t>24.  Random SO(3) matrices (Marsaglia method) produce uniform rotational sampling</w:t>
      </w:r>
    </w:p>
    <w:p>
      <w:r>
        <w:rPr>
          <w:sz w:val="20"/>
        </w:rPr>
        <w:t>25.  Degenerate rotation axes (length &lt; 1e-7) handled gracefully with fallback to orthogonal axis</w:t>
      </w:r>
    </w:p>
    <w:p>
      <w:r>
        <w:rPr>
          <w:b/>
          <w:sz w:val="26"/>
        </w:rPr>
        <w:t>7.  Metropolis Acceptance</w:t>
      </w:r>
    </w:p>
    <w:p>
      <w:r>
        <w:rPr>
          <w:sz w:val="20"/>
        </w:rPr>
        <w:t>26.  Metropolis criterion handles overflow correctly (exp bounds clamped to [-745, 709])</w:t>
      </w:r>
    </w:p>
    <w:p>
      <w:r>
        <w:rPr>
          <w:sz w:val="20"/>
        </w:rPr>
        <w:t>27.  deltaE = 0 moves are always accepted</w:t>
      </w:r>
    </w:p>
    <w:p>
      <w:r>
        <w:rPr>
          <w:sz w:val="20"/>
        </w:rPr>
        <w:t>28.  Acceptance rates tracked separately per move type (hinge, N-tail, C-tail, pivot)</w:t>
      </w:r>
    </w:p>
    <w:p>
      <w:r>
        <w:rPr>
          <w:b/>
          <w:sz w:val="26"/>
        </w:rPr>
        <w:t>8.  Batch &amp; GPU Path</w:t>
      </w:r>
    </w:p>
    <w:p>
      <w:r>
        <w:rPr>
          <w:sz w:val="20"/>
        </w:rPr>
        <w:t>29.  GPU acceleration and batch processing enabled</w:t>
      </w:r>
    </w:p>
    <w:p>
      <w:r>
        <w:rPr>
          <w:sz w:val="20"/>
        </w:rPr>
        <w:t>30.  BatchProposal padding masks correctly exclude padded beads from energy computation</w:t>
      </w:r>
    </w:p>
    <w:p>
      <w:r>
        <w:rPr>
          <w:sz w:val="20"/>
        </w:rPr>
        <w:t>31.  Self-interaction masking in batched deltaE kernel prevents a bead from interacting with itself</w:t>
      </w:r>
    </w:p>
    <w:p>
      <w:r>
        <w:rPr>
          <w:sz w:val="20"/>
        </w:rPr>
        <w:t>32.  RandPool pre-generation eliminates per-call GPU-to-CPU sync overhead and refills correctly</w:t>
      </w:r>
    </w:p>
    <w:p>
      <w:r>
        <w:rPr>
          <w:sz w:val="20"/>
        </w:rPr>
        <w:t>33.  torch.compile-fused kernels produce identical results to the unfused reference</w:t>
      </w:r>
    </w:p>
    <w:p>
      <w:r>
        <w:rPr>
          <w:b/>
          <w:sz w:val="26"/>
        </w:rPr>
        <w:t>9.  Fast CPU/Numba Path</w:t>
      </w:r>
    </w:p>
    <w:p>
      <w:r>
        <w:rPr>
          <w:sz w:val="20"/>
        </w:rPr>
        <w:t>34.  Numba JIT (fast_energy.py, fast_sweep.py) produces identical results to the PyTorch path for the same RNG seed</w:t>
      </w:r>
    </w:p>
    <w:p>
      <w:r>
        <w:rPr>
          <w:sz w:val="20"/>
        </w:rPr>
        <w:t>35.  FastRouseSimulation and RouseSimulation give statistically consistent observables</w:t>
      </w:r>
    </w:p>
    <w:p>
      <w:r>
        <w:rPr>
          <w:sz w:val="20"/>
        </w:rPr>
        <w:t>36.  _sync_torch_from_numpy() correctly transfers positions when switching between numpy and torch</w:t>
      </w:r>
    </w:p>
    <w:p>
      <w:r>
        <w:rPr>
          <w:b/>
          <w:sz w:val="26"/>
        </w:rPr>
        <w:t>10.  Segment Handling</w:t>
      </w:r>
    </w:p>
    <w:p>
      <w:r>
        <w:rPr>
          <w:sz w:val="20"/>
        </w:rPr>
        <w:t>37.  Segment types (N_TERMINAL, C_TERMINAL, INNER, BOTH) assigned correctly based on chain length and segment size</w:t>
      </w:r>
    </w:p>
    <w:p>
      <w:r>
        <w:rPr>
          <w:sz w:val="20"/>
        </w:rPr>
        <w:t>38.  Segment shuffling between batches ensures ergodic sampling of all chain regions</w:t>
      </w:r>
    </w:p>
    <w:p>
      <w:r>
        <w:rPr>
          <w:sz w:val="20"/>
        </w:rPr>
        <w:t>39.  Short chains (N=25) with segment_size=20 produce valid segment decomposition</w:t>
      </w:r>
    </w:p>
    <w:p>
      <w:r>
        <w:rPr>
          <w:sz w:val="20"/>
        </w:rPr>
        <w:t>40.  Single-bead segments, full-chain segments, and empty proposals (n_moved=0) handled without index errors</w:t>
      </w:r>
    </w:p>
    <w:p>
      <w:r>
        <w:rPr>
          <w:b/>
          <w:sz w:val="26"/>
        </w:rPr>
        <w:t>11.  Static Properties — Observables</w:t>
      </w:r>
    </w:p>
    <w:p>
      <w:r>
        <w:rPr>
          <w:sz w:val="20"/>
        </w:rPr>
        <w:t>41.  [Rouse only]  Bond-vector distributions are Gaussian: psi(x,y,z) ~ exp[-beta(x^2+y^2+z^2)] with beta = 3/(2*sigma^2); verify per-axis histograms of bond vectors fit this form</w:t>
      </w:r>
    </w:p>
    <w:p>
      <w:r>
        <w:rPr>
          <w:sz w:val="20"/>
        </w:rPr>
        <w:t>42.  [Kuriata]  &lt;R^2&gt; ~ N^(2nu) with 2nu ~ 1.18 (theory); target measured exponent 2nu ~ 1.20 consistent with Kuriata; at phi=0.001 (dilute baseline) 2nu must be within [1.15, 1.25] with R^2 &gt;= 0.99</w:t>
      </w:r>
    </w:p>
    <w:p>
      <w:r>
        <w:rPr>
          <w:sz w:val="20"/>
        </w:rPr>
        <w:t>43.  [Kuriata]  &lt;Rg^2&gt; ~ N^(2nu) with same exponent as &lt;R^2&gt;; target 2nu ~ 1.20; at phi=0.001 must be within [1.15, 1.25] with R^2 &gt;= 0.99</w:t>
      </w:r>
    </w:p>
    <w:p>
      <w:r>
        <w:rPr>
          <w:sz w:val="20"/>
        </w:rPr>
        <w:t>44.  [Rouse only]  &lt;R^2&gt; / &lt;Rg^2&gt; ~ 6.25 (3D SAW); Kuriata does not report this ratio — surpass-alpha validates independently</w:t>
      </w:r>
    </w:p>
    <w:p>
      <w:r>
        <w:rPr>
          <w:sz w:val="20"/>
        </w:rPr>
        <w:t>45.  [Rouse only]  Full-chain configuration probability Psi ~ exp[-beta Sum_j (x_j^2+y_j^2+z_j^2)] is consistent with independent Gaussian submolecules; verify via per-bead displacement distributions</w:t>
      </w:r>
    </w:p>
    <w:p>
      <w:r>
        <w:rPr>
          <w:sz w:val="20"/>
        </w:rPr>
        <w:t>46.  Cross-phi static analysis: plot 2nu (from R^2) vs phi — how does scaling exponent change with density? Mark Kuriata target (2nu = 1.20) as reference line. Plot &lt;R^2&gt;/&lt;Rg^2&gt; ratio vs phi for all N overlaid.</w:t>
      </w:r>
    </w:p>
    <w:p>
      <w:r>
        <w:rPr>
          <w:b/>
          <w:sz w:val="26"/>
        </w:rPr>
        <w:t>12.  Dynamic Properties — Observables</w:t>
      </w:r>
    </w:p>
    <w:p>
      <w:r>
        <w:rPr>
          <w:sz w:val="20"/>
        </w:rPr>
        <w:t>47.  [Rouse only]  Rouse matrix eigenvalues lambda_p = 4 sin^2[p*pi/(2(N+1))] recoverable from normal mode analysis of simulated trajectories</w:t>
      </w:r>
    </w:p>
    <w:p>
      <w:r>
        <w:rPr>
          <w:sz w:val="20"/>
        </w:rPr>
        <w:t>48.  [Rouse only]  Per-mode relaxation times tau_p (exact formula) extracted from normal mode autocorrelations; verify tau_p ~ sin^-2[p*pi/(2(N+1))]</w:t>
      </w:r>
    </w:p>
    <w:p>
      <w:r>
        <w:rPr>
          <w:sz w:val="20"/>
        </w:rPr>
        <w:t>49.  [Rouse only]  Long-wavelength approximation tau_p ~ sigma^2*N^2/(6*pi^2*p^2*B*kT) holds for p &lt;&lt; N</w:t>
      </w:r>
    </w:p>
    <w:p>
      <w:r>
        <w:rPr>
          <w:sz w:val="20"/>
        </w:rPr>
        <w:t>50.  [Kuriata]  Longest relaxation time tau_R ~ N^(1+2nu); target exponent ~ 2.18 (theory); Kuriata measured 2.13 (backrub) and 2.30 (bead-spring); at phi=0.001 exponent must be within [2.0, 2.4] with R^2 &gt;= 0.99</w:t>
      </w:r>
    </w:p>
    <w:p>
      <w:r>
        <w:rPr>
          <w:sz w:val="20"/>
        </w:rPr>
        <w:t>51.  [Rouse only]  Steady-flow viscosity eta_0 computed from mode sum; scales as eta_0 - eta_s ~ N</w:t>
      </w:r>
    </w:p>
    <w:p>
      <w:r>
        <w:rPr>
          <w:sz w:val="20"/>
        </w:rPr>
        <w:t>52.  [Rouse only]  Complex viscosity components eta_1(omega) and eta_2(omega) computed from Sum_p tau_p/(1+omega^2*tau_p^2) and Sum_p omega*tau_p^2/(1+omega^2*tau_p^2)</w:t>
      </w:r>
    </w:p>
    <w:p>
      <w:r>
        <w:rPr>
          <w:sz w:val="20"/>
        </w:rPr>
        <w:t>53.  [Rouse only]  Storage modulus G_1(omega) and loss modulus G_2(omega) consistent with G* = i*omega*eta*</w:t>
      </w:r>
    </w:p>
    <w:p>
      <w:r>
        <w:rPr>
          <w:sz w:val="20"/>
        </w:rPr>
        <w:t>54.  [Rouse only]  High-frequency approximations for eta_1 and G_1 hold in the regime 2 &lt; omega*tau_1 &lt; N^2/250</w:t>
      </w:r>
    </w:p>
    <w:p>
      <w:r>
        <w:rPr>
          <w:sz w:val="20"/>
        </w:rPr>
        <w:t>55.  [Kuriata]  Diffusion coefficient D ~ N^-1; target exponent -1.00; Kuriata measured -1.00 (backrub), -1.01 (bead-spring); at phi=0.001 exponent must be within [-1.05, -0.95] with R^2 &gt;= 0.99</w:t>
      </w:r>
    </w:p>
    <w:p>
      <w:r>
        <w:rPr>
          <w:sz w:val="20"/>
        </w:rPr>
        <w:t>56.  [Kuriata]  g_CM(t) ~ t^1 (Fickian diffusion); target exponent 1.00; Kuriata measured 1.00 (backrub), 0.95 (bead-spring); at phi=0.001 exponent must be within [0.95, 1.05] for all N</w:t>
      </w:r>
    </w:p>
    <w:p>
      <w:r>
        <w:rPr>
          <w:sz w:val="20"/>
        </w:rPr>
        <w:t>57.  [Kuriata]  g_1(t) ~ t^0.5 for t &lt; tau_R, crossing over to ~ t^1 for t &gt;= tau_R; target short-time exponent ~ 0.50; Kuriata measured 0.57 (backrub), 0.60 (bead-spring); at phi=0.001 short-time in [0.50, 0.70] and long-time in [0.95, 1.05]</w:t>
      </w:r>
    </w:p>
    <w:p>
      <w:r>
        <w:rPr>
          <w:sz w:val="20"/>
        </w:rPr>
        <w:t>58.  [Kuriata]  End-to-end vector autocorrelation g_R(t) ~ exp(-t/tau_R); tau_R extracted at g_R = 1/e</w:t>
      </w:r>
    </w:p>
    <w:p>
      <w:r>
        <w:rPr>
          <w:sz w:val="20"/>
        </w:rPr>
        <w:t>59.  Cross-phi dynamic analysis: plot D exponent vs phi, tau_R exponent vs phi, g1 short-time exponent vs phi. Show how D ~ N^-1 breaks down as phi increases. Mark theoretical reference lines.</w:t>
      </w:r>
    </w:p>
    <w:p>
      <w:r>
        <w:rPr>
          <w:b/>
          <w:sz w:val="26"/>
        </w:rPr>
        <w:t>13.  Equilibration &amp; Convergence</w:t>
      </w:r>
    </w:p>
    <w:p>
      <w:r>
        <w:rPr>
          <w:sz w:val="20"/>
        </w:rPr>
        <w:t>60.  &lt;R^2&gt; and &lt;Rg^2&gt; plateau during equilibration (static_vs_sweep tracking confirms convergence)</w:t>
      </w:r>
    </w:p>
    <w:p>
      <w:r>
        <w:rPr>
          <w:sz w:val="20"/>
        </w:rPr>
        <w:t>61.  Equilibration completes within 10,000 sweeps for all N in {25, 50, 100, 250, 500} at ALL phi levels</w:t>
      </w:r>
    </w:p>
    <w:p>
      <w:r>
        <w:rPr>
          <w:sz w:val="20"/>
        </w:rPr>
        <w:t>62.  Production-phase observables sampled only after equilibration is complete</w:t>
      </w:r>
    </w:p>
    <w:p>
      <w:r>
        <w:rPr>
          <w:sz w:val="20"/>
        </w:rPr>
        <w:t>63.  Dynamic accumulator correctly stores time-lagged reference snapshots at sample_interval</w:t>
      </w:r>
    </w:p>
    <w:p>
      <w:r>
        <w:rPr>
          <w:b/>
          <w:sz w:val="26"/>
        </w:rPr>
        <w:t>14.  Rouse Compliance Map &amp; phi* Analysis</w:t>
      </w:r>
    </w:p>
    <w:p>
      <w:r>
        <w:rPr>
          <w:sz w:val="20"/>
        </w:rPr>
        <w:t>64.  For every Rouse property in [REF-1] and [REF-2], at every phi level: assign PASS/FAIL using defined success criteria thresholds</w:t>
      </w:r>
    </w:p>
    <w:p>
      <w:r>
        <w:rPr>
          <w:sz w:val="20"/>
        </w:rPr>
        <w:t>65.  Produce a 2D compliance heatmap: rows = Rouse properties, columns = phi levels. Cells = PASS (green) / FAIL (red) / MARGINAL (yellow, within 15% of threshold)</w:t>
      </w:r>
    </w:p>
    <w:p>
      <w:r>
        <w:rPr>
          <w:sz w:val="20"/>
        </w:rPr>
        <w:t>66.  Identify the critical phi* above which each Rouse property begins to fail. Document phi* for every property.</w:t>
      </w:r>
    </w:p>
    <w:p>
      <w:r>
        <w:rPr>
          <w:b/>
          <w:sz w:val="26"/>
        </w:rPr>
        <w:t>15.  Output &amp; Validation Artifacts</w:t>
      </w:r>
    </w:p>
    <w:p>
      <w:r>
        <w:rPr>
          <w:sz w:val="20"/>
        </w:rPr>
        <w:t>67.  TSV files produced per (N, phi) state point: fig1_static, fig2_seg_msd, fig3_cm_diffusion, fig4_autocorr, static_vs_sweep — organized under 05_data/phi_{phi}/N{N}/</w:t>
      </w:r>
    </w:p>
    <w:p>
      <w:r>
        <w:rPr>
          <w:sz w:val="20"/>
        </w:rPr>
        <w:t>68.  Plots produced per property (see directory structure): per-phi cross-N scaling plots, cross-phi analysis plots, per-state-point plots, equilibration evidence plots</w:t>
      </w:r>
    </w:p>
    <w:p>
      <w:r>
        <w:rPr>
          <w:sz w:val="20"/>
        </w:rPr>
        <w:t>69.  tavg_validation_summary.json produced with aggregated metrics, pass/fail flags, measured exponents, and phi* values for all measurable properties at all phi levels</w:t>
      </w:r>
    </w:p>
    <w:p>
      <w:r>
        <w:rPr>
          <w:sz w:val="20"/>
        </w:rPr>
        <w:t>70.  Directory structure matches specification with phi-organized subdirectories under 03_per_state_point/, 04_equilibration_evidence/, and 05_data/</w:t>
      </w:r>
    </w:p>
    <w:p>
      <w:r>
        <w:rPr>
          <w:sz w:val="20"/>
        </w:rPr>
        <w:t>71.  Power-law fits on all scaling plots include R^2 goodness-of-fit annotations; every plot has title, axis labels with units, legend, and Kuriata 2016 target values as reference lines</w:t>
      </w:r>
    </w:p>
    <w:p/>
    <w:p>
      <w:r>
        <w:rPr>
          <w:b/>
          <w:sz w:val="22"/>
        </w:rPr>
        <w:t>Kuriata et al. (2016) — Measured vs Theoretical Exponents</w:t>
      </w:r>
    </w:p>
    <w:p>
      <w:r>
        <w:rPr>
          <w:sz w:val="20"/>
        </w:rPr>
        <w:t>Reference table for pass/fail criteria when validating surpass-alpha against the literature.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Property</w:t>
            </w:r>
          </w:p>
        </w:tc>
        <w:tc>
          <w:tcPr>
            <w:tcW w:type="dxa" w:w="2160"/>
          </w:tcPr>
          <w:p>
            <w:r>
              <w:t>Theory</w:t>
            </w:r>
          </w:p>
        </w:tc>
        <w:tc>
          <w:tcPr>
            <w:tcW w:type="dxa" w:w="2160"/>
          </w:tcPr>
          <w:p>
            <w:r>
              <w:t>Backrub Model</w:t>
            </w:r>
          </w:p>
        </w:tc>
        <w:tc>
          <w:tcPr>
            <w:tcW w:type="dxa" w:w="2160"/>
          </w:tcPr>
          <w:p>
            <w:r>
              <w:t>Rouse Bead-Spring</w:t>
            </w:r>
          </w:p>
        </w:tc>
      </w:tr>
      <w:tr>
        <w:tc>
          <w:tcPr>
            <w:tcW w:type="dxa" w:w="2160"/>
          </w:tcPr>
          <w:p>
            <w:r>
              <w:t>&lt;R^2&gt;, &lt;Rg^2&gt;  (2nu)</w:t>
            </w:r>
          </w:p>
        </w:tc>
        <w:tc>
          <w:tcPr>
            <w:tcW w:type="dxa" w:w="2160"/>
          </w:tcPr>
          <w:p>
            <w:r>
              <w:t>~1.18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</w:tr>
      <w:tr>
        <w:tc>
          <w:tcPr>
            <w:tcW w:type="dxa" w:w="2160"/>
          </w:tcPr>
          <w:p>
            <w:r>
              <w:t>g_CM(t) exponent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</w:tr>
      <w:tr>
        <w:tc>
          <w:tcPr>
            <w:tcW w:type="dxa" w:w="2160"/>
          </w:tcPr>
          <w:p>
            <w:r>
              <w:t>g_1(t) short-time exponent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0.57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  <w:tr>
        <w:tc>
          <w:tcPr>
            <w:tcW w:type="dxa" w:w="2160"/>
          </w:tcPr>
          <w:p>
            <w:r>
              <w:t>D exponent</w:t>
            </w:r>
          </w:p>
        </w:tc>
        <w:tc>
          <w:tcPr>
            <w:tcW w:type="dxa" w:w="2160"/>
          </w:tcPr>
          <w:p>
            <w:r>
              <w:t>-1.00</w:t>
            </w:r>
          </w:p>
        </w:tc>
        <w:tc>
          <w:tcPr>
            <w:tcW w:type="dxa" w:w="2160"/>
          </w:tcPr>
          <w:p>
            <w:r>
              <w:t>-1.00</w:t>
            </w:r>
          </w:p>
        </w:tc>
        <w:tc>
          <w:tcPr>
            <w:tcW w:type="dxa" w:w="2160"/>
          </w:tcPr>
          <w:p>
            <w:r>
              <w:t>-1.01</w:t>
            </w:r>
          </w:p>
        </w:tc>
      </w:tr>
      <w:tr>
        <w:tc>
          <w:tcPr>
            <w:tcW w:type="dxa" w:w="2160"/>
          </w:tcPr>
          <w:p>
            <w:r>
              <w:t>tau_R exponent</w:t>
            </w:r>
          </w:p>
        </w:tc>
        <w:tc>
          <w:tcPr>
            <w:tcW w:type="dxa" w:w="2160"/>
          </w:tcPr>
          <w:p>
            <w:r>
              <w:t>~2.18</w:t>
            </w:r>
          </w:p>
        </w:tc>
        <w:tc>
          <w:tcPr>
            <w:tcW w:type="dxa" w:w="2160"/>
          </w:tcPr>
          <w:p>
            <w:r>
              <w:t>2.13</w:t>
            </w:r>
          </w:p>
        </w:tc>
        <w:tc>
          <w:tcPr>
            <w:tcW w:type="dxa" w:w="2160"/>
          </w:tcPr>
          <w:p>
            <w:r>
              <w:t>2.30</w:t>
            </w:r>
          </w:p>
        </w:tc>
      </w:tr>
    </w:tbl>
    <w:p/>
    <w:p>
      <w:r>
        <w:rPr>
          <w:b/>
          <w:sz w:val="22"/>
        </w:rPr>
        <w:t>Coverage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Item Numbers</w:t>
            </w:r>
          </w:p>
        </w:tc>
      </w:tr>
      <w:tr>
        <w:tc>
          <w:tcPr>
            <w:tcW w:type="dxa" w:w="2880"/>
          </w:tcPr>
          <w:p>
            <w:r>
              <w:t>[Kuriata] Properties to reproduce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42, 43, 50, 55, 56, 57, 58</w:t>
            </w:r>
          </w:p>
        </w:tc>
      </w:tr>
      <w:tr>
        <w:tc>
          <w:tcPr>
            <w:tcW w:type="dxa" w:w="2880"/>
          </w:tcPr>
          <w:p>
            <w:r>
              <w:t>[Rouse only] Validated independently by surpass-alpha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41, 44, 45, 47, 48, 49, 51, 52, 53, 54</w:t>
            </w:r>
          </w:p>
        </w:tc>
      </w:tr>
      <w:tr>
        <w:tc>
          <w:tcPr>
            <w:tcW w:type="dxa" w:w="2880"/>
          </w:tcPr>
          <w:p>
            <w:r>
              <w:t>[Model input] Construction choices verified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13, 14, 15</w:t>
            </w:r>
          </w:p>
        </w:tc>
      </w:tr>
      <w:tr>
        <w:tc>
          <w:tcPr>
            <w:tcW w:type="dxa" w:w="2880"/>
          </w:tcPr>
          <w:p>
            <w:r>
              <w:t>Infrastructure / correctness items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1-12, 16-40, 46, 59-71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1-71</w:t>
            </w:r>
          </w:p>
        </w:tc>
      </w:tr>
    </w:tbl>
    <w:p/>
    <w:p>
      <w:r>
        <w:rPr>
          <w:b/>
          <w:sz w:val="22"/>
        </w:rPr>
        <w:t>References</w:t>
      </w:r>
    </w:p>
    <w:p>
      <w:r>
        <w:rPr>
          <w:sz w:val="20"/>
        </w:rPr>
        <w:t>Rouse, P.E. Jr. (1953). A theory of the linear viscoelastic properties of dilute solutions of coiling polymers. J. Chem. Phys. 21(7), 1272-1280.</w:t>
      </w:r>
    </w:p>
    <w:p>
      <w:r>
        <w:rPr>
          <w:sz w:val="20"/>
        </w:rPr>
        <w:t>Kuriata, A., Gront, D. &amp; Sikorski, A. (2016). Coarse-grained simulations of the properties of polymer chains. CMST 22(4), 179-185.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