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Properties Validated by Kuriata, Gront &amp; Sikorski (2016)</w:t>
      </w:r>
    </w:p>
    <w:p>
      <w:r>
        <w:rPr>
          <w:i/>
        </w:rPr>
        <w:t>Source: Kuriata, A., Gront, D. &amp; Sikorski, A., CMST 22(4), 179-185 (2016). Two off-lattice coarse-grained models (bead-spring Rouse and fixed-bond-length backrub) with athermal excluded volume were used to validate the following Rouse-model properties via Monte Carlo simulation.</w:t>
      </w:r>
    </w:p>
    <w:p>
      <w:pPr>
        <w:pStyle w:val="Heading1"/>
      </w:pPr>
      <w:r>
        <w:t>1  Static Properties Validated</w:t>
      </w:r>
    </w:p>
    <w:p>
      <w:pPr>
        <w:pStyle w:val="Heading2"/>
      </w:pPr>
      <w:r>
        <w:t>1.1  Mean-Squared End-to-End Distance Scaling</w:t>
      </w:r>
    </w:p>
    <w:p>
      <w:r>
        <w:rPr>
          <w:i/>
        </w:rPr>
        <w:t>Both models reproduce the expected power-law growth of chain size with chain length, confirming self-avoiding walk universality.</w:t>
      </w:r>
    </w:p>
    <w:p>
      <w:r>
        <w:t>⟨R²⟩ ~ N^(2ν)</w:t>
      </w:r>
    </w:p>
    <w:p>
      <w:r>
        <w:t>Measured: 2ν = 1.20  (both models)    |    Theory (3D SAW): 2ν ≈ 1.18</w:t>
      </w:r>
    </w:p>
    <w:p>
      <w:pPr>
        <w:pStyle w:val="Heading2"/>
      </w:pPr>
      <w:r>
        <w:t>1.2  Mean-Squared Radius of Gyration Scaling</w:t>
      </w:r>
    </w:p>
    <w:p>
      <w:r>
        <w:rPr>
          <w:i/>
        </w:rPr>
        <w:t>The radius of gyration scales with the same exponent as the end-to-end distance, providing an independent confirmation of correct static scaling.</w:t>
      </w:r>
    </w:p>
    <w:p>
      <w:r>
        <w:t>⟨R_g²⟩ ~ N^(2ν)</w:t>
      </w:r>
    </w:p>
    <w:p>
      <w:r>
        <w:t>Measured: 2ν = 1.20  (both models)    |    Theory (3D SAW): 2ν ≈ 1.18</w:t>
      </w:r>
    </w:p>
    <w:p>
      <w:pPr>
        <w:pStyle w:val="Heading1"/>
      </w:pPr>
      <w:r>
        <w:t>2  Dynamic Properties Validated</w:t>
      </w:r>
    </w:p>
    <w:p>
      <w:pPr>
        <w:pStyle w:val="Heading2"/>
      </w:pPr>
      <w:r>
        <w:t>2.1  Center-of-Mass Mean Square Displacement</w:t>
      </w:r>
    </w:p>
    <w:p>
      <w:r>
        <w:rPr>
          <w:i/>
        </w:rPr>
        <w:t>The center of mass exhibits normal Fickian diffusion (linear in time) for both algorithms, confirming that the pseudo-time scale is properly defined.</w:t>
      </w:r>
    </w:p>
    <w:p>
      <w:r>
        <w:t>g_CM(t) = ⟨(r_CM(t) – r_CM(0))²⟩ ~ t^1</w:t>
      </w:r>
    </w:p>
    <w:p>
      <w:r>
        <w:t>Measured: 1.00 (backrub); 0.95 (Rouse)    |    Theory: 1.00</w:t>
      </w:r>
    </w:p>
    <w:p>
      <w:pPr>
        <w:pStyle w:val="Heading2"/>
      </w:pPr>
      <w:r>
        <w:t>2.2  Middle-Segment Mean Square Displacement</w:t>
      </w:r>
    </w:p>
    <w:p>
      <w:r>
        <w:rPr>
          <w:i/>
        </w:rPr>
        <w:t>The middle monomer shows two distinct time regimes: sub-diffusive at short times due to chain connectivity, crossing over to free diffusion after the longest relaxation time.</w:t>
      </w:r>
    </w:p>
    <w:p>
      <w:r>
        <w:t>g₁(t) = ⟨(r_{N/2}(t) – r_{N/2}(0))²⟩</w:t>
      </w:r>
    </w:p>
    <w:p>
      <w:r>
        <w:t>g₁(t) ~ t^(1/2)   for t &lt; τ_R</w:t>
        <w:br/>
        <w:t>g₁(t) ~ t^1        for t ≥ τ_R</w:t>
      </w:r>
    </w:p>
    <w:p>
      <w:r>
        <w:t>Measured short-time: 0.57 (backrub); 0.60 (Rouse)    |    Theory: 0.50</w:t>
      </w:r>
    </w:p>
    <w:p>
      <w:r>
        <w:t>Note: Slightly higher than 0.5 due to excluded volume effects.</w:t>
      </w:r>
    </w:p>
    <w:p>
      <w:pPr>
        <w:pStyle w:val="Heading2"/>
      </w:pPr>
      <w:r>
        <w:t>2.3  Diffusion Coefficient Scaling</w:t>
      </w:r>
    </w:p>
    <w:p>
      <w:r>
        <w:rPr>
          <w:i/>
        </w:rPr>
        <w:t>The diffusion coefficient decreases inversely with chain length, as predicted by the Rouse model where total friction is proportional to N.</w:t>
      </w:r>
    </w:p>
    <w:p>
      <w:r>
        <w:t>D = ⟨(r(t) – r(0))²⟩ / (6t)</w:t>
      </w:r>
    </w:p>
    <w:p>
      <w:r>
        <w:t>D ~ N^(−1)</w:t>
      </w:r>
    </w:p>
    <w:p>
      <w:r>
        <w:t>Measured: −1.00 (backrub); −1.01 (Rouse)    |    Theory: −1.00</w:t>
      </w:r>
    </w:p>
    <w:p>
      <w:pPr>
        <w:pStyle w:val="Heading2"/>
      </w:pPr>
      <w:r>
        <w:t>2.4  Longest Relaxation Time Scaling</w:t>
      </w:r>
    </w:p>
    <w:p>
      <w:r>
        <w:rPr>
          <w:i/>
        </w:rPr>
        <w:t>The end-to-end vector autocorrelation decay time scales as a power law with chain length, with the exponent close to the Rouse prediction for excluded-volume chains.</w:t>
      </w:r>
    </w:p>
    <w:p>
      <w:r>
        <w:t>g_R(t) = ⟨R(0) · R(t)⟩ / ⟨R²⟩  ~  exp(–t / τ_R)</w:t>
      </w:r>
    </w:p>
    <w:p>
      <w:r>
        <w:t>τ_R ~ N^(1+2ν)</w:t>
      </w:r>
    </w:p>
    <w:p>
      <w:r>
        <w:t>Measured: 2.13 (backrub); 2.30 (Rouse)    |    Theory (SAW): ≈2.18</w:t>
      </w:r>
    </w:p>
    <w:p>
      <w:pPr>
        <w:pStyle w:val="Heading1"/>
      </w:pPr>
      <w:r>
        <w:t>3  Summary — Measured vs Theoretical Exponents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Backrub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Rouse Bead-Spring</w:t>
            </w:r>
          </w:p>
        </w:tc>
      </w:tr>
      <w:tr>
        <w:tc>
          <w:tcPr>
            <w:tcW w:type="dxa" w:w="2160"/>
          </w:tcPr>
          <w:p>
            <w:r>
              <w:t>⟨R²⟩, ⟨R_g²⟩  (2ν)</w:t>
            </w:r>
          </w:p>
        </w:tc>
        <w:tc>
          <w:tcPr>
            <w:tcW w:type="dxa" w:w="2160"/>
          </w:tcPr>
          <w:p>
            <w:r>
              <w:t>≈1.18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  <w:tr>
        <w:tc>
          <w:tcPr>
            <w:tcW w:type="dxa" w:w="2160"/>
          </w:tcPr>
          <w:p>
            <w:r>
              <w:t>g_CM(t) exponent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</w:tr>
      <w:tr>
        <w:tc>
          <w:tcPr>
            <w:tcW w:type="dxa" w:w="2160"/>
          </w:tcPr>
          <w:p>
            <w:r>
              <w:t>g₁(t) short-time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0.57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D exponent</w:t>
            </w:r>
          </w:p>
        </w:tc>
        <w:tc>
          <w:tcPr>
            <w:tcW w:type="dxa" w:w="2160"/>
          </w:tcPr>
          <w:p>
            <w:r>
              <w:t>−1.00</w:t>
            </w:r>
          </w:p>
        </w:tc>
        <w:tc>
          <w:tcPr>
            <w:tcW w:type="dxa" w:w="2160"/>
          </w:tcPr>
          <w:p>
            <w:r>
              <w:t>−1.00</w:t>
            </w:r>
          </w:p>
        </w:tc>
        <w:tc>
          <w:tcPr>
            <w:tcW w:type="dxa" w:w="2160"/>
          </w:tcPr>
          <w:p>
            <w:r>
              <w:t>−1.01</w:t>
            </w:r>
          </w:p>
        </w:tc>
      </w:tr>
      <w:tr>
        <w:tc>
          <w:tcPr>
            <w:tcW w:type="dxa" w:w="2160"/>
          </w:tcPr>
          <w:p>
            <w:r>
              <w:t>τ_R exponent</w:t>
            </w:r>
          </w:p>
        </w:tc>
        <w:tc>
          <w:tcPr>
            <w:tcW w:type="dxa" w:w="2160"/>
          </w:tcPr>
          <w:p>
            <w:r>
              <w:t>≈2.18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  <w:tc>
          <w:tcPr>
            <w:tcW w:type="dxa" w:w="2160"/>
          </w:tcPr>
          <w:p>
            <w:r>
              <w:t>2.30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