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rPr>
      </w:pPr>
      <w:bookmarkStart w:id="0" w:name="_GoBack"/>
      <w:bookmarkEnd w:id="0"/>
      <w:r>
        <w:rPr>
          <w:sz w:val="44"/>
        </w:rPr>
        <w:softHyphen/>
        <w:softHyphen/>
        <w:t>Project report</w:t>
      </w:r>
    </w:p>
    <w:p>
      <w:pPr>
        <w:pStyle w:val="Normal"/>
        <w:rPr>
          <w:sz w:val="20"/>
          <w:szCs w:val="20"/>
        </w:rPr>
      </w:pPr>
      <w:r>
        <w:rPr>
          <w:sz w:val="20"/>
          <w:szCs w:val="20"/>
        </w:rPr>
        <w:t xml:space="preserve">When we visualize these data, we can see only two columns of these data are change accordingly. So, to solve this problem, we choose the last two columns of data. </w:t>
      </w:r>
    </w:p>
    <w:p>
      <w:pPr>
        <w:pStyle w:val="Normal"/>
        <w:jc w:val="center"/>
        <w:rPr>
          <w:sz w:val="20"/>
          <w:szCs w:val="20"/>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sz w:val="20"/>
          <w:szCs w:val="20"/>
        </w:rPr>
      </w:pPr>
      <w:r>
        <w:rPr>
          <w:sz w:val="20"/>
          <w:szCs w:val="20"/>
        </w:rPr>
        <w:t>Using threshold to divide the whole data sequence into sub-sequence that corresponds to different events that correspond to open and close.</w:t>
      </w:r>
    </w:p>
    <w:p>
      <w:pPr>
        <w:pStyle w:val="Normal"/>
        <w:jc w:val="center"/>
        <w:rPr>
          <w:sz w:val="20"/>
          <w:szCs w:val="20"/>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jc w:val="center"/>
        <w:rPr>
          <w:sz w:val="20"/>
          <w:szCs w:val="20"/>
        </w:rPr>
      </w:pPr>
      <w:r>
        <w:rPr>
          <w:sz w:val="20"/>
          <w:szCs w:val="20"/>
        </w:rPr>
      </w:r>
    </w:p>
    <w:p>
      <w:pPr>
        <w:pStyle w:val="Normal"/>
        <w:rPr>
          <w:sz w:val="20"/>
          <w:szCs w:val="20"/>
        </w:rPr>
      </w:pPr>
      <w:r>
        <w:rPr>
          <w:sz w:val="20"/>
          <w:szCs w:val="20"/>
        </w:rPr>
        <w:t>After averaging these values, we choose the last columns of values.</w:t>
      </w:r>
    </w:p>
    <w:p>
      <w:pPr>
        <w:pStyle w:val="Normal"/>
        <w:rPr>
          <w:sz w:val="20"/>
          <w:szCs w:val="20"/>
        </w:rPr>
      </w:pPr>
      <w:r>
        <w:rPr>
          <w:sz w:val="20"/>
          <w:szCs w:val="20"/>
        </w:rPr>
      </w:r>
    </w:p>
    <w:p>
      <w:pPr>
        <w:pStyle w:val="Normal"/>
        <w:rPr>
          <w:sz w:val="20"/>
          <w:szCs w:val="20"/>
        </w:rPr>
      </w:pPr>
      <w:r>
        <w:rPr>
          <w:sz w:val="20"/>
          <w:szCs w:val="20"/>
        </w:rPr>
      </w:r>
    </w:p>
    <w:p>
      <w:pPr>
        <w:pStyle w:val="Normal"/>
        <w:rPr/>
      </w:pPr>
      <w:r>
        <w:rPr/>
        <w:t>Flow of the application:</w:t>
      </w:r>
    </w:p>
    <w:p>
      <w:pPr>
        <w:pStyle w:val="Normal"/>
        <w:rPr/>
      </w:pPr>
      <w:r>
        <w:rPr/>
      </w:r>
    </w:p>
    <w:p>
      <w:pPr>
        <w:pStyle w:val="Normal"/>
        <w:rPr/>
      </w:pPr>
      <w:r>
        <w:rPr/>
        <w:t>1 . MPU6050 is mounted on the breadboard and the readings are continuously sent to SDA and SCL ports which is polled by the python program that is running on Raspberry pi every 100ms</w:t>
      </w:r>
    </w:p>
    <w:p>
      <w:pPr>
        <w:pStyle w:val="Normal"/>
        <w:rPr/>
      </w:pPr>
      <w:r>
        <w:rPr/>
        <w:t xml:space="preserve">2 . According the specifications, we have scaled each of the values ie. the three axial values of gyroscope and accelerometer </w:t>
      </w:r>
    </w:p>
    <w:p>
      <w:pPr>
        <w:pStyle w:val="Normal"/>
        <w:rPr/>
      </w:pPr>
      <w:r>
        <w:rPr/>
        <w:t>3. The gyroscope operates between the range of -250 to 250 degrees per second and the sensitivity scale factor is 131 degree/sec</w:t>
      </w:r>
    </w:p>
    <w:p>
      <w:pPr>
        <w:pStyle w:val="Normal"/>
        <w:rPr/>
      </w:pPr>
      <w:r>
        <w:rPr/>
        <w:t>4. The accelerometer operates between the range of += 2 g and sensitivity scale factor for it is 16384 lsb/g</w:t>
      </w:r>
    </w:p>
    <w:p>
      <w:pPr>
        <w:pStyle w:val="Normal"/>
        <w:rPr/>
      </w:pPr>
      <w:r>
        <w:rPr/>
        <w:t>5. We keep a threshold for the values that need to be sent  to the bluemix. I.e we publish the values to the broker only when there is a sizable change in any of the axial values. This is because, the sensor keeps generating a large amount of data even when there is no motion. This keeping a threshold saves unnecessary data flow and processing needed by the broker.</w:t>
      </w:r>
    </w:p>
    <w:p>
      <w:pPr>
        <w:pStyle w:val="Normal"/>
        <w:rPr/>
      </w:pPr>
      <w:r>
        <w:rPr/>
        <w:t xml:space="preserve">→ </w:t>
      </w:r>
      <w:r>
        <w:rPr/>
        <w:t>Topic name : SensorData and type : Json</w:t>
      </w:r>
    </w:p>
    <w:p>
      <w:pPr>
        <w:pStyle w:val="Normal"/>
        <w:rPr/>
      </w:pPr>
      <w:r>
        <w:rPr/>
        <w:t>6. The server running the svm predict listens to the topic SensorData and calls the svm predict module in it's event call back.</w:t>
      </w:r>
    </w:p>
    <w:p>
      <w:pPr>
        <w:pStyle w:val="Normal"/>
        <w:rPr/>
      </w:pPr>
      <w:r>
        <w:rPr/>
        <w:t>7. The server then publishes the result to  the broker to the topic “Result”. The result comprises of the latest axial values and decision (close or open)</w:t>
      </w:r>
    </w:p>
    <w:p>
      <w:pPr>
        <w:pStyle w:val="Normal"/>
        <w:rPr/>
      </w:pPr>
      <w:r>
        <w:rPr/>
        <w:t>8. Any End user application can subscribe to the topic “Result” and display the data. In our case, the same server which is running the classifier also has the UI which uses AJAX calls once every second to poll for the result.</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Values of differnent data</a:t>
            </a:r>
          </a:p>
        </c:rich>
      </c:tx>
      <c:overlay val="0"/>
    </c:title>
    <c:autoTitleDeleted val="0"/>
    <c:plotArea>
      <c:lineChart>
        <c:grouping val="standard"/>
        <c:ser>
          <c:idx val="0"/>
          <c:order val="0"/>
          <c:tx>
            <c:strRef>
              <c:f>label 0</c:f>
              <c:strCache>
                <c:ptCount val="1"/>
                <c:pt idx="0">
                  <c:v>ax</c:v>
                </c:pt>
              </c:strCache>
            </c:strRef>
          </c:tx>
          <c:spPr>
            <a:solidFill>
              <a:srgbClr val="5b9bd5"/>
            </a:solidFill>
            <a:ln w="2844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0</c:f>
              <c:numCache>
                <c:formatCode>General</c:formatCode>
                <c:ptCount val="28"/>
                <c:pt idx="0">
                  <c:v>-0.0747</c:v>
                </c:pt>
                <c:pt idx="1">
                  <c:v>-0.0654</c:v>
                </c:pt>
                <c:pt idx="2">
                  <c:v>-0.0591</c:v>
                </c:pt>
                <c:pt idx="3">
                  <c:v>-0.0479</c:v>
                </c:pt>
                <c:pt idx="4">
                  <c:v>-0.0422</c:v>
                </c:pt>
                <c:pt idx="5">
                  <c:v>-0.0388</c:v>
                </c:pt>
                <c:pt idx="6">
                  <c:v>-0.0188</c:v>
                </c:pt>
                <c:pt idx="7">
                  <c:v>-0.0002</c:v>
                </c:pt>
                <c:pt idx="8">
                  <c:v>0.01</c:v>
                </c:pt>
                <c:pt idx="9">
                  <c:v>0.0061</c:v>
                </c:pt>
                <c:pt idx="10">
                  <c:v>0.0115</c:v>
                </c:pt>
                <c:pt idx="11">
                  <c:v>-0.1052</c:v>
                </c:pt>
                <c:pt idx="12">
                  <c:v>-0.0591</c:v>
                </c:pt>
                <c:pt idx="13">
                  <c:v>-0.0559</c:v>
                </c:pt>
                <c:pt idx="14">
                  <c:v>-0.01</c:v>
                </c:pt>
                <c:pt idx="15">
                  <c:v>0.0161</c:v>
                </c:pt>
                <c:pt idx="16">
                  <c:v>0.0474</c:v>
                </c:pt>
                <c:pt idx="17">
                  <c:v>0.0068</c:v>
                </c:pt>
                <c:pt idx="18">
                  <c:v>0.0044</c:v>
                </c:pt>
                <c:pt idx="19">
                  <c:v>-0.0625</c:v>
                </c:pt>
                <c:pt idx="20">
                  <c:v>-0.0518</c:v>
                </c:pt>
                <c:pt idx="21">
                  <c:v>-0.0381</c:v>
                </c:pt>
                <c:pt idx="22">
                  <c:v>-0.0176</c:v>
                </c:pt>
                <c:pt idx="23">
                  <c:v>-0.0007</c:v>
                </c:pt>
                <c:pt idx="24">
                  <c:v>-0.0017</c:v>
                </c:pt>
                <c:pt idx="25">
                  <c:v>-0.0061</c:v>
                </c:pt>
                <c:pt idx="26">
                  <c:v>0.0112</c:v>
                </c:pt>
                <c:pt idx="27">
                  <c:v>0.0105</c:v>
                </c:pt>
              </c:numCache>
            </c:numRef>
          </c:val>
          <c:smooth val="0"/>
        </c:ser>
        <c:ser>
          <c:idx val="1"/>
          <c:order val="1"/>
          <c:tx>
            <c:strRef>
              <c:f>label 1</c:f>
              <c:strCache>
                <c:ptCount val="1"/>
                <c:pt idx="0">
                  <c:v>ay</c:v>
                </c:pt>
              </c:strCache>
            </c:strRef>
          </c:tx>
          <c:spPr>
            <a:solidFill>
              <a:srgbClr val="ed7d31"/>
            </a:solidFill>
            <a:ln w="2844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1</c:f>
              <c:numCache>
                <c:formatCode>General</c:formatCode>
                <c:ptCount val="28"/>
                <c:pt idx="0">
                  <c:v>-1.0251</c:v>
                </c:pt>
                <c:pt idx="1">
                  <c:v>-1.012</c:v>
                </c:pt>
                <c:pt idx="2">
                  <c:v>-1.0168</c:v>
                </c:pt>
                <c:pt idx="3">
                  <c:v>-1.02</c:v>
                </c:pt>
                <c:pt idx="4">
                  <c:v>-1.0256</c:v>
                </c:pt>
                <c:pt idx="5">
                  <c:v>-1.0034</c:v>
                </c:pt>
                <c:pt idx="6">
                  <c:v>-1.0313</c:v>
                </c:pt>
                <c:pt idx="7">
                  <c:v>-1.0317</c:v>
                </c:pt>
                <c:pt idx="8">
                  <c:v>-1.0298</c:v>
                </c:pt>
                <c:pt idx="9">
                  <c:v>-1.0208</c:v>
                </c:pt>
                <c:pt idx="10">
                  <c:v>-1.0203</c:v>
                </c:pt>
                <c:pt idx="11">
                  <c:v>-1.0037</c:v>
                </c:pt>
                <c:pt idx="12">
                  <c:v>-0.9932</c:v>
                </c:pt>
                <c:pt idx="13">
                  <c:v>-0.9971</c:v>
                </c:pt>
                <c:pt idx="14">
                  <c:v>-0.988</c:v>
                </c:pt>
                <c:pt idx="15">
                  <c:v>-1.001</c:v>
                </c:pt>
                <c:pt idx="16">
                  <c:v>-0.9761</c:v>
                </c:pt>
                <c:pt idx="17">
                  <c:v>-1.0083</c:v>
                </c:pt>
                <c:pt idx="18">
                  <c:v>-1.0217</c:v>
                </c:pt>
                <c:pt idx="19">
                  <c:v>-1.0303</c:v>
                </c:pt>
                <c:pt idx="20">
                  <c:v>-1.0242</c:v>
                </c:pt>
                <c:pt idx="21">
                  <c:v>-1.0227</c:v>
                </c:pt>
                <c:pt idx="22">
                  <c:v>-1.0352</c:v>
                </c:pt>
                <c:pt idx="23">
                  <c:v>-1.0393</c:v>
                </c:pt>
                <c:pt idx="24">
                  <c:v>-1.0286</c:v>
                </c:pt>
                <c:pt idx="25">
                  <c:v>-1.0288</c:v>
                </c:pt>
                <c:pt idx="26">
                  <c:v>-1.0232</c:v>
                </c:pt>
                <c:pt idx="27">
                  <c:v>-1.0168</c:v>
                </c:pt>
              </c:numCache>
            </c:numRef>
          </c:val>
          <c:smooth val="0"/>
        </c:ser>
        <c:ser>
          <c:idx val="2"/>
          <c:order val="2"/>
          <c:tx>
            <c:strRef>
              <c:f>label 2</c:f>
              <c:strCache>
                <c:ptCount val="1"/>
                <c:pt idx="0">
                  <c:v>az</c:v>
                </c:pt>
              </c:strCache>
            </c:strRef>
          </c:tx>
          <c:spPr>
            <a:solidFill>
              <a:srgbClr val="a5a5a5"/>
            </a:solidFill>
            <a:ln w="2844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2</c:f>
              <c:numCache>
                <c:formatCode>General</c:formatCode>
                <c:ptCount val="28"/>
                <c:pt idx="0">
                  <c:v>-0.1682</c:v>
                </c:pt>
                <c:pt idx="1">
                  <c:v>-0.1777</c:v>
                </c:pt>
                <c:pt idx="2">
                  <c:v>-0.1782</c:v>
                </c:pt>
                <c:pt idx="3">
                  <c:v>-0.1602</c:v>
                </c:pt>
                <c:pt idx="4">
                  <c:v>-0.1526</c:v>
                </c:pt>
                <c:pt idx="5">
                  <c:v>-0.1389</c:v>
                </c:pt>
                <c:pt idx="6">
                  <c:v>-0.0798</c:v>
                </c:pt>
                <c:pt idx="7">
                  <c:v>-0.0984</c:v>
                </c:pt>
                <c:pt idx="8">
                  <c:v>-0.1672</c:v>
                </c:pt>
                <c:pt idx="9">
                  <c:v>-0.1699</c:v>
                </c:pt>
                <c:pt idx="10">
                  <c:v>-0.1653</c:v>
                </c:pt>
                <c:pt idx="11">
                  <c:v>-0.241</c:v>
                </c:pt>
                <c:pt idx="12">
                  <c:v>-0.3247</c:v>
                </c:pt>
                <c:pt idx="13">
                  <c:v>-0.3237</c:v>
                </c:pt>
                <c:pt idx="14">
                  <c:v>-0.4011</c:v>
                </c:pt>
                <c:pt idx="15">
                  <c:v>-0.3362</c:v>
                </c:pt>
                <c:pt idx="16">
                  <c:v>-0.4998</c:v>
                </c:pt>
                <c:pt idx="17">
                  <c:v>-0.2375</c:v>
                </c:pt>
                <c:pt idx="18">
                  <c:v>-0.1755</c:v>
                </c:pt>
                <c:pt idx="19">
                  <c:v>-0.1956</c:v>
                </c:pt>
                <c:pt idx="20">
                  <c:v>-0.1799</c:v>
                </c:pt>
                <c:pt idx="21">
                  <c:v>-0.1411</c:v>
                </c:pt>
                <c:pt idx="22">
                  <c:v>-0.0952</c:v>
                </c:pt>
                <c:pt idx="23">
                  <c:v>-0.074</c:v>
                </c:pt>
                <c:pt idx="24">
                  <c:v>-0.1086</c:v>
                </c:pt>
                <c:pt idx="25">
                  <c:v>-0.1331</c:v>
                </c:pt>
                <c:pt idx="26">
                  <c:v>-0.1636</c:v>
                </c:pt>
                <c:pt idx="27">
                  <c:v>-0.1956</c:v>
                </c:pt>
              </c:numCache>
            </c:numRef>
          </c:val>
          <c:smooth val="0"/>
        </c:ser>
        <c:ser>
          <c:idx val="3"/>
          <c:order val="3"/>
          <c:tx>
            <c:strRef>
              <c:f>label 3</c:f>
              <c:strCache>
                <c:ptCount val="1"/>
                <c:pt idx="0">
                  <c:v>gx</c:v>
                </c:pt>
              </c:strCache>
            </c:strRef>
          </c:tx>
          <c:spPr>
            <a:solidFill>
              <a:srgbClr val="ffc000"/>
            </a:solidFill>
            <a:ln w="28440">
              <a:solidFill>
                <a:srgbClr val="ffc000"/>
              </a:solidFill>
              <a:round/>
            </a:ln>
          </c:spPr>
          <c:marker>
            <c:symbol val="circle"/>
            <c:size val="5"/>
            <c:spPr>
              <a:solidFill>
                <a:srgbClr val="ffc000"/>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3</c:f>
              <c:numCache>
                <c:formatCode>General</c:formatCode>
                <c:ptCount val="28"/>
                <c:pt idx="0">
                  <c:v>-0.2061</c:v>
                </c:pt>
                <c:pt idx="1">
                  <c:v>-0.0763</c:v>
                </c:pt>
                <c:pt idx="2">
                  <c:v>0.5191</c:v>
                </c:pt>
                <c:pt idx="3">
                  <c:v>0.0611</c:v>
                </c:pt>
                <c:pt idx="4">
                  <c:v>-1.1603</c:v>
                </c:pt>
                <c:pt idx="5">
                  <c:v>-0.6031</c:v>
                </c:pt>
                <c:pt idx="6">
                  <c:v>0.1221</c:v>
                </c:pt>
                <c:pt idx="7">
                  <c:v>-0.2901</c:v>
                </c:pt>
                <c:pt idx="8">
                  <c:v>-0.4122</c:v>
                </c:pt>
                <c:pt idx="9">
                  <c:v>-0.9389</c:v>
                </c:pt>
                <c:pt idx="10">
                  <c:v>-1.2672</c:v>
                </c:pt>
                <c:pt idx="11">
                  <c:v>-3.7023</c:v>
                </c:pt>
                <c:pt idx="12">
                  <c:v>-0.9924</c:v>
                </c:pt>
                <c:pt idx="13">
                  <c:v>-1.2443</c:v>
                </c:pt>
                <c:pt idx="14">
                  <c:v>-1.1756</c:v>
                </c:pt>
                <c:pt idx="15">
                  <c:v>-1.5878</c:v>
                </c:pt>
                <c:pt idx="16">
                  <c:v>2.6031</c:v>
                </c:pt>
                <c:pt idx="17">
                  <c:v>-1.3817</c:v>
                </c:pt>
                <c:pt idx="18">
                  <c:v>-0.4351</c:v>
                </c:pt>
                <c:pt idx="19">
                  <c:v>-0.0916</c:v>
                </c:pt>
                <c:pt idx="20">
                  <c:v>0.0229</c:v>
                </c:pt>
                <c:pt idx="21">
                  <c:v>-0.8855</c:v>
                </c:pt>
                <c:pt idx="22">
                  <c:v>-1.1603</c:v>
                </c:pt>
                <c:pt idx="23">
                  <c:v>-0.3664</c:v>
                </c:pt>
                <c:pt idx="24">
                  <c:v>-0.1069</c:v>
                </c:pt>
                <c:pt idx="25">
                  <c:v>-1.4656</c:v>
                </c:pt>
                <c:pt idx="26">
                  <c:v>-1.2901</c:v>
                </c:pt>
                <c:pt idx="27">
                  <c:v>-1.1298</c:v>
                </c:pt>
              </c:numCache>
            </c:numRef>
          </c:val>
          <c:smooth val="0"/>
        </c:ser>
        <c:ser>
          <c:idx val="4"/>
          <c:order val="4"/>
          <c:tx>
            <c:strRef>
              <c:f>label 4</c:f>
              <c:strCache>
                <c:ptCount val="1"/>
                <c:pt idx="0">
                  <c:v>gy</c:v>
                </c:pt>
              </c:strCache>
            </c:strRef>
          </c:tx>
          <c:spPr>
            <a:solidFill>
              <a:srgbClr val="4472c4"/>
            </a:solidFill>
            <a:ln w="2844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4</c:f>
              <c:numCache>
                <c:formatCode>General</c:formatCode>
                <c:ptCount val="28"/>
                <c:pt idx="0">
                  <c:v>66.5115</c:v>
                </c:pt>
                <c:pt idx="1">
                  <c:v>62.7634</c:v>
                </c:pt>
                <c:pt idx="2">
                  <c:v>59.3893</c:v>
                </c:pt>
                <c:pt idx="3">
                  <c:v>55.2137</c:v>
                </c:pt>
                <c:pt idx="4">
                  <c:v>51.3206</c:v>
                </c:pt>
                <c:pt idx="5">
                  <c:v>46.687</c:v>
                </c:pt>
                <c:pt idx="6">
                  <c:v>37.1069</c:v>
                </c:pt>
                <c:pt idx="7">
                  <c:v>21.1145</c:v>
                </c:pt>
                <c:pt idx="8">
                  <c:v>12.2137</c:v>
                </c:pt>
                <c:pt idx="9">
                  <c:v>6.6947</c:v>
                </c:pt>
                <c:pt idx="10">
                  <c:v>1.9847</c:v>
                </c:pt>
                <c:pt idx="11">
                  <c:v>-82.1145</c:v>
                </c:pt>
                <c:pt idx="12">
                  <c:v>-75.1603</c:v>
                </c:pt>
                <c:pt idx="13">
                  <c:v>-63.3282</c:v>
                </c:pt>
                <c:pt idx="14">
                  <c:v>-48.6794</c:v>
                </c:pt>
                <c:pt idx="15">
                  <c:v>-32.1374</c:v>
                </c:pt>
                <c:pt idx="16">
                  <c:v>-13.6031</c:v>
                </c:pt>
                <c:pt idx="17">
                  <c:v>6.313</c:v>
                </c:pt>
                <c:pt idx="18">
                  <c:v>1.5115</c:v>
                </c:pt>
                <c:pt idx="19">
                  <c:v>59.4122</c:v>
                </c:pt>
                <c:pt idx="20">
                  <c:v>55.9237</c:v>
                </c:pt>
                <c:pt idx="21">
                  <c:v>51.1145</c:v>
                </c:pt>
                <c:pt idx="22">
                  <c:v>42.1756</c:v>
                </c:pt>
                <c:pt idx="23">
                  <c:v>30.1908</c:v>
                </c:pt>
                <c:pt idx="24">
                  <c:v>15.5344</c:v>
                </c:pt>
                <c:pt idx="25">
                  <c:v>7.9008</c:v>
                </c:pt>
                <c:pt idx="26">
                  <c:v>3.1374</c:v>
                </c:pt>
                <c:pt idx="27">
                  <c:v>0.542</c:v>
                </c:pt>
              </c:numCache>
            </c:numRef>
          </c:val>
          <c:smooth val="0"/>
        </c:ser>
        <c:ser>
          <c:idx val="5"/>
          <c:order val="5"/>
          <c:tx>
            <c:strRef>
              <c:f>label 5</c:f>
              <c:strCache>
                <c:ptCount val="1"/>
                <c:pt idx="0">
                  <c:v>gz</c:v>
                </c:pt>
              </c:strCache>
            </c:strRef>
          </c:tx>
          <c:spPr>
            <a:solidFill>
              <a:srgbClr val="70ad47"/>
            </a:solidFill>
            <a:ln w="28440">
              <a:solidFill>
                <a:srgbClr val="70ad47"/>
              </a:solidFill>
              <a:round/>
            </a:ln>
          </c:spPr>
          <c:marker>
            <c:symbol val="circle"/>
            <c:size val="5"/>
            <c:spPr>
              <a:solidFill>
                <a:srgbClr val="70ad47"/>
              </a:solidFill>
            </c:spPr>
          </c:marker>
          <c:dLbls>
            <c:dLblPos val="r"/>
            <c:showLegendKey val="0"/>
            <c:showVal val="0"/>
            <c:showCatName val="0"/>
            <c:showSerName val="0"/>
            <c:showPercent val="0"/>
            <c:showLeaderLines val="0"/>
          </c:dLbls>
          <c:cat>
            <c:strRef>
              <c:f>categories</c:f>
              <c:strCach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strCache>
            </c:strRef>
          </c:cat>
          <c:val>
            <c:numRef>
              <c:f>5</c:f>
              <c:numCache>
                <c:formatCode>General</c:formatCode>
                <c:ptCount val="28"/>
                <c:pt idx="0">
                  <c:v>8.313</c:v>
                </c:pt>
                <c:pt idx="1">
                  <c:v>7.5725</c:v>
                </c:pt>
                <c:pt idx="2">
                  <c:v>7.2366</c:v>
                </c:pt>
                <c:pt idx="3">
                  <c:v>6.7252</c:v>
                </c:pt>
                <c:pt idx="4">
                  <c:v>6.084</c:v>
                </c:pt>
                <c:pt idx="5">
                  <c:v>5.1298</c:v>
                </c:pt>
                <c:pt idx="6">
                  <c:v>3.6336</c:v>
                </c:pt>
                <c:pt idx="7">
                  <c:v>1.771</c:v>
                </c:pt>
                <c:pt idx="8">
                  <c:v>0.3282</c:v>
                </c:pt>
                <c:pt idx="9">
                  <c:v>-0.5878</c:v>
                </c:pt>
                <c:pt idx="10">
                  <c:v>-1</c:v>
                </c:pt>
                <c:pt idx="11">
                  <c:v>-12.9924</c:v>
                </c:pt>
                <c:pt idx="12">
                  <c:v>-12.3817</c:v>
                </c:pt>
                <c:pt idx="13">
                  <c:v>-10.1679</c:v>
                </c:pt>
                <c:pt idx="14">
                  <c:v>-9.458</c:v>
                </c:pt>
                <c:pt idx="15">
                  <c:v>-6.1679</c:v>
                </c:pt>
                <c:pt idx="16">
                  <c:v>-3.4809</c:v>
                </c:pt>
                <c:pt idx="17">
                  <c:v>-0.2061</c:v>
                </c:pt>
                <c:pt idx="18">
                  <c:v>-1.145</c:v>
                </c:pt>
                <c:pt idx="19">
                  <c:v>6.9695</c:v>
                </c:pt>
                <c:pt idx="20">
                  <c:v>6.6794</c:v>
                </c:pt>
                <c:pt idx="21">
                  <c:v>6.0611</c:v>
                </c:pt>
                <c:pt idx="22">
                  <c:v>4.8015</c:v>
                </c:pt>
                <c:pt idx="23">
                  <c:v>2.855</c:v>
                </c:pt>
                <c:pt idx="24">
                  <c:v>0.9084</c:v>
                </c:pt>
                <c:pt idx="25">
                  <c:v>-0.2519</c:v>
                </c:pt>
                <c:pt idx="26">
                  <c:v>-1.084</c:v>
                </c:pt>
                <c:pt idx="27">
                  <c:v>-1.3588</c:v>
                </c:pt>
              </c:numCache>
            </c:numRef>
          </c:val>
          <c:smooth val="0"/>
        </c:ser>
        <c:hiLowLines>
          <c:spPr>
            <a:ln>
              <a:noFill/>
            </a:ln>
          </c:spPr>
        </c:hiLowLines>
        <c:marker val="1"/>
        <c:axId val="79221934"/>
        <c:axId val="9059182"/>
      </c:lineChart>
      <c:catAx>
        <c:axId val="79221934"/>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strike="noStrike">
                <a:solidFill>
                  <a:srgbClr val="595959"/>
                </a:solidFill>
                <a:uFill>
                  <a:solidFill>
                    <a:srgbClr val="ffffff"/>
                  </a:solidFill>
                </a:uFill>
                <a:latin typeface="Calibri"/>
              </a:defRPr>
            </a:pPr>
          </a:p>
        </c:txPr>
        <c:crossAx val="9059182"/>
        <c:crosses val="autoZero"/>
        <c:auto val="1"/>
        <c:lblAlgn val="ctr"/>
        <c:lblOffset val="100"/>
      </c:catAx>
      <c:valAx>
        <c:axId val="905918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strike="noStrike">
                <a:solidFill>
                  <a:srgbClr val="595959"/>
                </a:solidFill>
                <a:uFill>
                  <a:solidFill>
                    <a:srgbClr val="ffffff"/>
                  </a:solidFill>
                </a:uFill>
                <a:latin typeface="Calibri"/>
              </a:defRPr>
            </a:pPr>
          </a:p>
        </c:txPr>
        <c:crossAx val="79221934"/>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a:lstStyle/>
          <a:p>
            <a:pPr>
              <a:defRPr sz="1400" spc="-1" strike="noStrike">
                <a:solidFill>
                  <a:srgbClr val="595959"/>
                </a:solidFill>
                <a:uFill>
                  <a:solidFill>
                    <a:srgbClr val="ffffff"/>
                  </a:solidFill>
                </a:uFill>
                <a:latin typeface="Calibri"/>
              </a:defRPr>
            </a:pPr>
            <a:r>
              <a:rPr sz="1400" spc="-1" strike="noStrike">
                <a:solidFill>
                  <a:srgbClr val="595959"/>
                </a:solidFill>
                <a:uFill>
                  <a:solidFill>
                    <a:srgbClr val="ffffff"/>
                  </a:solidFill>
                </a:uFill>
                <a:latin typeface="Calibri"/>
              </a:rPr>
              <a:t>Averaged values</a:t>
            </a:r>
          </a:p>
        </c:rich>
      </c:tx>
      <c:overlay val="0"/>
    </c:title>
    <c:autoTitleDeleted val="0"/>
    <c:plotArea>
      <c:lineChart>
        <c:grouping val="standard"/>
        <c:ser>
          <c:idx val="0"/>
          <c:order val="0"/>
          <c:tx>
            <c:strRef>
              <c:f>label 0</c:f>
              <c:strCache>
                <c:ptCount val="1"/>
                <c:pt idx="0">
                  <c:v>ax</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0</c:f>
              <c:numCache>
                <c:formatCode>General</c:formatCode>
                <c:ptCount val="17"/>
                <c:pt idx="0">
                  <c:v>-0.04622</c:v>
                </c:pt>
                <c:pt idx="1">
                  <c:v>-0.0409222222222</c:v>
                </c:pt>
                <c:pt idx="2">
                  <c:v>-0.07321</c:v>
                </c:pt>
                <c:pt idx="3">
                  <c:v>-0.0520375</c:v>
                </c:pt>
                <c:pt idx="4">
                  <c:v>-0.0744444444444</c:v>
                </c:pt>
                <c:pt idx="5">
                  <c:v>-0.0489444444444</c:v>
                </c:pt>
                <c:pt idx="6">
                  <c:v>-0.081625</c:v>
                </c:pt>
                <c:pt idx="7">
                  <c:v>-0.04521</c:v>
                </c:pt>
                <c:pt idx="8">
                  <c:v>-0.0756875</c:v>
                </c:pt>
                <c:pt idx="9">
                  <c:v>-0.0443</c:v>
                </c:pt>
                <c:pt idx="10">
                  <c:v>-0.0707111111111</c:v>
                </c:pt>
                <c:pt idx="11">
                  <c:v>-0.045225</c:v>
                </c:pt>
                <c:pt idx="12">
                  <c:v>-0.087775</c:v>
                </c:pt>
                <c:pt idx="13">
                  <c:v>-0.0588625</c:v>
                </c:pt>
                <c:pt idx="14">
                  <c:v>-0.079525</c:v>
                </c:pt>
                <c:pt idx="15">
                  <c:v>-0.0532375</c:v>
                </c:pt>
                <c:pt idx="16">
                  <c:v>-0.076</c:v>
                </c:pt>
              </c:numCache>
            </c:numRef>
          </c:val>
          <c:smooth val="0"/>
        </c:ser>
        <c:ser>
          <c:idx val="1"/>
          <c:order val="1"/>
          <c:tx>
            <c:strRef>
              <c:f>label 1</c:f>
              <c:strCache>
                <c:ptCount val="1"/>
                <c:pt idx="0">
                  <c:v>ay</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1</c:f>
              <c:numCache>
                <c:formatCode>General</c:formatCode>
                <c:ptCount val="17"/>
                <c:pt idx="0">
                  <c:v>-1.02308</c:v>
                </c:pt>
                <c:pt idx="1">
                  <c:v>-1.00536666667</c:v>
                </c:pt>
                <c:pt idx="2">
                  <c:v>-1.02681</c:v>
                </c:pt>
                <c:pt idx="3">
                  <c:v>-0.99755</c:v>
                </c:pt>
                <c:pt idx="4">
                  <c:v>-1.0287</c:v>
                </c:pt>
                <c:pt idx="5">
                  <c:v>-1.00485555556</c:v>
                </c:pt>
                <c:pt idx="6">
                  <c:v>-1.0285125</c:v>
                </c:pt>
                <c:pt idx="7">
                  <c:v>-1.0026</c:v>
                </c:pt>
                <c:pt idx="8">
                  <c:v>-1.027175</c:v>
                </c:pt>
                <c:pt idx="9">
                  <c:v>-1.00155555556</c:v>
                </c:pt>
                <c:pt idx="10">
                  <c:v>-1.03183333333</c:v>
                </c:pt>
                <c:pt idx="11">
                  <c:v>-0.9990125</c:v>
                </c:pt>
                <c:pt idx="12">
                  <c:v>-1.0252125</c:v>
                </c:pt>
                <c:pt idx="13">
                  <c:v>-0.9927375</c:v>
                </c:pt>
                <c:pt idx="14">
                  <c:v>-1.024475</c:v>
                </c:pt>
                <c:pt idx="15">
                  <c:v>-0.9947875</c:v>
                </c:pt>
                <c:pt idx="16">
                  <c:v>-1.02898571429</c:v>
                </c:pt>
              </c:numCache>
            </c:numRef>
          </c:val>
          <c:smooth val="0"/>
        </c:ser>
        <c:ser>
          <c:idx val="2"/>
          <c:order val="2"/>
          <c:tx>
            <c:strRef>
              <c:f>label 2</c:f>
              <c:strCache>
                <c:ptCount val="1"/>
                <c:pt idx="0">
                  <c:v>az</c:v>
                </c:pt>
              </c:strCache>
            </c:strRef>
          </c:tx>
          <c:spPr>
            <a:solidFill>
              <a:srgbClr val="a5a5a5"/>
            </a:solidFill>
            <a:ln w="28440">
              <a:solidFill>
                <a:srgbClr val="a5a5a5"/>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2</c:f>
              <c:numCache>
                <c:formatCode>General</c:formatCode>
                <c:ptCount val="17"/>
                <c:pt idx="0">
                  <c:v>-0.13964</c:v>
                </c:pt>
                <c:pt idx="1">
                  <c:v>-0.262211111111</c:v>
                </c:pt>
                <c:pt idx="2">
                  <c:v>-0.11382</c:v>
                </c:pt>
                <c:pt idx="3">
                  <c:v>-0.2927</c:v>
                </c:pt>
                <c:pt idx="4">
                  <c:v>-0.108144444444</c:v>
                </c:pt>
                <c:pt idx="5">
                  <c:v>-0.279077777778</c:v>
                </c:pt>
                <c:pt idx="6">
                  <c:v>-0.0986</c:v>
                </c:pt>
                <c:pt idx="7">
                  <c:v>-0.28276</c:v>
                </c:pt>
                <c:pt idx="8">
                  <c:v>-0.096275</c:v>
                </c:pt>
                <c:pt idx="9">
                  <c:v>-0.274166666667</c:v>
                </c:pt>
                <c:pt idx="10">
                  <c:v>-0.1194</c:v>
                </c:pt>
                <c:pt idx="11">
                  <c:v>-0.2897125</c:v>
                </c:pt>
                <c:pt idx="12">
                  <c:v>-0.098075</c:v>
                </c:pt>
                <c:pt idx="13">
                  <c:v>-0.3045375</c:v>
                </c:pt>
                <c:pt idx="14">
                  <c:v>-0.0941</c:v>
                </c:pt>
                <c:pt idx="15">
                  <c:v>-0.3028875</c:v>
                </c:pt>
                <c:pt idx="16">
                  <c:v>-0.0868428571429</c:v>
                </c:pt>
              </c:numCache>
            </c:numRef>
          </c:val>
          <c:smooth val="0"/>
        </c:ser>
        <c:ser>
          <c:idx val="3"/>
          <c:order val="3"/>
          <c:tx>
            <c:strRef>
              <c:f>label 3</c:f>
              <c:strCache>
                <c:ptCount val="1"/>
                <c:pt idx="0">
                  <c:v>gx</c:v>
                </c:pt>
              </c:strCache>
            </c:strRef>
          </c:tx>
          <c:spPr>
            <a:solidFill>
              <a:srgbClr val="ffc000"/>
            </a:solidFill>
            <a:ln w="28440">
              <a:solidFill>
                <a:srgbClr val="ffc000"/>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3</c:f>
              <c:numCache>
                <c:formatCode>General</c:formatCode>
                <c:ptCount val="17"/>
                <c:pt idx="0">
                  <c:v>0.44657</c:v>
                </c:pt>
                <c:pt idx="1">
                  <c:v>-2.90414444444</c:v>
                </c:pt>
                <c:pt idx="2">
                  <c:v>0.35879</c:v>
                </c:pt>
                <c:pt idx="3">
                  <c:v>-2.3864625</c:v>
                </c:pt>
                <c:pt idx="4">
                  <c:v>0.542</c:v>
                </c:pt>
                <c:pt idx="5">
                  <c:v>-2.60643333333</c:v>
                </c:pt>
                <c:pt idx="6">
                  <c:v>0.9895</c:v>
                </c:pt>
                <c:pt idx="7">
                  <c:v>-2.75038</c:v>
                </c:pt>
                <c:pt idx="8">
                  <c:v>0.8845375</c:v>
                </c:pt>
                <c:pt idx="9">
                  <c:v>-2.72094444444</c:v>
                </c:pt>
                <c:pt idx="10">
                  <c:v>0.851555555556</c:v>
                </c:pt>
                <c:pt idx="11">
                  <c:v>-2.8444625</c:v>
                </c:pt>
                <c:pt idx="12">
                  <c:v>1.398875</c:v>
                </c:pt>
                <c:pt idx="13">
                  <c:v>-2.7986625</c:v>
                </c:pt>
                <c:pt idx="14">
                  <c:v>1.121175</c:v>
                </c:pt>
                <c:pt idx="15">
                  <c:v>-3.062975</c:v>
                </c:pt>
                <c:pt idx="16">
                  <c:v>0.846257142857</c:v>
                </c:pt>
              </c:numCache>
            </c:numRef>
          </c:val>
          <c:smooth val="0"/>
        </c:ser>
        <c:ser>
          <c:idx val="4"/>
          <c:order val="4"/>
          <c:tx>
            <c:strRef>
              <c:f>label 4</c:f>
              <c:strCache>
                <c:ptCount val="1"/>
                <c:pt idx="0">
                  <c:v>gy</c:v>
                </c:pt>
              </c:strCache>
            </c:strRef>
          </c:tx>
          <c:spPr>
            <a:solidFill>
              <a:srgbClr val="4472c4"/>
            </a:solidFill>
            <a:ln w="28440">
              <a:solidFill>
                <a:srgbClr val="4472c4"/>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4</c:f>
              <c:numCache>
                <c:formatCode>General</c:formatCode>
                <c:ptCount val="17"/>
                <c:pt idx="0">
                  <c:v>31.63665</c:v>
                </c:pt>
                <c:pt idx="1">
                  <c:v>-44.8770111111</c:v>
                </c:pt>
                <c:pt idx="2">
                  <c:v>43.7351</c:v>
                </c:pt>
                <c:pt idx="3">
                  <c:v>-46.731875</c:v>
                </c:pt>
                <c:pt idx="4">
                  <c:v>46.3375777778</c:v>
                </c:pt>
                <c:pt idx="5">
                  <c:v>-46.7472555556</c:v>
                </c:pt>
                <c:pt idx="6">
                  <c:v>49.288175</c:v>
                </c:pt>
                <c:pt idx="7">
                  <c:v>-41.87788</c:v>
                </c:pt>
                <c:pt idx="8">
                  <c:v>45.86545</c:v>
                </c:pt>
                <c:pt idx="9">
                  <c:v>-43.7234888889</c:v>
                </c:pt>
                <c:pt idx="10">
                  <c:v>47.8583666667</c:v>
                </c:pt>
                <c:pt idx="11">
                  <c:v>-45.9771125</c:v>
                </c:pt>
                <c:pt idx="12">
                  <c:v>52.24045</c:v>
                </c:pt>
                <c:pt idx="13">
                  <c:v>-48.7347375</c:v>
                </c:pt>
                <c:pt idx="14">
                  <c:v>51.303425</c:v>
                </c:pt>
                <c:pt idx="15">
                  <c:v>-49.0496125</c:v>
                </c:pt>
                <c:pt idx="16">
                  <c:v>47.9781714286</c:v>
                </c:pt>
              </c:numCache>
            </c:numRef>
          </c:val>
          <c:smooth val="0"/>
        </c:ser>
        <c:ser>
          <c:idx val="5"/>
          <c:order val="5"/>
          <c:tx>
            <c:strRef>
              <c:f>label 5</c:f>
              <c:strCache>
                <c:ptCount val="1"/>
                <c:pt idx="0">
                  <c:v>gz</c:v>
                </c:pt>
              </c:strCache>
            </c:strRef>
          </c:tx>
          <c:spPr>
            <a:solidFill>
              <a:srgbClr val="70ad47"/>
            </a:solidFill>
            <a:ln w="28440">
              <a:solidFill>
                <a:srgbClr val="70ad47"/>
              </a:solidFill>
              <a:round/>
            </a:ln>
          </c:spPr>
          <c:marker>
            <c:symbol val="none"/>
          </c:marker>
          <c:dLbls>
            <c:dLblPos val="r"/>
            <c:showLegendKey val="0"/>
            <c:showVal val="0"/>
            <c:showCatName val="0"/>
            <c:showSerName val="0"/>
            <c:showPercent val="0"/>
            <c:showLeaderLines val="0"/>
          </c:dLbls>
          <c:cat>
            <c:strRef>
              <c:f>categories</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5</c:f>
              <c:numCache>
                <c:formatCode>General</c:formatCode>
                <c:ptCount val="17"/>
                <c:pt idx="0">
                  <c:v>3.22595</c:v>
                </c:pt>
                <c:pt idx="1">
                  <c:v>-7.76336666667</c:v>
                </c:pt>
                <c:pt idx="2">
                  <c:v>5.04733</c:v>
                </c:pt>
                <c:pt idx="3">
                  <c:v>-8.176525</c:v>
                </c:pt>
                <c:pt idx="4">
                  <c:v>5.37318888889</c:v>
                </c:pt>
                <c:pt idx="5">
                  <c:v>-8.0297</c:v>
                </c:pt>
                <c:pt idx="6">
                  <c:v>6.281475</c:v>
                </c:pt>
                <c:pt idx="7">
                  <c:v>-7.30382</c:v>
                </c:pt>
                <c:pt idx="8">
                  <c:v>5.2375875</c:v>
                </c:pt>
                <c:pt idx="9">
                  <c:v>-7.59203333333</c:v>
                </c:pt>
                <c:pt idx="10">
                  <c:v>5.85835555556</c:v>
                </c:pt>
                <c:pt idx="11">
                  <c:v>-7.7347375</c:v>
                </c:pt>
                <c:pt idx="12">
                  <c:v>6.1898875</c:v>
                </c:pt>
                <c:pt idx="13">
                  <c:v>-8.3368375</c:v>
                </c:pt>
                <c:pt idx="14">
                  <c:v>6.0792</c:v>
                </c:pt>
                <c:pt idx="15">
                  <c:v>-8.0591625</c:v>
                </c:pt>
                <c:pt idx="16">
                  <c:v>5.55505714286</c:v>
                </c:pt>
              </c:numCache>
            </c:numRef>
          </c:val>
          <c:smooth val="0"/>
        </c:ser>
        <c:hiLowLines>
          <c:spPr>
            <a:ln>
              <a:noFill/>
            </a:ln>
          </c:spPr>
        </c:hiLowLines>
        <c:marker val="0"/>
        <c:axId val="22180366"/>
        <c:axId val="45914468"/>
      </c:lineChart>
      <c:catAx>
        <c:axId val="22180366"/>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sz="900" spc="-1" strike="noStrike">
                <a:solidFill>
                  <a:srgbClr val="595959"/>
                </a:solidFill>
                <a:uFill>
                  <a:solidFill>
                    <a:srgbClr val="ffffff"/>
                  </a:solidFill>
                </a:uFill>
                <a:latin typeface="Calibri"/>
              </a:defRPr>
            </a:pPr>
          </a:p>
        </c:txPr>
        <c:crossAx val="45914468"/>
        <c:crosses val="autoZero"/>
        <c:auto val="1"/>
        <c:lblAlgn val="ctr"/>
        <c:lblOffset val="100"/>
      </c:catAx>
      <c:valAx>
        <c:axId val="4591446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sz="900" spc="-1" strike="noStrike">
                <a:solidFill>
                  <a:srgbClr val="595959"/>
                </a:solidFill>
                <a:uFill>
                  <a:solidFill>
                    <a:srgbClr val="ffffff"/>
                  </a:solidFill>
                </a:uFill>
                <a:latin typeface="Calibri"/>
              </a:defRPr>
            </a:pPr>
          </a:p>
        </c:txPr>
        <c:crossAx val="22180366"/>
        <c:crosses val="autoZero"/>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LibreOffice/5.0.5.2$Linux_X86_64 LibreOffice_project/00m0$Build-2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2016-04-25T17:26:00Z</dcterms:created>
  <dc:creator>wzp</dc:creator>
  <dc:language>en-US</dc:language>
  <dcterms:modified xsi:type="dcterms:W3CDTF">2016-04-26T19:19:01Z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