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IGRIS SITUATION INTELLIGENCE REPORT TEMPLATE</w:t>
      </w:r>
    </w:p>
    <w:p>
      <w:r>
        <w:t>ARAC International Inc. · Quanta Analytica</w:t>
      </w:r>
    </w:p>
    <w:p>
      <w:pPr>
        <w:pStyle w:val="Heading2"/>
      </w:pPr>
      <w:r>
        <w:t>1. Administrative Data</w:t>
      </w:r>
    </w:p>
    <w:p>
      <w:r>
        <w:t>Table of metadata for report administration.</w:t>
      </w:r>
    </w:p>
    <w:p>
      <w:pPr>
        <w:pStyle w:val="Heading2"/>
      </w:pPr>
      <w:r>
        <w:t>2. Executive Summary</w:t>
      </w:r>
    </w:p>
    <w:p>
      <w:r>
        <w:t>Concise overview of the week’s or quarter’s situation.</w:t>
      </w:r>
    </w:p>
    <w:p>
      <w:pPr>
        <w:pStyle w:val="Heading2"/>
      </w:pPr>
      <w:r>
        <w:t>3. Regional Operating Picture (ROP)</w:t>
      </w:r>
    </w:p>
    <w:p>
      <w:r>
        <w:t>Overview of regional conditions (Political, Security, Humanitarian, Economic, Information).</w:t>
      </w:r>
    </w:p>
    <w:p>
      <w:pPr>
        <w:pStyle w:val="Heading2"/>
      </w:pPr>
      <w:r>
        <w:t>4. Event Signals Log</w:t>
      </w:r>
    </w:p>
    <w:p>
      <w:r>
        <w:t>Log of raw, high-value signals detected through IGRIS feeds.</w:t>
      </w:r>
    </w:p>
    <w:p>
      <w:pPr>
        <w:pStyle w:val="Heading2"/>
      </w:pPr>
      <w:r>
        <w:t>5. Indicator Assessment</w:t>
      </w:r>
    </w:p>
    <w:p>
      <w:r>
        <w:t>Validation of repeating signals forming verified indicators.</w:t>
      </w:r>
    </w:p>
    <w:p>
      <w:pPr>
        <w:pStyle w:val="Heading2"/>
      </w:pPr>
      <w:r>
        <w:t>6. Driver Analysis (PESTELS + CARVER Overlay)</w:t>
      </w:r>
    </w:p>
    <w:p>
      <w:r>
        <w:t>Systemic root causes and vulnerabilities underlying indicators.</w:t>
      </w:r>
    </w:p>
    <w:p>
      <w:pPr>
        <w:pStyle w:val="Heading2"/>
      </w:pPr>
      <w:r>
        <w:t>7. Scenario Outlook</w:t>
      </w:r>
    </w:p>
    <w:p>
      <w:r>
        <w:t>Monte Carlo simulations and scenario projections.</w:t>
      </w:r>
    </w:p>
    <w:p>
      <w:pPr>
        <w:pStyle w:val="Heading2"/>
      </w:pPr>
      <w:r>
        <w:t>8. Strategic Implications &amp; Risk Posture</w:t>
      </w:r>
    </w:p>
    <w:p>
      <w:r>
        <w:t>Impacts on operations, governance, and regional stability.</w:t>
      </w:r>
    </w:p>
    <w:p>
      <w:pPr>
        <w:pStyle w:val="Heading2"/>
      </w:pPr>
      <w:r>
        <w:t>9. Recommended Mitigation &amp; Response Measures</w:t>
      </w:r>
    </w:p>
    <w:p>
      <w:r>
        <w:t>Actionable measures to mitigate identified risks.</w:t>
      </w:r>
    </w:p>
    <w:p>
      <w:pPr>
        <w:pStyle w:val="Heading2"/>
      </w:pPr>
      <w:r>
        <w:t>10. Watchlist Indicators for Next Cycle</w:t>
      </w:r>
    </w:p>
    <w:p>
      <w:r>
        <w:t>Measurable triggers for continued monitoring.</w:t>
      </w:r>
    </w:p>
    <w:p>
      <w:pPr>
        <w:pStyle w:val="Heading2"/>
      </w:pPr>
      <w:r>
        <w:t>11. Sources &amp; Citations</w:t>
      </w:r>
    </w:p>
    <w:p>
      <w:r>
        <w:t>APA-style references with hyperlinks.</w:t>
      </w:r>
    </w:p>
    <w:p>
      <w:pPr>
        <w:pStyle w:val="Heading2"/>
      </w:pPr>
      <w:r>
        <w:t>12. Prepared By</w:t>
      </w:r>
    </w:p>
    <w:p>
      <w:r>
        <w:t>Prepared by ARAC International Inc. — Global Security Analysis &amp; Independent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