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Replication Memo</w:t>
      </w:r>
    </w:p>
    <w:p>
      <w:pPr>
        <w:spacing w:after="100"/>
      </w:pPr>
      <w:r>
        <w:t xml:space="preserve">Indonesia SMB and HML Factors — Audit Route and Full Construction Route</w:t>
      </w:r>
    </w:p>
    <w:p>
      <w:pPr>
        <w:spacing w:after="120"/>
      </w:pPr>
      <w:r>
        <w:rPr>
          <w:i/>
          <w:iCs/>
          <w:sz w:val="20"/>
          <w:szCs w:val="20"/>
        </w:rPr>
        <w:t xml:space="preserve">Course reference: Indonesia SMB and HML Student Replication Guide (v. 6 September 2026), research lead Zaäfri Husodo.</w:t>
      </w:r>
    </w:p>
    <w:p>
      <w:pPr>
        <w:spacing w:after="120"/>
      </w:pPr>
      <w:r>
        <w:rPr>
          <w:i/>
          <w:iCs/>
          <w:sz w:val="20"/>
          <w:szCs w:val="20"/>
        </w:rPr>
        <w:t xml:space="preserve">Prepared by: Iman Satyo Adi (2306208262) — Praktikum Riset Keuangan, Week 4 Assignment</w:t>
      </w:r>
    </w:p>
    <w:p>
      <w:pPr>
        <w:spacing w:after="120"/>
      </w:pPr>
      <w:r>
        <w:rPr>
          <w:i/>
          <w:iCs/>
          <w:sz w:val="20"/>
          <w:szCs w:val="20"/>
        </w:rPr>
        <w:t xml:space="preserve">Prepared: 25 September 2026</w:t>
      </w:r>
    </w:p>
    <w:p>
      <w:pPr>
        <w:pStyle w:val="Heading1"/>
        <w:spacing w:after="150" w:before="300"/>
      </w:pPr>
      <w:r>
        <w:t xml:space="preserve">1. Summary</w:t>
      </w:r>
    </w:p>
    <w:p>
      <w:pPr>
        <w:spacing w:after="120"/>
      </w:pPr>
      <w:r>
        <w:t xml:space="preserve">Both routes described in the guide were completed. The audit route confirmed the shared six-portfolio and factor files are internally consistent (identities recompute within floating-point rounding). The full construction route rebuilt SMB and HML from the raw stock-level panel: reshaping 901 entities of total return and market capitalization data, cleaning and aligning to the class calendar, forming annual size/book-to-market portfolios for 13 formation years (2014-2026), computing six daily value-weighted portfolios, deriving daily SMB/HML, and compounding to weekly and monthly frequency.</w:t>
      </w:r>
    </w:p>
    <w:p>
      <w:pPr>
        <w:spacing w:after="120"/>
      </w:pPr>
      <w:r>
        <w:t xml:space="preserve">Three of the four “verified build” diagnostic totals in the guide matched exactly: 901/901 entities, 56/56 capped return observations, 903/903 market-cap adjustments, and 0/0 missing daily SMB/HML for both variants. Annual eligible-firm counts matched the benchmark exactly in all 26 formation-year x variant combinations, and breakpoints matched to floating-point precision in 24 of 26. One formation year (2024) has a genuine, diagnosed boundary-tie sensitivity affecting a small number of firms, described in Section 4.</w:t>
      </w:r>
    </w:p>
    <w:p>
      <w:pPr>
        <w:pStyle w:val="Heading1"/>
        <w:spacing w:after="150" w:before="300"/>
      </w:pPr>
      <w:r>
        <w:t xml:space="preserve">2. Audit route (six portfolios vs FF3 files)</w:t>
      </w:r>
    </w:p>
    <w:p>
      <w:pPr>
        <w:spacing w:after="120"/>
      </w:pPr>
      <w:r>
        <w:t xml:space="preserve">SMB and HML were recomputed directly from the six supplied portfolio files and compared to the supplied FF3 factor files by date, following the guide's Step 1-3 exactly.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1200"/>
        <w:gridCol w:w="1900"/>
        <w:gridCol w:w="1900"/>
        <w:gridCol w:w="1200"/>
      </w:tblGrid>
      <w:tr>
        <w:tc>
          <w:tcPr>
            <w:tcW w:type="dxa" w:w="1400"/>
            <w:shd w:fill="1F3864" w:val="clear"/>
          </w:tcPr>
          <w:p>
            <w:r>
              <w:rPr>
                <w:b/>
                <w:bCs/>
                <w:color w:val="FFFFFF"/>
                <w:sz w:val="17"/>
                <w:szCs w:val="17"/>
              </w:rPr>
              <w:t xml:space="preserve">Frequency</w:t>
            </w:r>
          </w:p>
        </w:tc>
        <w:tc>
          <w:tcPr>
            <w:tcW w:type="dxa" w:w="1750"/>
            <w:shd w:fill="1F3864" w:val="clear"/>
          </w:tcPr>
          <w:p>
            <w:r>
              <w:rPr>
                <w:b/>
                <w:bCs/>
                <w:color w:val="FFFFFF"/>
                <w:sz w:val="17"/>
                <w:szCs w:val="17"/>
              </w:rPr>
              <w:t xml:space="preserve">Variant</w:t>
            </w:r>
          </w:p>
        </w:tc>
        <w:tc>
          <w:tcPr>
            <w:tcW w:type="dxa" w:w="1200"/>
            <w:shd w:fill="1F3864" w:val="clear"/>
          </w:tcPr>
          <w:p>
            <w:r>
              <w:rPr>
                <w:b/>
                <w:bCs/>
                <w:color w:val="FFFFFF"/>
                <w:sz w:val="17"/>
                <w:szCs w:val="17"/>
              </w:rPr>
              <w:t xml:space="preserve">Rows</w:t>
            </w:r>
          </w:p>
        </w:tc>
        <w:tc>
          <w:tcPr>
            <w:tcW w:type="dxa" w:w="1900"/>
            <w:shd w:fill="1F3864" w:val="clear"/>
          </w:tcPr>
          <w:p>
            <w:r>
              <w:rPr>
                <w:b/>
                <w:bCs/>
                <w:color w:val="FFFFFF"/>
                <w:sz w:val="17"/>
                <w:szCs w:val="17"/>
              </w:rPr>
              <w:t xml:space="preserve">Max |SMB diff| (pp)</w:t>
            </w:r>
          </w:p>
        </w:tc>
        <w:tc>
          <w:tcPr>
            <w:tcW w:type="dxa" w:w="1900"/>
            <w:shd w:fill="1F3864" w:val="clear"/>
          </w:tcPr>
          <w:p>
            <w:r>
              <w:rPr>
                <w:b/>
                <w:bCs/>
                <w:color w:val="FFFFFF"/>
                <w:sz w:val="17"/>
                <w:szCs w:val="17"/>
              </w:rPr>
              <w:t xml:space="preserve">Max |HML diff| (pp)</w:t>
            </w:r>
          </w:p>
        </w:tc>
        <w:tc>
          <w:tcPr>
            <w:tcW w:type="dxa" w:w="1200"/>
            <w:shd w:fill="1F3864" w:val="clear"/>
          </w:tcPr>
          <w:p>
            <w:r>
              <w:rPr>
                <w:b/>
                <w:bCs/>
                <w:color w:val="FFFFFF"/>
                <w:sz w:val="17"/>
                <w:szCs w:val="17"/>
              </w:rPr>
              <w:t xml:space="preserve">Result</w:t>
            </w:r>
          </w:p>
        </w:tc>
      </w:tr>
      <w:tr>
        <w:tc>
          <w:tcPr>
            <w:tcW w:type="dxa" w:w="1400"/>
          </w:tcPr>
          <w:p>
            <w:r>
              <w:rPr>
                <w:b w:val="false"/>
                <w:bCs w:val="false"/>
                <w:sz w:val="17"/>
                <w:szCs w:val="17"/>
              </w:rPr>
              <w:t xml:space="preserve">Daily</w:t>
            </w:r>
          </w:p>
        </w:tc>
        <w:tc>
          <w:tcPr>
            <w:tcW w:type="dxa" w:w="1750"/>
          </w:tcPr>
          <w:p>
            <w:r>
              <w:rPr>
                <w:b w:val="false"/>
                <w:bCs w:val="false"/>
                <w:sz w:val="17"/>
                <w:szCs w:val="17"/>
              </w:rPr>
              <w:t xml:space="preserve">ALL</w:t>
            </w:r>
          </w:p>
        </w:tc>
        <w:tc>
          <w:tcPr>
            <w:tcW w:type="dxa" w:w="1200"/>
          </w:tcPr>
          <w:p>
            <w:r>
              <w:rPr>
                <w:b w:val="false"/>
                <w:bCs w:val="false"/>
                <w:sz w:val="17"/>
                <w:szCs w:val="17"/>
              </w:rPr>
              <w:t xml:space="preserve">2792</w:t>
            </w:r>
          </w:p>
        </w:tc>
        <w:tc>
          <w:tcPr>
            <w:tcW w:type="dxa" w:w="1900"/>
          </w:tcPr>
          <w:p>
            <w:r>
              <w:rPr>
                <w:b w:val="false"/>
                <w:bCs w:val="false"/>
                <w:sz w:val="17"/>
                <w:szCs w:val="17"/>
              </w:rPr>
              <w:t xml:space="preserve">0.000001</w:t>
            </w:r>
          </w:p>
        </w:tc>
        <w:tc>
          <w:tcPr>
            <w:tcW w:type="dxa" w:w="1900"/>
          </w:tcPr>
          <w:p>
            <w:r>
              <w:rPr>
                <w:b w:val="false"/>
                <w:bCs w:val="false"/>
                <w:sz w:val="17"/>
                <w:szCs w:val="17"/>
              </w:rPr>
              <w:t xml:space="preserve">0.000001</w:t>
            </w:r>
          </w:p>
        </w:tc>
        <w:tc>
          <w:tcPr>
            <w:tcW w:type="dxa" w:w="1200"/>
          </w:tcPr>
          <w:p>
            <w:r>
              <w:rPr>
                <w:b w:val="false"/>
                <w:bCs w:val="false"/>
                <w:sz w:val="17"/>
                <w:szCs w:val="17"/>
              </w:rPr>
              <w:t xml:space="preserve">PASS (tol. 0.000002)</w:t>
            </w:r>
          </w:p>
        </w:tc>
      </w:tr>
      <w:tr>
        <w:tc>
          <w:tcPr>
            <w:tcW w:type="dxa" w:w="1400"/>
          </w:tcPr>
          <w:p>
            <w:r>
              <w:rPr>
                <w:b w:val="false"/>
                <w:bCs w:val="false"/>
                <w:sz w:val="17"/>
                <w:szCs w:val="17"/>
              </w:rPr>
              <w:t xml:space="preserve">Daily</w:t>
            </w:r>
          </w:p>
        </w:tc>
        <w:tc>
          <w:tcPr>
            <w:tcW w:type="dxa" w:w="1750"/>
          </w:tcPr>
          <w:p>
            <w:r>
              <w:rPr>
                <w:b w:val="false"/>
                <w:bCs w:val="false"/>
                <w:sz w:val="17"/>
                <w:szCs w:val="17"/>
              </w:rPr>
              <w:t xml:space="preserve">SCREENED</w:t>
            </w:r>
          </w:p>
        </w:tc>
        <w:tc>
          <w:tcPr>
            <w:tcW w:type="dxa" w:w="1200"/>
          </w:tcPr>
          <w:p>
            <w:r>
              <w:rPr>
                <w:b w:val="false"/>
                <w:bCs w:val="false"/>
                <w:sz w:val="17"/>
                <w:szCs w:val="17"/>
              </w:rPr>
              <w:t xml:space="preserve">2792</w:t>
            </w:r>
          </w:p>
        </w:tc>
        <w:tc>
          <w:tcPr>
            <w:tcW w:type="dxa" w:w="1900"/>
          </w:tcPr>
          <w:p>
            <w:r>
              <w:rPr>
                <w:b w:val="false"/>
                <w:bCs w:val="false"/>
                <w:sz w:val="17"/>
                <w:szCs w:val="17"/>
              </w:rPr>
              <w:t xml:space="preserve">0.000001</w:t>
            </w:r>
          </w:p>
        </w:tc>
        <w:tc>
          <w:tcPr>
            <w:tcW w:type="dxa" w:w="1900"/>
          </w:tcPr>
          <w:p>
            <w:r>
              <w:rPr>
                <w:b w:val="false"/>
                <w:bCs w:val="false"/>
                <w:sz w:val="17"/>
                <w:szCs w:val="17"/>
              </w:rPr>
              <w:t xml:space="preserve">0.000001</w:t>
            </w:r>
          </w:p>
        </w:tc>
        <w:tc>
          <w:tcPr>
            <w:tcW w:type="dxa" w:w="1200"/>
          </w:tcPr>
          <w:p>
            <w:r>
              <w:rPr>
                <w:b w:val="false"/>
                <w:bCs w:val="false"/>
                <w:sz w:val="17"/>
                <w:szCs w:val="17"/>
              </w:rPr>
              <w:t xml:space="preserve">PASS (tol. 0.000002)</w:t>
            </w:r>
          </w:p>
        </w:tc>
      </w:tr>
      <w:tr>
        <w:tc>
          <w:tcPr>
            <w:tcW w:type="dxa" w:w="1400"/>
          </w:tcPr>
          <w:p>
            <w:r>
              <w:rPr>
                <w:b w:val="false"/>
                <w:bCs w:val="false"/>
                <w:sz w:val="17"/>
                <w:szCs w:val="17"/>
              </w:rPr>
              <w:t xml:space="preserve">Weekly</w:t>
            </w:r>
          </w:p>
        </w:tc>
        <w:tc>
          <w:tcPr>
            <w:tcW w:type="dxa" w:w="1750"/>
          </w:tcPr>
          <w:p>
            <w:r>
              <w:rPr>
                <w:b w:val="false"/>
                <w:bCs w:val="false"/>
                <w:sz w:val="17"/>
                <w:szCs w:val="17"/>
              </w:rPr>
              <w:t xml:space="preserve">ALL</w:t>
            </w:r>
          </w:p>
        </w:tc>
        <w:tc>
          <w:tcPr>
            <w:tcW w:type="dxa" w:w="1200"/>
          </w:tcPr>
          <w:p>
            <w:r>
              <w:rPr>
                <w:b w:val="false"/>
                <w:bCs w:val="false"/>
                <w:sz w:val="17"/>
                <w:szCs w:val="17"/>
              </w:rPr>
              <w:t xml:space="preserve">597</w:t>
            </w:r>
          </w:p>
        </w:tc>
        <w:tc>
          <w:tcPr>
            <w:tcW w:type="dxa" w:w="1900"/>
          </w:tcPr>
          <w:p>
            <w:r>
              <w:rPr>
                <w:b w:val="false"/>
                <w:bCs w:val="false"/>
                <w:sz w:val="17"/>
                <w:szCs w:val="17"/>
              </w:rPr>
              <w:t xml:space="preserve">0.000001</w:t>
            </w:r>
          </w:p>
        </w:tc>
        <w:tc>
          <w:tcPr>
            <w:tcW w:type="dxa" w:w="1900"/>
          </w:tcPr>
          <w:p>
            <w:r>
              <w:rPr>
                <w:b w:val="false"/>
                <w:bCs w:val="false"/>
                <w:sz w:val="17"/>
                <w:szCs w:val="17"/>
              </w:rPr>
              <w:t xml:space="preserve">0.000001</w:t>
            </w:r>
          </w:p>
        </w:tc>
        <w:tc>
          <w:tcPr>
            <w:tcW w:type="dxa" w:w="1200"/>
          </w:tcPr>
          <w:p>
            <w:r>
              <w:rPr>
                <w:b w:val="false"/>
                <w:bCs w:val="false"/>
                <w:sz w:val="17"/>
                <w:szCs w:val="17"/>
              </w:rPr>
              <w:t xml:space="preserve">PASS (tol. 0.000002)</w:t>
            </w:r>
          </w:p>
        </w:tc>
      </w:tr>
      <w:tr>
        <w:tc>
          <w:tcPr>
            <w:tcW w:type="dxa" w:w="1400"/>
          </w:tcPr>
          <w:p>
            <w:r>
              <w:rPr>
                <w:b w:val="false"/>
                <w:bCs w:val="false"/>
                <w:sz w:val="17"/>
                <w:szCs w:val="17"/>
              </w:rPr>
              <w:t xml:space="preserve">Weekly</w:t>
            </w:r>
          </w:p>
        </w:tc>
        <w:tc>
          <w:tcPr>
            <w:tcW w:type="dxa" w:w="1750"/>
          </w:tcPr>
          <w:p>
            <w:r>
              <w:rPr>
                <w:b w:val="false"/>
                <w:bCs w:val="false"/>
                <w:sz w:val="17"/>
                <w:szCs w:val="17"/>
              </w:rPr>
              <w:t xml:space="preserve">SCREENED</w:t>
            </w:r>
          </w:p>
        </w:tc>
        <w:tc>
          <w:tcPr>
            <w:tcW w:type="dxa" w:w="1200"/>
          </w:tcPr>
          <w:p>
            <w:r>
              <w:rPr>
                <w:b w:val="false"/>
                <w:bCs w:val="false"/>
                <w:sz w:val="17"/>
                <w:szCs w:val="17"/>
              </w:rPr>
              <w:t xml:space="preserve">597</w:t>
            </w:r>
          </w:p>
        </w:tc>
        <w:tc>
          <w:tcPr>
            <w:tcW w:type="dxa" w:w="1900"/>
          </w:tcPr>
          <w:p>
            <w:r>
              <w:rPr>
                <w:b w:val="false"/>
                <w:bCs w:val="false"/>
                <w:sz w:val="17"/>
                <w:szCs w:val="17"/>
              </w:rPr>
              <w:t xml:space="preserve">0.000001</w:t>
            </w:r>
          </w:p>
        </w:tc>
        <w:tc>
          <w:tcPr>
            <w:tcW w:type="dxa" w:w="1900"/>
          </w:tcPr>
          <w:p>
            <w:r>
              <w:rPr>
                <w:b w:val="false"/>
                <w:bCs w:val="false"/>
                <w:sz w:val="17"/>
                <w:szCs w:val="17"/>
              </w:rPr>
              <w:t xml:space="preserve">0.000001</w:t>
            </w:r>
          </w:p>
        </w:tc>
        <w:tc>
          <w:tcPr>
            <w:tcW w:type="dxa" w:w="1200"/>
          </w:tcPr>
          <w:p>
            <w:r>
              <w:rPr>
                <w:b w:val="false"/>
                <w:bCs w:val="false"/>
                <w:sz w:val="17"/>
                <w:szCs w:val="17"/>
              </w:rPr>
              <w:t xml:space="preserve">PASS (tol. 0.000002)</w:t>
            </w:r>
          </w:p>
        </w:tc>
      </w:tr>
      <w:tr>
        <w:tc>
          <w:tcPr>
            <w:tcW w:type="dxa" w:w="1400"/>
          </w:tcPr>
          <w:p>
            <w:r>
              <w:rPr>
                <w:b w:val="false"/>
                <w:bCs w:val="false"/>
                <w:sz w:val="17"/>
                <w:szCs w:val="17"/>
              </w:rPr>
              <w:t xml:space="preserve">Monthly</w:t>
            </w:r>
          </w:p>
        </w:tc>
        <w:tc>
          <w:tcPr>
            <w:tcW w:type="dxa" w:w="1750"/>
          </w:tcPr>
          <w:p>
            <w:r>
              <w:rPr>
                <w:b w:val="false"/>
                <w:bCs w:val="false"/>
                <w:sz w:val="17"/>
                <w:szCs w:val="17"/>
              </w:rPr>
              <w:t xml:space="preserve">ALL / SCREENED</w:t>
            </w:r>
          </w:p>
        </w:tc>
        <w:tc>
          <w:tcPr>
            <w:tcW w:type="dxa" w:w="1200"/>
          </w:tcPr>
          <w:p>
            <w:r>
              <w:rPr>
                <w:b w:val="false"/>
                <w:bCs w:val="false"/>
                <w:sz w:val="17"/>
                <w:szCs w:val="17"/>
              </w:rPr>
              <w:t xml:space="preserve">139</w:t>
            </w:r>
          </w:p>
        </w:tc>
        <w:tc>
          <w:tcPr>
            <w:tcW w:type="dxa" w:w="1900"/>
          </w:tcPr>
          <w:p>
            <w:r>
              <w:rPr>
                <w:b w:val="false"/>
                <w:bCs w:val="false"/>
                <w:sz w:val="17"/>
                <w:szCs w:val="17"/>
              </w:rPr>
              <w:t xml:space="preserve">not checkable</w:t>
            </w:r>
          </w:p>
        </w:tc>
        <w:tc>
          <w:tcPr>
            <w:tcW w:type="dxa" w:w="1900"/>
          </w:tcPr>
          <w:p>
            <w:r>
              <w:rPr>
                <w:b w:val="false"/>
                <w:bCs w:val="false"/>
                <w:sz w:val="17"/>
                <w:szCs w:val="17"/>
              </w:rPr>
              <w:t xml:space="preserve">not checkable</w:t>
            </w:r>
          </w:p>
        </w:tc>
        <w:tc>
          <w:tcPr>
            <w:tcW w:type="dxa" w:w="1200"/>
          </w:tcPr>
          <w:p>
            <w:r>
              <w:rPr>
                <w:b w:val="false"/>
                <w:bCs w:val="false"/>
                <w:sz w:val="17"/>
                <w:szCs w:val="17"/>
              </w:rPr>
              <w:t xml:space="preserve">IDX_FF3_Monthly file not supplied</w:t>
            </w:r>
          </w:p>
        </w:tc>
      </w:tr>
    </w:tbl>
    <w:p>
      <w:pPr>
        <w:spacing w:after="120"/>
      </w:pPr>
      <w:r>
        <w:t xml:space="preserve"/>
      </w:r>
    </w:p>
    <w:p>
      <w:pPr>
        <w:spacing w:after="120"/>
      </w:pPr>
      <w:r>
        <w:t xml:space="preserve">The worked example in the guide (5 January 2015, ALL) reproduced exactly: SMB = -0.091956 pp, HML = -0.392255 pp.</w:t>
      </w:r>
    </w:p>
    <w:p>
      <w:pPr>
        <w:pStyle w:val="Heading1"/>
        <w:spacing w:after="150" w:before="300"/>
      </w:pPr>
      <w:r>
        <w:t xml:space="preserve">3. Full construction route</w:t>
      </w:r>
    </w:p>
    <w:p>
      <w:pPr>
        <w:pStyle w:val="Heading2"/>
        <w:spacing w:after="120" w:before="220"/>
      </w:pPr>
      <w:r>
        <w:t xml:space="preserve">3.1 Reshaping the raw stock panel (Step 1)</w:t>
      </w:r>
    </w:p>
    <w:p>
      <w:pPr>
        <w:spacing w:after="120"/>
      </w:pPr>
      <w:r>
        <w:t xml:space="preserve">The stock workbook's eight MC/TR tabs were read by locating the “Entity Name” header row and the Capital IQ mnemonic row on each tab rather than assuming a fixed row number, because one tab (TR_jan21-dec23) is shifted by one row and has its Sector and Equity Type columns swapped relative to the other seven. Columns were located by mnemonic (SP_ENTITY_ID, IQ_SECTOR, SP_MARKETCAP, SP_TOTAL_RETURN) rather than position. The four periods were reshaped to long form and appended, de-duplicating on Date x Entity_ID.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2100"/>
        <w:gridCol w:w="2050"/>
      </w:tblGrid>
      <w:tr>
        <w:tc>
          <w:tcPr>
            <w:tcW w:type="dxa" w:w="3100"/>
            <w:shd w:fill="1F3864" w:val="clear"/>
          </w:tcPr>
          <w:p>
            <w:r>
              <w:rPr>
                <w:b/>
                <w:bCs/>
                <w:color w:val="FFFFFF"/>
                <w:sz w:val="17"/>
                <w:szCs w:val="17"/>
              </w:rPr>
              <w:t xml:space="preserve">Panel</w:t>
            </w:r>
          </w:p>
        </w:tc>
        <w:tc>
          <w:tcPr>
            <w:tcW w:type="dxa" w:w="2100"/>
            <w:shd w:fill="1F3864" w:val="clear"/>
          </w:tcPr>
          <w:p>
            <w:r>
              <w:rPr>
                <w:b/>
                <w:bCs/>
                <w:color w:val="FFFFFF"/>
                <w:sz w:val="17"/>
                <w:szCs w:val="17"/>
              </w:rPr>
              <w:t xml:space="preserve">Rows (long)</w:t>
            </w:r>
          </w:p>
        </w:tc>
        <w:tc>
          <w:tcPr>
            <w:tcW w:type="dxa" w:w="2100"/>
            <w:shd w:fill="1F3864" w:val="clear"/>
          </w:tcPr>
          <w:p>
            <w:r>
              <w:rPr>
                <w:b/>
                <w:bCs/>
                <w:color w:val="FFFFFF"/>
                <w:sz w:val="17"/>
                <w:szCs w:val="17"/>
              </w:rPr>
              <w:t xml:space="preserve">Entities</w:t>
            </w:r>
          </w:p>
        </w:tc>
        <w:tc>
          <w:tcPr>
            <w:tcW w:type="dxa" w:w="2050"/>
            <w:shd w:fill="1F3864" w:val="clear"/>
          </w:tcPr>
          <w:p>
            <w:r>
              <w:rPr>
                <w:b/>
                <w:bCs/>
                <w:color w:val="FFFFFF"/>
                <w:sz w:val="17"/>
                <w:szCs w:val="17"/>
              </w:rPr>
              <w:t xml:space="preserve">Date range</w:t>
            </w:r>
          </w:p>
        </w:tc>
      </w:tr>
      <w:tr>
        <w:tc>
          <w:tcPr>
            <w:tcW w:type="dxa" w:w="3100"/>
          </w:tcPr>
          <w:p>
            <w:r>
              <w:rPr>
                <w:b w:val="false"/>
                <w:bCs w:val="false"/>
                <w:sz w:val="17"/>
                <w:szCs w:val="17"/>
              </w:rPr>
              <w:t xml:space="preserve">Market cap (MC)</w:t>
            </w:r>
          </w:p>
        </w:tc>
        <w:tc>
          <w:tcPr>
            <w:tcW w:type="dxa" w:w="2100"/>
          </w:tcPr>
          <w:p>
            <w:r>
              <w:rPr>
                <w:b w:val="false"/>
                <w:bCs w:val="false"/>
                <w:sz w:val="17"/>
                <w:szCs w:val="17"/>
              </w:rPr>
              <w:t xml:space="preserve">2,720,119</w:t>
            </w:r>
          </w:p>
        </w:tc>
        <w:tc>
          <w:tcPr>
            <w:tcW w:type="dxa" w:w="2100"/>
          </w:tcPr>
          <w:p>
            <w:r>
              <w:rPr>
                <w:b w:val="false"/>
                <w:bCs w:val="false"/>
                <w:sz w:val="17"/>
                <w:szCs w:val="17"/>
              </w:rPr>
              <w:t xml:space="preserve">901</w:t>
            </w:r>
          </w:p>
        </w:tc>
        <w:tc>
          <w:tcPr>
            <w:tcW w:type="dxa" w:w="2050"/>
          </w:tcPr>
          <w:p>
            <w:r>
              <w:rPr>
                <w:b w:val="false"/>
                <w:bCs w:val="false"/>
                <w:sz w:val="17"/>
                <w:szCs w:val="17"/>
              </w:rPr>
              <w:t xml:space="preserve">2015-01-05 to 2026-07-31</w:t>
            </w:r>
          </w:p>
        </w:tc>
      </w:tr>
      <w:tr>
        <w:tc>
          <w:tcPr>
            <w:tcW w:type="dxa" w:w="3100"/>
          </w:tcPr>
          <w:p>
            <w:r>
              <w:rPr>
                <w:b w:val="false"/>
                <w:bCs w:val="false"/>
                <w:sz w:val="17"/>
                <w:szCs w:val="17"/>
              </w:rPr>
              <w:t xml:space="preserve">Total return (TR)</w:t>
            </w:r>
          </w:p>
        </w:tc>
        <w:tc>
          <w:tcPr>
            <w:tcW w:type="dxa" w:w="2100"/>
          </w:tcPr>
          <w:p>
            <w:r>
              <w:rPr>
                <w:b w:val="false"/>
                <w:bCs w:val="false"/>
                <w:sz w:val="17"/>
                <w:szCs w:val="17"/>
              </w:rPr>
              <w:t xml:space="preserve">2,717,416</w:t>
            </w:r>
          </w:p>
        </w:tc>
        <w:tc>
          <w:tcPr>
            <w:tcW w:type="dxa" w:w="2100"/>
          </w:tcPr>
          <w:p>
            <w:r>
              <w:rPr>
                <w:b w:val="false"/>
                <w:bCs w:val="false"/>
                <w:sz w:val="17"/>
                <w:szCs w:val="17"/>
              </w:rPr>
              <w:t xml:space="preserve">901</w:t>
            </w:r>
          </w:p>
        </w:tc>
        <w:tc>
          <w:tcPr>
            <w:tcW w:type="dxa" w:w="2050"/>
          </w:tcPr>
          <w:p>
            <w:r>
              <w:rPr>
                <w:b w:val="false"/>
                <w:bCs w:val="false"/>
                <w:sz w:val="17"/>
                <w:szCs w:val="17"/>
              </w:rPr>
              <w:t xml:space="preserve">2015-01-05 to 2026-07-30</w:t>
            </w:r>
          </w:p>
        </w:tc>
      </w:tr>
    </w:tbl>
    <w:p>
      <w:pPr>
        <w:spacing w:after="120"/>
      </w:pPr>
      <w:r>
        <w:t xml:space="preserve"/>
      </w:r>
    </w:p>
    <w:p>
      <w:pPr>
        <w:pStyle w:val="Heading2"/>
        <w:spacing w:after="120" w:before="220"/>
      </w:pPr>
      <w:r>
        <w:t xml:space="preserve">3.2 Cleaning and calendar alignment (Steps 2 and 4)</w:t>
      </w:r>
    </w:p>
    <w:p>
      <w:pPr>
        <w:pStyle w:val="ListParagraph"/>
        <w:numPr>
          <w:ilvl w:val="0"/>
          <w:numId w:val="1"/>
        </w:numPr>
        <w:spacing w:after="60"/>
      </w:pPr>
      <w:r>
        <w:t xml:space="preserve">Returns converted to decimal and capped at [-0.50, 0.50]: 56 observations adjusted, matching the guide's verified build exactly.</w:t>
      </w:r>
    </w:p>
    <w:p>
      <w:pPr>
        <w:pStyle w:val="ListParagraph"/>
        <w:numPr>
          <w:ilvl w:val="0"/>
          <w:numId w:val="1"/>
        </w:numPr>
        <w:spacing w:after="60"/>
      </w:pPr>
      <w:r>
        <w:t xml:space="preserve">Nonpositive market cap treated as missing. A rolling-median outlier rule (60-session window, bounds 0.1x-10x median, minimum 20 calibration observations, or an absolute USD 500,000M cap) flagged and replaced 903 values, matching the guide's verified build exactly.</w:t>
      </w:r>
    </w:p>
    <w:p>
      <w:pPr>
        <w:pStyle w:val="ListParagraph"/>
        <w:numPr>
          <w:ilvl w:val="0"/>
          <w:numId w:val="1"/>
        </w:numPr>
        <w:spacing w:after="60"/>
      </w:pPr>
      <w:r>
        <w:t xml:space="preserve">Market cap forward-filled to the class calendar (5 Jan 2015 to 30 Jul 2026, 2792 dates from the aligned econometrics workbook) and lagged by one class trading date to form portfolio weights.</w:t>
      </w:r>
    </w:p>
    <w:p>
      <w:pPr>
        <w:pStyle w:val="ListParagraph"/>
        <w:numPr>
          <w:ilvl w:val="0"/>
          <w:numId w:val="1"/>
        </w:numPr>
        <w:spacing w:after="60"/>
      </w:pPr>
      <w:r>
        <w:t xml:space="preserve">Special case: for 5 January 2015, where the one-date lag is undefined, the 31 December 2014 market-cap anchor from the common-equity workbook was substituted as the lagged weight for 415 entities, per the guide's Step 10 instruction.</w:t>
      </w:r>
    </w:p>
    <w:p>
      <w:pPr>
        <w:pStyle w:val="Heading2"/>
        <w:spacing w:after="120" w:before="220"/>
      </w:pPr>
      <w:r>
        <w:t xml:space="preserve">3.3 Common equity and pre-sample anchors (Step 3)</w:t>
      </w:r>
    </w:p>
    <w:p>
      <w:pPr>
        <w:spacing w:after="120"/>
      </w:pPr>
      <w:r>
        <w:t xml:space="preserve">FH2 2013 through FH2 2025 total common equity was extracted from the dedicated workbook (887 entities with strictly positive BE, converted from USD thousands to USD millions). The 31 December 2013, 30 June 2014, and 31 December 2014 anchors needed a fix: those exact calendar dates are blank for every entity in the raw export (an apparent Capital IQ snapshot gap), so an exact-date lookup silently returned zero anchors. This was corrected by implementing the guide's actual rule — “latest positive value on or before” the target date — which correctly falls back to the nearest prior trading date (e.g. 30 December 2013). After the fix, 391/404/415 entities had positive Dec2013/Jun2014/Dec2014 anchors respectively.</w:t>
      </w:r>
    </w:p>
    <w:p>
      <w:pPr>
        <w:pStyle w:val="Heading2"/>
        <w:spacing w:after="120" w:before="220"/>
      </w:pPr>
      <w:r>
        <w:t xml:space="preserve">3.4 Annual formation, breakpoints, and validation (Steps 5-8)</w:t>
      </w:r>
    </w:p>
    <w:p>
      <w:pPr>
        <w:spacing w:after="120"/>
      </w:pPr>
      <w:r>
        <w:t xml:space="preserve">For each formation year t (2014-2026), BE(t-1), December ME(t-1), and June ME(t) were merged by Entity_ID and retained only when all three were positive; BM = BE/December ME. The 2014 and 2015 special cases (pre-sample anchors) were applied as specified. Breakpoints (median June ME; 30th/70th percentile BM) were estimated separately for the ALL and SCREENED universes at every formation year, and the SCREENED universe was formed by applying the USD 10 million June-ME screen before estimating breakpoints, not after.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3864" w:val="clear"/>
          </w:tcPr>
          <w:p>
            <w:r>
              <w:rPr>
                <w:b/>
                <w:bCs/>
                <w:color w:val="FFFFFF"/>
                <w:sz w:val="17"/>
                <w:szCs w:val="17"/>
              </w:rPr>
              <w:t xml:space="preserve">Check</w:t>
            </w:r>
          </w:p>
        </w:tc>
        <w:tc>
          <w:tcPr>
            <w:tcW w:type="dxa" w:w="5750"/>
            <w:shd w:fill="1F3864" w:val="clear"/>
          </w:tcPr>
          <w:p>
            <w:r>
              <w:rPr>
                <w:b/>
                <w:bCs/>
                <w:color w:val="FFFFFF"/>
                <w:sz w:val="17"/>
                <w:szCs w:val="17"/>
              </w:rPr>
              <w:t xml:space="preserve">Result</w:t>
            </w:r>
          </w:p>
        </w:tc>
      </w:tr>
      <w:tr>
        <w:tc>
          <w:tcPr>
            <w:tcW w:type="dxa" w:w="3600"/>
          </w:tcPr>
          <w:p>
            <w:r>
              <w:rPr>
                <w:b w:val="false"/>
                <w:bCs w:val="false"/>
                <w:sz w:val="17"/>
                <w:szCs w:val="17"/>
              </w:rPr>
              <w:t xml:space="preserve">Eligible firm counts vs IDX_FF3_Annual_Breakpoints.csv</w:t>
            </w:r>
          </w:p>
        </w:tc>
        <w:tc>
          <w:tcPr>
            <w:tcW w:type="dxa" w:w="5750"/>
          </w:tcPr>
          <w:p>
            <w:r>
              <w:rPr>
                <w:b w:val="false"/>
                <w:bCs w:val="false"/>
                <w:sz w:val="17"/>
                <w:szCs w:val="17"/>
              </w:rPr>
              <w:t xml:space="preserve">Exact match in 26/26 formation-year x variant combinations</w:t>
            </w:r>
          </w:p>
        </w:tc>
      </w:tr>
      <w:tr>
        <w:tc>
          <w:tcPr>
            <w:tcW w:type="dxa" w:w="3600"/>
          </w:tcPr>
          <w:p>
            <w:r>
              <w:rPr>
                <w:b w:val="false"/>
                <w:bCs w:val="false"/>
                <w:sz w:val="17"/>
                <w:szCs w:val="17"/>
              </w:rPr>
              <w:t xml:space="preserve">Size breakpoint vs benchmark</w:t>
            </w:r>
          </w:p>
        </w:tc>
        <w:tc>
          <w:tcPr>
            <w:tcW w:type="dxa" w:w="5750"/>
          </w:tcPr>
          <w:p>
            <w:r>
              <w:rPr>
                <w:b w:val="false"/>
                <w:bCs w:val="false"/>
                <w:sz w:val="17"/>
                <w:szCs w:val="17"/>
              </w:rPr>
              <w:t xml:space="preserve">Matches to floating-point precision (&lt;4e-11) in all 26 combinations</w:t>
            </w:r>
          </w:p>
        </w:tc>
      </w:tr>
      <w:tr>
        <w:tc>
          <w:tcPr>
            <w:tcW w:type="dxa" w:w="3600"/>
          </w:tcPr>
          <w:p>
            <w:r>
              <w:rPr>
                <w:b w:val="false"/>
                <w:bCs w:val="false"/>
                <w:sz w:val="17"/>
                <w:szCs w:val="17"/>
              </w:rPr>
              <w:t xml:space="preserve">BM 30th/70th percentile vs benchmark</w:t>
            </w:r>
          </w:p>
        </w:tc>
        <w:tc>
          <w:tcPr>
            <w:tcW w:type="dxa" w:w="5750"/>
          </w:tcPr>
          <w:p>
            <w:r>
              <w:rPr>
                <w:b w:val="false"/>
                <w:bCs w:val="false"/>
                <w:sz w:val="17"/>
                <w:szCs w:val="17"/>
              </w:rPr>
              <w:t xml:space="preserve">Matches to floating-point precision in 24/26 combinations; formation year 2024 (both variants) differs by up to 0.0032 pp — see Section 4</w:t>
            </w:r>
          </w:p>
        </w:tc>
      </w:tr>
      <w:tr>
        <w:tc>
          <w:tcPr>
            <w:tcW w:type="dxa" w:w="3600"/>
          </w:tcPr>
          <w:p>
            <w:r>
              <w:rPr>
                <w:b w:val="false"/>
                <w:bCs w:val="false"/>
                <w:sz w:val="17"/>
                <w:szCs w:val="17"/>
              </w:rPr>
              <w:t xml:space="preserve">Portfolio label vs IDX_FF3_Annual_Membership.csv</w:t>
            </w:r>
          </w:p>
        </w:tc>
        <w:tc>
          <w:tcPr>
            <w:tcW w:type="dxa" w:w="5750"/>
          </w:tcPr>
          <w:p>
            <w:r>
              <w:rPr>
                <w:b w:val="false"/>
                <w:bCs w:val="false"/>
                <w:sz w:val="17"/>
                <w:szCs w:val="17"/>
              </w:rPr>
              <w:t xml:space="preserve">99.872% of 14,107 firm-year-variant labels agree; all 18 disagreements are formation-year-2024 boundary firms</w:t>
            </w:r>
          </w:p>
        </w:tc>
      </w:tr>
      <w:tr>
        <w:tc>
          <w:tcPr>
            <w:tcW w:type="dxa" w:w="3600"/>
          </w:tcPr>
          <w:p>
            <w:r>
              <w:rPr>
                <w:b w:val="false"/>
                <w:bCs w:val="false"/>
                <w:sz w:val="17"/>
                <w:szCs w:val="17"/>
              </w:rPr>
              <w:t xml:space="preserve">Screen monotonicity</w:t>
            </w:r>
          </w:p>
        </w:tc>
        <w:tc>
          <w:tcPr>
            <w:tcW w:type="dxa" w:w="5750"/>
          </w:tcPr>
          <w:p>
            <w:r>
              <w:rPr>
                <w:b w:val="false"/>
                <w:bCs w:val="false"/>
                <w:sz w:val="17"/>
                <w:szCs w:val="17"/>
              </w:rPr>
              <w:t xml:space="preserve">SCREENED eligible count &lt;= ALL in 13/13 formation years</w:t>
            </w:r>
          </w:p>
        </w:tc>
      </w:tr>
    </w:tbl>
    <w:p>
      <w:pPr>
        <w:pStyle w:val="Heading2"/>
        <w:spacing w:after="120" w:before="220"/>
      </w:pPr>
      <w:r>
        <w:t xml:space="preserve">3.5 Daily portfolios and factors (Steps 9-12)</w:t>
      </w:r>
    </w:p>
    <w:p>
      <w:pPr>
        <w:spacing w:after="120"/>
      </w:pPr>
      <w:r>
        <w:t xml:space="preserve">Daily observations were mapped to a Formation_Year (July-December = same calendar year, January-June = year minus one) and joined to annual membership by Entity_ID x Formation_Year x Variant. Six value-weighted daily portfolio returns were computed as sum(lagged ME x return) / sum(lagged ME) over securities with both a valid return and a valid positive lagged weight, re-applying the USD 10 million screen to the daily lagged ME for the SCREENED variant. SMB and HML were then computed directly from the six portfolios, in decimal, before formatting to percent for the final CSVs.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2300"/>
        <w:gridCol w:w="1950"/>
      </w:tblGrid>
      <w:tr>
        <w:tc>
          <w:tcPr>
            <w:tcW w:type="dxa" w:w="1600"/>
            <w:shd w:fill="1F3864" w:val="clear"/>
          </w:tcPr>
          <w:p>
            <w:r>
              <w:rPr>
                <w:b/>
                <w:bCs/>
                <w:color w:val="FFFFFF"/>
                <w:sz w:val="17"/>
                <w:szCs w:val="17"/>
              </w:rPr>
              <w:t xml:space="preserve">Frequency</w:t>
            </w:r>
          </w:p>
        </w:tc>
        <w:tc>
          <w:tcPr>
            <w:tcW w:type="dxa" w:w="1900"/>
            <w:shd w:fill="1F3864" w:val="clear"/>
          </w:tcPr>
          <w:p>
            <w:r>
              <w:rPr>
                <w:b/>
                <w:bCs/>
                <w:color w:val="FFFFFF"/>
                <w:sz w:val="17"/>
                <w:szCs w:val="17"/>
              </w:rPr>
              <w:t xml:space="preserve">Variant</w:t>
            </w:r>
          </w:p>
        </w:tc>
        <w:tc>
          <w:tcPr>
            <w:tcW w:type="dxa" w:w="1600"/>
            <w:shd w:fill="1F3864" w:val="clear"/>
          </w:tcPr>
          <w:p>
            <w:r>
              <w:rPr>
                <w:b/>
                <w:bCs/>
                <w:color w:val="FFFFFF"/>
                <w:sz w:val="17"/>
                <w:szCs w:val="17"/>
              </w:rPr>
              <w:t xml:space="preserve">Rows</w:t>
            </w:r>
          </w:p>
        </w:tc>
        <w:tc>
          <w:tcPr>
            <w:tcW w:type="dxa" w:w="2300"/>
            <w:shd w:fill="1F3864" w:val="clear"/>
          </w:tcPr>
          <w:p>
            <w:r>
              <w:rPr>
                <w:b/>
                <w:bCs/>
                <w:color w:val="FFFFFF"/>
                <w:sz w:val="17"/>
                <w:szCs w:val="17"/>
              </w:rPr>
              <w:t xml:space="preserve">Missing SMB/HML</w:t>
            </w:r>
          </w:p>
        </w:tc>
        <w:tc>
          <w:tcPr>
            <w:tcW w:type="dxa" w:w="1950"/>
            <w:shd w:fill="1F3864" w:val="clear"/>
          </w:tcPr>
          <w:p>
            <w:r>
              <w:rPr>
                <w:b/>
                <w:bCs/>
                <w:color w:val="FFFFFF"/>
                <w:sz w:val="17"/>
                <w:szCs w:val="17"/>
              </w:rPr>
              <w:t xml:space="preserve">Expected rows</w:t>
            </w:r>
          </w:p>
        </w:tc>
      </w:tr>
      <w:tr>
        <w:tc>
          <w:tcPr>
            <w:tcW w:type="dxa" w:w="1600"/>
          </w:tcPr>
          <w:p>
            <w:r>
              <w:rPr>
                <w:b w:val="false"/>
                <w:bCs w:val="false"/>
                <w:sz w:val="17"/>
                <w:szCs w:val="17"/>
              </w:rPr>
              <w:t xml:space="preserve">Daily</w:t>
            </w:r>
          </w:p>
        </w:tc>
        <w:tc>
          <w:tcPr>
            <w:tcW w:type="dxa" w:w="1900"/>
          </w:tcPr>
          <w:p>
            <w:r>
              <w:rPr>
                <w:b w:val="false"/>
                <w:bCs w:val="false"/>
                <w:sz w:val="17"/>
                <w:szCs w:val="17"/>
              </w:rPr>
              <w:t xml:space="preserve">ALL</w:t>
            </w:r>
          </w:p>
        </w:tc>
        <w:tc>
          <w:tcPr>
            <w:tcW w:type="dxa" w:w="1600"/>
          </w:tcPr>
          <w:p>
            <w:r>
              <w:rPr>
                <w:b w:val="false"/>
                <w:bCs w:val="false"/>
                <w:sz w:val="17"/>
                <w:szCs w:val="17"/>
              </w:rPr>
              <w:t xml:space="preserve">2792</w:t>
            </w:r>
          </w:p>
        </w:tc>
        <w:tc>
          <w:tcPr>
            <w:tcW w:type="dxa" w:w="2300"/>
          </w:tcPr>
          <w:p>
            <w:r>
              <w:rPr>
                <w:b w:val="false"/>
                <w:bCs w:val="false"/>
                <w:sz w:val="17"/>
                <w:szCs w:val="17"/>
              </w:rPr>
              <w:t xml:space="preserve">0</w:t>
            </w:r>
          </w:p>
        </w:tc>
        <w:tc>
          <w:tcPr>
            <w:tcW w:type="dxa" w:w="1950"/>
          </w:tcPr>
          <w:p>
            <w:r>
              <w:rPr>
                <w:b w:val="false"/>
                <w:bCs w:val="false"/>
                <w:sz w:val="17"/>
                <w:szCs w:val="17"/>
              </w:rPr>
              <w:t xml:space="preserve">2792 — match</w:t>
            </w:r>
          </w:p>
        </w:tc>
      </w:tr>
      <w:tr>
        <w:tc>
          <w:tcPr>
            <w:tcW w:type="dxa" w:w="1600"/>
          </w:tcPr>
          <w:p>
            <w:r>
              <w:rPr>
                <w:b w:val="false"/>
                <w:bCs w:val="false"/>
                <w:sz w:val="17"/>
                <w:szCs w:val="17"/>
              </w:rPr>
              <w:t xml:space="preserve">Daily</w:t>
            </w:r>
          </w:p>
        </w:tc>
        <w:tc>
          <w:tcPr>
            <w:tcW w:type="dxa" w:w="1900"/>
          </w:tcPr>
          <w:p>
            <w:r>
              <w:rPr>
                <w:b w:val="false"/>
                <w:bCs w:val="false"/>
                <w:sz w:val="17"/>
                <w:szCs w:val="17"/>
              </w:rPr>
              <w:t xml:space="preserve">SCREENED</w:t>
            </w:r>
          </w:p>
        </w:tc>
        <w:tc>
          <w:tcPr>
            <w:tcW w:type="dxa" w:w="1600"/>
          </w:tcPr>
          <w:p>
            <w:r>
              <w:rPr>
                <w:b w:val="false"/>
                <w:bCs w:val="false"/>
                <w:sz w:val="17"/>
                <w:szCs w:val="17"/>
              </w:rPr>
              <w:t xml:space="preserve">2792</w:t>
            </w:r>
          </w:p>
        </w:tc>
        <w:tc>
          <w:tcPr>
            <w:tcW w:type="dxa" w:w="2300"/>
          </w:tcPr>
          <w:p>
            <w:r>
              <w:rPr>
                <w:b w:val="false"/>
                <w:bCs w:val="false"/>
                <w:sz w:val="17"/>
                <w:szCs w:val="17"/>
              </w:rPr>
              <w:t xml:space="preserve">0</w:t>
            </w:r>
          </w:p>
        </w:tc>
        <w:tc>
          <w:tcPr>
            <w:tcW w:type="dxa" w:w="1950"/>
          </w:tcPr>
          <w:p>
            <w:r>
              <w:rPr>
                <w:b w:val="false"/>
                <w:bCs w:val="false"/>
                <w:sz w:val="17"/>
                <w:szCs w:val="17"/>
              </w:rPr>
              <w:t xml:space="preserve">2792 — match</w:t>
            </w:r>
          </w:p>
        </w:tc>
      </w:tr>
    </w:tbl>
    <w:p>
      <w:pPr>
        <w:pStyle w:val="Heading2"/>
        <w:spacing w:after="120" w:before="220"/>
      </w:pPr>
      <w:r>
        <w:t xml:space="preserve">3.6 Weekly and monthly aggregation (Steps 13-15)</w:t>
      </w:r>
    </w:p>
    <w:p>
      <w:pPr>
        <w:spacing w:after="120"/>
      </w:pPr>
      <w:r>
        <w:t xml:space="preserve">The six daily portfolio returns were compounded within Monday-Friday weeks and calendar months (product of 1+r minus 1), and SMB/HML were recomputed from the compounded six portfolios rather than averaging the daily factors, per the guide's Step 14 instruction. All six frequency x variant output files hit the guide's exact expected row 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1950"/>
        <w:gridCol w:w="2000"/>
      </w:tblGrid>
      <w:tr>
        <w:tc>
          <w:tcPr>
            <w:tcW w:type="dxa" w:w="1500"/>
            <w:shd w:fill="1F3864" w:val="clear"/>
          </w:tcPr>
          <w:p>
            <w:r>
              <w:rPr>
                <w:b/>
                <w:bCs/>
                <w:color w:val="FFFFFF"/>
                <w:sz w:val="17"/>
                <w:szCs w:val="17"/>
              </w:rPr>
              <w:t xml:space="preserve">Frequency</w:t>
            </w:r>
          </w:p>
        </w:tc>
        <w:tc>
          <w:tcPr>
            <w:tcW w:type="dxa" w:w="1800"/>
            <w:shd w:fill="1F3864" w:val="clear"/>
          </w:tcPr>
          <w:p>
            <w:r>
              <w:rPr>
                <w:b/>
                <w:bCs/>
                <w:color w:val="FFFFFF"/>
                <w:sz w:val="17"/>
                <w:szCs w:val="17"/>
              </w:rPr>
              <w:t xml:space="preserve">Variant</w:t>
            </w:r>
          </w:p>
        </w:tc>
        <w:tc>
          <w:tcPr>
            <w:tcW w:type="dxa" w:w="2100"/>
            <w:shd w:fill="1F3864" w:val="clear"/>
          </w:tcPr>
          <w:p>
            <w:r>
              <w:rPr>
                <w:b/>
                <w:bCs/>
                <w:color w:val="FFFFFF"/>
                <w:sz w:val="17"/>
                <w:szCs w:val="17"/>
              </w:rPr>
              <w:t xml:space="preserve">Six-portfolio rows</w:t>
            </w:r>
          </w:p>
        </w:tc>
        <w:tc>
          <w:tcPr>
            <w:tcW w:type="dxa" w:w="1950"/>
            <w:shd w:fill="1F3864" w:val="clear"/>
          </w:tcPr>
          <w:p>
            <w:r>
              <w:rPr>
                <w:b/>
                <w:bCs/>
                <w:color w:val="FFFFFF"/>
                <w:sz w:val="17"/>
                <w:szCs w:val="17"/>
              </w:rPr>
              <w:t xml:space="preserve">Factor rows</w:t>
            </w:r>
          </w:p>
        </w:tc>
        <w:tc>
          <w:tcPr>
            <w:tcW w:type="dxa" w:w="2000"/>
            <w:shd w:fill="1F3864" w:val="clear"/>
          </w:tcPr>
          <w:p>
            <w:r>
              <w:rPr>
                <w:b/>
                <w:bCs/>
                <w:color w:val="FFFFFF"/>
                <w:sz w:val="17"/>
                <w:szCs w:val="17"/>
              </w:rPr>
              <w:t xml:space="preserve">Expected</w:t>
            </w:r>
          </w:p>
        </w:tc>
      </w:tr>
      <w:tr>
        <w:tc>
          <w:tcPr>
            <w:tcW w:type="dxa" w:w="1500"/>
          </w:tcPr>
          <w:p>
            <w:r>
              <w:rPr>
                <w:b w:val="false"/>
                <w:bCs w:val="false"/>
                <w:sz w:val="17"/>
                <w:szCs w:val="17"/>
              </w:rPr>
              <w:t xml:space="preserve">Weekly</w:t>
            </w:r>
          </w:p>
        </w:tc>
        <w:tc>
          <w:tcPr>
            <w:tcW w:type="dxa" w:w="1800"/>
          </w:tcPr>
          <w:p>
            <w:r>
              <w:rPr>
                <w:b w:val="false"/>
                <w:bCs w:val="false"/>
                <w:sz w:val="17"/>
                <w:szCs w:val="17"/>
              </w:rPr>
              <w:t xml:space="preserve">ALL</w:t>
            </w:r>
          </w:p>
        </w:tc>
        <w:tc>
          <w:tcPr>
            <w:tcW w:type="dxa" w:w="2100"/>
          </w:tcPr>
          <w:p>
            <w:r>
              <w:rPr>
                <w:b w:val="false"/>
                <w:bCs w:val="false"/>
                <w:sz w:val="17"/>
                <w:szCs w:val="17"/>
              </w:rPr>
              <w:t xml:space="preserve">597</w:t>
            </w:r>
          </w:p>
        </w:tc>
        <w:tc>
          <w:tcPr>
            <w:tcW w:type="dxa" w:w="1950"/>
          </w:tcPr>
          <w:p>
            <w:r>
              <w:rPr>
                <w:b w:val="false"/>
                <w:bCs w:val="false"/>
                <w:sz w:val="17"/>
                <w:szCs w:val="17"/>
              </w:rPr>
              <w:t xml:space="preserve">597</w:t>
            </w:r>
          </w:p>
        </w:tc>
        <w:tc>
          <w:tcPr>
            <w:tcW w:type="dxa" w:w="2000"/>
          </w:tcPr>
          <w:p>
            <w:r>
              <w:rPr>
                <w:b w:val="false"/>
                <w:bCs w:val="false"/>
                <w:sz w:val="17"/>
                <w:szCs w:val="17"/>
              </w:rPr>
              <w:t xml:space="preserve">597 — match</w:t>
            </w:r>
          </w:p>
        </w:tc>
      </w:tr>
      <w:tr>
        <w:tc>
          <w:tcPr>
            <w:tcW w:type="dxa" w:w="1500"/>
          </w:tcPr>
          <w:p>
            <w:r>
              <w:rPr>
                <w:b w:val="false"/>
                <w:bCs w:val="false"/>
                <w:sz w:val="17"/>
                <w:szCs w:val="17"/>
              </w:rPr>
              <w:t xml:space="preserve">Weekly</w:t>
            </w:r>
          </w:p>
        </w:tc>
        <w:tc>
          <w:tcPr>
            <w:tcW w:type="dxa" w:w="1800"/>
          </w:tcPr>
          <w:p>
            <w:r>
              <w:rPr>
                <w:b w:val="false"/>
                <w:bCs w:val="false"/>
                <w:sz w:val="17"/>
                <w:szCs w:val="17"/>
              </w:rPr>
              <w:t xml:space="preserve">SCREENED</w:t>
            </w:r>
          </w:p>
        </w:tc>
        <w:tc>
          <w:tcPr>
            <w:tcW w:type="dxa" w:w="2100"/>
          </w:tcPr>
          <w:p>
            <w:r>
              <w:rPr>
                <w:b w:val="false"/>
                <w:bCs w:val="false"/>
                <w:sz w:val="17"/>
                <w:szCs w:val="17"/>
              </w:rPr>
              <w:t xml:space="preserve">597</w:t>
            </w:r>
          </w:p>
        </w:tc>
        <w:tc>
          <w:tcPr>
            <w:tcW w:type="dxa" w:w="1950"/>
          </w:tcPr>
          <w:p>
            <w:r>
              <w:rPr>
                <w:b w:val="false"/>
                <w:bCs w:val="false"/>
                <w:sz w:val="17"/>
                <w:szCs w:val="17"/>
              </w:rPr>
              <w:t xml:space="preserve">597</w:t>
            </w:r>
          </w:p>
        </w:tc>
        <w:tc>
          <w:tcPr>
            <w:tcW w:type="dxa" w:w="2000"/>
          </w:tcPr>
          <w:p>
            <w:r>
              <w:rPr>
                <w:b w:val="false"/>
                <w:bCs w:val="false"/>
                <w:sz w:val="17"/>
                <w:szCs w:val="17"/>
              </w:rPr>
              <w:t xml:space="preserve">597 — match</w:t>
            </w:r>
          </w:p>
        </w:tc>
      </w:tr>
      <w:tr>
        <w:tc>
          <w:tcPr>
            <w:tcW w:type="dxa" w:w="1500"/>
          </w:tcPr>
          <w:p>
            <w:r>
              <w:rPr>
                <w:b w:val="false"/>
                <w:bCs w:val="false"/>
                <w:sz w:val="17"/>
                <w:szCs w:val="17"/>
              </w:rPr>
              <w:t xml:space="preserve">Monthly</w:t>
            </w:r>
          </w:p>
        </w:tc>
        <w:tc>
          <w:tcPr>
            <w:tcW w:type="dxa" w:w="1800"/>
          </w:tcPr>
          <w:p>
            <w:r>
              <w:rPr>
                <w:b w:val="false"/>
                <w:bCs w:val="false"/>
                <w:sz w:val="17"/>
                <w:szCs w:val="17"/>
              </w:rPr>
              <w:t xml:space="preserve">ALL</w:t>
            </w:r>
          </w:p>
        </w:tc>
        <w:tc>
          <w:tcPr>
            <w:tcW w:type="dxa" w:w="2100"/>
          </w:tcPr>
          <w:p>
            <w:r>
              <w:rPr>
                <w:b w:val="false"/>
                <w:bCs w:val="false"/>
                <w:sz w:val="17"/>
                <w:szCs w:val="17"/>
              </w:rPr>
              <w:t xml:space="preserve">139</w:t>
            </w:r>
          </w:p>
        </w:tc>
        <w:tc>
          <w:tcPr>
            <w:tcW w:type="dxa" w:w="1950"/>
          </w:tcPr>
          <w:p>
            <w:r>
              <w:rPr>
                <w:b w:val="false"/>
                <w:bCs w:val="false"/>
                <w:sz w:val="17"/>
                <w:szCs w:val="17"/>
              </w:rPr>
              <w:t xml:space="preserve">139</w:t>
            </w:r>
          </w:p>
        </w:tc>
        <w:tc>
          <w:tcPr>
            <w:tcW w:type="dxa" w:w="2000"/>
          </w:tcPr>
          <w:p>
            <w:r>
              <w:rPr>
                <w:b w:val="false"/>
                <w:bCs w:val="false"/>
                <w:sz w:val="17"/>
                <w:szCs w:val="17"/>
              </w:rPr>
              <w:t xml:space="preserve">139 — match</w:t>
            </w:r>
          </w:p>
        </w:tc>
      </w:tr>
      <w:tr>
        <w:tc>
          <w:tcPr>
            <w:tcW w:type="dxa" w:w="1500"/>
          </w:tcPr>
          <w:p>
            <w:r>
              <w:rPr>
                <w:b w:val="false"/>
                <w:bCs w:val="false"/>
                <w:sz w:val="17"/>
                <w:szCs w:val="17"/>
              </w:rPr>
              <w:t xml:space="preserve">Monthly</w:t>
            </w:r>
          </w:p>
        </w:tc>
        <w:tc>
          <w:tcPr>
            <w:tcW w:type="dxa" w:w="1800"/>
          </w:tcPr>
          <w:p>
            <w:r>
              <w:rPr>
                <w:b w:val="false"/>
                <w:bCs w:val="false"/>
                <w:sz w:val="17"/>
                <w:szCs w:val="17"/>
              </w:rPr>
              <w:t xml:space="preserve">SCREENED</w:t>
            </w:r>
          </w:p>
        </w:tc>
        <w:tc>
          <w:tcPr>
            <w:tcW w:type="dxa" w:w="2100"/>
          </w:tcPr>
          <w:p>
            <w:r>
              <w:rPr>
                <w:b w:val="false"/>
                <w:bCs w:val="false"/>
                <w:sz w:val="17"/>
                <w:szCs w:val="17"/>
              </w:rPr>
              <w:t xml:space="preserve">139</w:t>
            </w:r>
          </w:p>
        </w:tc>
        <w:tc>
          <w:tcPr>
            <w:tcW w:type="dxa" w:w="1950"/>
          </w:tcPr>
          <w:p>
            <w:r>
              <w:rPr>
                <w:b w:val="false"/>
                <w:bCs w:val="false"/>
                <w:sz w:val="17"/>
                <w:szCs w:val="17"/>
              </w:rPr>
              <w:t xml:space="preserve">139</w:t>
            </w:r>
          </w:p>
        </w:tc>
        <w:tc>
          <w:tcPr>
            <w:tcW w:type="dxa" w:w="2000"/>
          </w:tcPr>
          <w:p>
            <w:r>
              <w:rPr>
                <w:b w:val="false"/>
                <w:bCs w:val="false"/>
                <w:sz w:val="17"/>
                <w:szCs w:val="17"/>
              </w:rPr>
              <w:t xml:space="preserve">139 — match</w:t>
            </w:r>
          </w:p>
        </w:tc>
      </w:tr>
    </w:tbl>
    <w:p>
      <w:pPr>
        <w:pStyle w:val="Heading1"/>
        <w:spacing w:after="150" w:before="300"/>
      </w:pPr>
      <w:r>
        <w:t xml:space="preserve">4. Diagnosed discrepancy: formation year 2024</w:t>
      </w:r>
    </w:p>
    <w:p>
      <w:pPr>
        <w:spacing w:after="120"/>
      </w:pPr>
      <w:r>
        <w:t xml:space="preserve">Every other formation year (12 of 13) reproduces the benchmark breakpoints to floating-point precision. Formation year 2024 alone shows a small but real deviation: BM_30 differs by up to 0.0016 pp and BM_70 by up to 0.0032 pp (both variants). Because the eligible-firm count for 2024 matches the benchmark exactly (791 ALL, 615 SCREENED) and every other input matches, this is not a universe-construction error — it is a boundary-tie effect. Several firms in that year have BM values that sit almost exactly at the 30th or 70th percentile (one entity's BM equals the built breakpoint to six decimal places), so a difference on the order of 1e-5 to 1e-3 in one or two firms' underlying BE or December-2023 market cap — plausibly from an independently implemented rolling-median outlier rule making a slightly different call on a single observation — is enough to flip the tied firms across the boundary.</w:t>
      </w:r>
    </w:p>
    <w:p>
      <w:pPr>
        <w:spacing w:after="120"/>
      </w:pPr>
      <w:r>
        <w:t xml:space="preserve">This reclassifies 18 firms out of 14,107 firm-year-variant assignments (0.13%), all within the FY2024 holding period (July 2024-June 2025). The effect is visible in the daily factor comparison: correlation between the built and benchmark daily SMB/HML remains very high overall (ALL: 0.9994/0.9968, SCREENED: 0.99998/0.99978), and the days with the largest deviations cluster almost entirely in that same window.</w:t>
      </w:r>
    </w:p>
    <w:p>
      <w:pPr>
        <w:spacing w:after="120"/>
      </w:pPr>
      <w:r>
        <w:rPr>
          <w:i/>
          <w:iCs/>
        </w:rPr>
        <w:t xml:space="preserve">This should be treated as an open item rather than a resolved one: it would need line-by-line comparison of each FY2024 eligible firm's BE, December-2023 ME, and June-2024 ME against the original build to identify the exact source observation, which was not pursued further here given the scope of a course replication exercise.</w:t>
      </w:r>
    </w:p>
    <w:p>
      <w:pPr>
        <w:pStyle w:val="Heading1"/>
        <w:spacing w:after="150" w:before="300"/>
      </w:pPr>
      <w:r>
        <w:t xml:space="preserve">5. Deliverables produced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c>
          <w:tcPr>
            <w:tcW w:type="dxa" w:w="4650"/>
            <w:shd w:fill="1F3864" w:val="clear"/>
          </w:tcPr>
          <w:p>
            <w:r>
              <w:rPr>
                <w:b/>
                <w:bCs/>
                <w:color w:val="FFFFFF"/>
                <w:sz w:val="17"/>
                <w:szCs w:val="17"/>
              </w:rPr>
              <w:t xml:space="preserve">File</w:t>
            </w:r>
          </w:p>
        </w:tc>
        <w:tc>
          <w:tcPr>
            <w:tcW w:type="dxa" w:w="4700"/>
            <w:shd w:fill="1F3864" w:val="clear"/>
          </w:tcPr>
          <w:p>
            <w:r>
              <w:rPr>
                <w:b/>
                <w:bCs/>
                <w:color w:val="FFFFFF"/>
                <w:sz w:val="17"/>
                <w:szCs w:val="17"/>
              </w:rPr>
              <w:t xml:space="preserve">Guide requirement</w:t>
            </w:r>
          </w:p>
        </w:tc>
      </w:tr>
      <w:tr>
        <w:tc>
          <w:tcPr>
            <w:tcW w:type="dxa" w:w="4650"/>
          </w:tcPr>
          <w:p>
            <w:r>
              <w:rPr>
                <w:b w:val="false"/>
                <w:bCs w:val="false"/>
                <w:sz w:val="17"/>
                <w:szCs w:val="17"/>
              </w:rPr>
              <w:t xml:space="preserve">Built_Annual_Breakpoints.csv</w:t>
            </w:r>
          </w:p>
        </w:tc>
        <w:tc>
          <w:tcPr>
            <w:tcW w:type="dxa" w:w="4700"/>
          </w:tcPr>
          <w:p>
            <w:r>
              <w:rPr>
                <w:b w:val="false"/>
                <w:bCs w:val="false"/>
                <w:sz w:val="17"/>
                <w:szCs w:val="17"/>
              </w:rPr>
              <w:t xml:space="preserve">Annual breakpoints (formation year, variant, eligible firms, size median, BM 30th/70th)</w:t>
            </w:r>
          </w:p>
        </w:tc>
      </w:tr>
      <w:tr>
        <w:tc>
          <w:tcPr>
            <w:tcW w:type="dxa" w:w="4650"/>
          </w:tcPr>
          <w:p>
            <w:r>
              <w:rPr>
                <w:b w:val="false"/>
                <w:bCs w:val="false"/>
                <w:sz w:val="17"/>
                <w:szCs w:val="17"/>
              </w:rPr>
              <w:t xml:space="preserve">Built_Annual_Membership.csv</w:t>
            </w:r>
          </w:p>
        </w:tc>
        <w:tc>
          <w:tcPr>
            <w:tcW w:type="dxa" w:w="4700"/>
          </w:tcPr>
          <w:p>
            <w:r>
              <w:rPr>
                <w:b w:val="false"/>
                <w:bCs w:val="false"/>
                <w:sz w:val="17"/>
                <w:szCs w:val="17"/>
              </w:rPr>
              <w:t xml:space="preserve">Annual membership (Entity ID, formation variables, portfolio label, holding dates)</w:t>
            </w:r>
          </w:p>
        </w:tc>
      </w:tr>
      <w:tr>
        <w:tc>
          <w:tcPr>
            <w:tcW w:type="dxa" w:w="4650"/>
          </w:tcPr>
          <w:p>
            <w:r>
              <w:rPr>
                <w:b w:val="false"/>
                <w:bCs w:val="false"/>
                <w:sz w:val="17"/>
                <w:szCs w:val="17"/>
              </w:rPr>
              <w:t xml:space="preserve">Built_IDX_6_Portfolios_{Daily,Weekly,Monthly}_{ALL,SCREENED}.csv</w:t>
            </w:r>
          </w:p>
        </w:tc>
        <w:tc>
          <w:tcPr>
            <w:tcW w:type="dxa" w:w="4700"/>
          </w:tcPr>
          <w:p>
            <w:r>
              <w:rPr>
                <w:b w:val="false"/>
                <w:bCs w:val="false"/>
                <w:sz w:val="17"/>
                <w:szCs w:val="17"/>
              </w:rPr>
              <w:t xml:space="preserve">Six portfolio returns</w:t>
            </w:r>
          </w:p>
        </w:tc>
      </w:tr>
      <w:tr>
        <w:tc>
          <w:tcPr>
            <w:tcW w:type="dxa" w:w="4650"/>
          </w:tcPr>
          <w:p>
            <w:r>
              <w:rPr>
                <w:b w:val="false"/>
                <w:bCs w:val="false"/>
                <w:sz w:val="17"/>
                <w:szCs w:val="17"/>
              </w:rPr>
              <w:t xml:space="preserve">Built_IDX_FF3_{Daily,Weekly,Monthly}_{ALL,SCREENED}.csv</w:t>
            </w:r>
          </w:p>
        </w:tc>
        <w:tc>
          <w:tcPr>
            <w:tcW w:type="dxa" w:w="4700"/>
          </w:tcPr>
          <w:p>
            <w:r>
              <w:rPr>
                <w:b w:val="false"/>
                <w:bCs w:val="false"/>
                <w:sz w:val="17"/>
                <w:szCs w:val="17"/>
              </w:rPr>
              <w:t xml:space="preserve">Factor returns (Date, SMB, HML)</w:t>
            </w:r>
          </w:p>
        </w:tc>
      </w:tr>
      <w:tr>
        <w:tc>
          <w:tcPr>
            <w:tcW w:type="dxa" w:w="4650"/>
          </w:tcPr>
          <w:p>
            <w:r>
              <w:rPr>
                <w:b w:val="false"/>
                <w:bCs w:val="false"/>
                <w:sz w:val="17"/>
                <w:szCs w:val="17"/>
              </w:rPr>
              <w:t xml:space="preserve">Validation_Sheet.csv, Audit_Route_Identity_Check.csv, Built_Market_Cap_Adjustment_Log.csv</w:t>
            </w:r>
          </w:p>
        </w:tc>
        <w:tc>
          <w:tcPr>
            <w:tcW w:type="dxa" w:w="4700"/>
          </w:tcPr>
          <w:p>
            <w:r>
              <w:rPr>
                <w:b w:val="false"/>
                <w:bCs w:val="false"/>
                <w:sz w:val="17"/>
                <w:szCs w:val="17"/>
              </w:rPr>
              <w:t xml:space="preserve">Validation sheet (identity differences, counts, missing values, benchmark differences)</w:t>
            </w:r>
          </w:p>
        </w:tc>
      </w:tr>
      <w:tr>
        <w:tc>
          <w:tcPr>
            <w:tcW w:type="dxa" w:w="4650"/>
          </w:tcPr>
          <w:p>
            <w:r>
              <w:rPr>
                <w:b w:val="false"/>
                <w:bCs w:val="false"/>
                <w:sz w:val="17"/>
                <w:szCs w:val="17"/>
              </w:rPr>
              <w:t xml:space="preserve">This memo</w:t>
            </w:r>
          </w:p>
        </w:tc>
        <w:tc>
          <w:tcPr>
            <w:tcW w:type="dxa" w:w="4700"/>
          </w:tcPr>
          <w:p>
            <w:r>
              <w:rPr>
                <w:b w:val="false"/>
                <w:bCs w:val="false"/>
                <w:sz w:val="17"/>
                <w:szCs w:val="17"/>
              </w:rPr>
              <w:t xml:space="preserve">Short memo (method decisions, deviations, limitations, interpretation)</w:t>
            </w:r>
          </w:p>
        </w:tc>
      </w:tr>
    </w:tbl>
    <w:p>
      <w:pPr>
        <w:pStyle w:val="Heading1"/>
        <w:spacing w:after="150" w:before="300"/>
      </w:pPr>
      <w:r>
        <w:t xml:space="preserve">6. Deviations from the reference workflow</w:t>
      </w:r>
    </w:p>
    <w:p>
      <w:pPr>
        <w:pStyle w:val="ListParagraph"/>
        <w:numPr>
          <w:ilvl w:val="0"/>
          <w:numId w:val="1"/>
        </w:numPr>
        <w:spacing w:after="60"/>
      </w:pPr>
      <w:r>
        <w:t xml:space="preserve">The optional market excess return (Mkt-RF) was not reconstructed; only SMB and HML were required and built.</w:t>
      </w:r>
    </w:p>
    <w:p>
      <w:pPr>
        <w:pStyle w:val="ListParagraph"/>
        <w:numPr>
          <w:ilvl w:val="0"/>
          <w:numId w:val="1"/>
        </w:numPr>
        <w:spacing w:after="60"/>
      </w:pPr>
      <w:r>
        <w:t xml:space="preserve">The R reference workflow implied by the guide's code snippets was implemented in Python (pandas/numpy) rather than R, since R was not available in this execution environment. Variable names, join keys, filters, and formulas follow the guide's pseudocode line for line.</w:t>
      </w:r>
    </w:p>
    <w:p>
      <w:pPr>
        <w:pStyle w:val="ListParagraph"/>
        <w:numPr>
          <w:ilvl w:val="0"/>
          <w:numId w:val="1"/>
        </w:numPr>
        <w:spacing w:after="60"/>
      </w:pPr>
      <w:r>
        <w:t xml:space="preserve">Monthly factor identities could not be benchmark-checked because no IDX_FF3_Monthly file was supplied; only the six-portfolio monthly row count could be verified.</w:t>
      </w:r>
    </w:p>
    <w:p>
      <w:pPr>
        <w:pStyle w:val="ListParagraph"/>
        <w:numPr>
          <w:ilvl w:val="0"/>
          <w:numId w:val="1"/>
        </w:numPr>
        <w:spacing w:after="60"/>
      </w:pPr>
      <w:r>
        <w:t xml:space="preserve">FY2024 breakpoint boundary sensitivity (Section 4) was diagnosed but not traced to a single root-cause observation.</w:t>
      </w:r>
    </w:p>
    <w:p>
      <w:pPr>
        <w:pStyle w:val="Heading1"/>
        <w:spacing w:after="150" w:before="300"/>
      </w:pPr>
      <w:r>
        <w:t xml:space="preserve">7. Limitations</w:t>
      </w:r>
    </w:p>
    <w:p>
      <w:pPr>
        <w:pStyle w:val="ListParagraph"/>
        <w:numPr>
          <w:ilvl w:val="0"/>
          <w:numId w:val="1"/>
        </w:numPr>
        <w:spacing w:after="60"/>
      </w:pPr>
      <w:r>
        <w:t xml:space="preserve">This is a single build against a single set of raw extracts; it has not been cross-checked against an independent second implementation beyond the supplied benchmark files.</w:t>
      </w:r>
    </w:p>
    <w:p>
      <w:pPr>
        <w:pStyle w:val="ListParagraph"/>
        <w:numPr>
          <w:ilvl w:val="0"/>
          <w:numId w:val="1"/>
        </w:numPr>
        <w:spacing w:after="60"/>
      </w:pPr>
      <w:r>
        <w:t xml:space="preserve">The USD 10 million SCREENED threshold is a course liquidity rule, not an official IDX or Kenneth French screen; SMB and HML here are teaching constructs, not official Indonesian benchmarks.</w:t>
      </w:r>
    </w:p>
    <w:p>
      <w:pPr>
        <w:pStyle w:val="ListParagraph"/>
        <w:numPr>
          <w:ilvl w:val="0"/>
          <w:numId w:val="1"/>
        </w:numPr>
        <w:spacing w:after="60"/>
      </w:pPr>
      <w:r>
        <w:t xml:space="preserve">As with any six-portfolio construction, SMB and HML measure sample co-movement associated with size and book-to-market; they are not on their own evidence of a priced risk premium.</w:t>
      </w:r>
    </w:p>
    <w:p>
      <w:pPr>
        <w:pStyle w:val="Heading1"/>
        <w:spacing w:after="150" w:before="300"/>
      </w:pPr>
      <w:r>
        <w:t xml:space="preserve">8. Artificial intelligence declaration</w:t>
      </w:r>
    </w:p>
    <w:p>
      <w:pPr>
        <w:spacing w:after="120"/>
      </w:pPr>
      <w:r>
        <w:t xml:space="preserve">Claude (Anthropic) assisted with reshaping the raw workbooks, implementing the cleaning, formation, and portfolio-construction logic, running the validation checks, and drafting this memo, working from the research design, factor definitions, and pseudocode supplied in the course guide by Zaäfri Husodo. All entity, breakpoint, and return figures reported here come from the files uploaded to this conversation; no data was fabricated or estimated to fill a gap in the supplied inputs.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2026-09-25T10:41:09.288Z</dcterms:created>
  <dcterms:modified xsi:type="dcterms:W3CDTF">2026-09-25T10:41:09.297Z</dcterms:modified>
</cp:coreProperties>
</file>

<file path=docProps/custom.xml><?xml version="1.0" encoding="utf-8"?>
<Properties xmlns="http://schemas.openxmlformats.org/officeDocument/2006/custom-properties" xmlns:vt="http://schemas.openxmlformats.org/officeDocument/2006/docPropsVTypes"/>
</file>