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Short Replication Memo</w:t>
      </w:r>
    </w:p>
    <w:p>
      <w:pPr>
        <w:spacing w:after="100"/>
      </w:pPr>
      <w:r>
        <w:t xml:space="preserve">Indonesia SMB/HML student replication exercise — scope actually executed from the files supplied</w:t>
      </w:r>
    </w:p>
    <w:p>
      <w:pPr>
        <w:spacing w:after="120"/>
      </w:pPr>
      <w:r>
        <w:rPr>
          <w:i/>
          <w:iCs/>
          <w:sz w:val="20"/>
          <w:szCs w:val="20"/>
        </w:rPr>
        <w:t xml:space="preserve">Course reference: Indonesia SMB and HML Student Replication Guide (v. 6 September 2026), research lead Zaäfri Husodo.</w:t>
      </w:r>
    </w:p>
    <w:p>
      <w:pPr>
        <w:spacing w:after="120"/>
      </w:pPr>
      <w:r>
        <w:rPr>
          <w:i/>
          <w:iCs/>
          <w:sz w:val="20"/>
          <w:szCs w:val="20"/>
        </w:rPr>
        <w:t xml:space="preserve">Prepared: 24 September 2026</w:t>
      </w:r>
    </w:p>
    <w:p>
      <w:pPr>
        <w:pStyle w:val="Heading1"/>
        <w:spacing w:after="150" w:before="300"/>
      </w:pPr>
      <w:r>
        <w:t xml:space="preserve">1. What was supplied versus what the guide requires</w:t>
      </w:r>
    </w:p>
    <w:p>
      <w:pPr>
        <w:spacing w:after="120"/>
      </w:pPr>
      <w:r>
        <w:t xml:space="preserve">The guide describes two replication routes. The audit route needs the six IDX Portfolio files (SL, SN, SH, BL, BN, BH) plus the IDX FF3 factor files. The full route needs the raw stock-level total-return and market-capitalization panel, the common-equity workbook, and the aligned class calendar. Only a subset of these inputs was supplied in this 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50"/>
      </w:tblGrid>
      <w:tr>
        <w:tc>
          <w:tcPr>
            <w:tcW w:type="dxa" w:w="3400"/>
            <w:shd w:fill="1F3864" w:val="clear"/>
          </w:tcPr>
          <w:p>
            <w:r>
              <w:rPr>
                <w:b/>
                <w:bCs/>
                <w:color w:val="FFFFFF"/>
                <w:sz w:val="18"/>
                <w:szCs w:val="18"/>
              </w:rPr>
              <w:t xml:space="preserve">File supplied</w:t>
            </w:r>
          </w:p>
        </w:tc>
        <w:tc>
          <w:tcPr>
            <w:tcW w:type="dxa" w:w="3600"/>
            <w:shd w:fill="1F3864" w:val="clear"/>
          </w:tcPr>
          <w:p>
            <w:r>
              <w:rPr>
                <w:b/>
                <w:bCs/>
                <w:color w:val="FFFFFF"/>
                <w:sz w:val="18"/>
                <w:szCs w:val="18"/>
              </w:rPr>
              <w:t xml:space="preserve">Role in the guide</w:t>
            </w:r>
          </w:p>
        </w:tc>
        <w:tc>
          <w:tcPr>
            <w:tcW w:type="dxa" w:w="2350"/>
            <w:shd w:fill="1F3864" w:val="clear"/>
          </w:tcPr>
          <w:p>
            <w:r>
              <w:rPr>
                <w:b/>
                <w:bCs/>
                <w:color w:val="FFFFFF"/>
                <w:sz w:val="18"/>
                <w:szCs w:val="18"/>
              </w:rPr>
              <w:t xml:space="preserve">Route it supports</w:t>
            </w:r>
          </w:p>
        </w:tc>
      </w:tr>
      <w:tr>
        <w:tc>
          <w:tcPr>
            <w:tcW w:type="dxa" w:w="3400"/>
          </w:tcPr>
          <w:p>
            <w:r>
              <w:rPr>
                <w:b w:val="false"/>
                <w:bCs w:val="false"/>
                <w:sz w:val="18"/>
                <w:szCs w:val="18"/>
              </w:rPr>
              <w:t xml:space="preserve">IDX_FF3_Daily_ALL.csv / SCREENED.csv</w:t>
            </w:r>
          </w:p>
        </w:tc>
        <w:tc>
          <w:tcPr>
            <w:tcW w:type="dxa" w:w="3600"/>
          </w:tcPr>
          <w:p>
            <w:r>
              <w:rPr>
                <w:b w:val="false"/>
                <w:bCs w:val="false"/>
                <w:sz w:val="18"/>
                <w:szCs w:val="18"/>
              </w:rPr>
              <w:t xml:space="preserve">Final daily factor benchmark (Mkt-RF, SMB, HML, RF)</w:t>
            </w:r>
          </w:p>
        </w:tc>
        <w:tc>
          <w:tcPr>
            <w:tcW w:type="dxa" w:w="2350"/>
          </w:tcPr>
          <w:p>
            <w:r>
              <w:rPr>
                <w:b w:val="false"/>
                <w:bCs w:val="false"/>
                <w:sz w:val="18"/>
                <w:szCs w:val="18"/>
              </w:rPr>
              <w:t xml:space="preserve">Audit route input</w:t>
            </w:r>
          </w:p>
        </w:tc>
      </w:tr>
      <w:tr>
        <w:tc>
          <w:tcPr>
            <w:tcW w:type="dxa" w:w="3400"/>
          </w:tcPr>
          <w:p>
            <w:r>
              <w:rPr>
                <w:b w:val="false"/>
                <w:bCs w:val="false"/>
                <w:sz w:val="18"/>
                <w:szCs w:val="18"/>
              </w:rPr>
              <w:t xml:space="preserve">IDX_FF3_Weekly_ALL.csv / SCREENED.csv</w:t>
            </w:r>
          </w:p>
        </w:tc>
        <w:tc>
          <w:tcPr>
            <w:tcW w:type="dxa" w:w="3600"/>
          </w:tcPr>
          <w:p>
            <w:r>
              <w:rPr>
                <w:b w:val="false"/>
                <w:bCs w:val="false"/>
                <w:sz w:val="18"/>
                <w:szCs w:val="18"/>
              </w:rPr>
              <w:t xml:space="preserve">Final weekly factor benchmark</w:t>
            </w:r>
          </w:p>
        </w:tc>
        <w:tc>
          <w:tcPr>
            <w:tcW w:type="dxa" w:w="2350"/>
          </w:tcPr>
          <w:p>
            <w:r>
              <w:rPr>
                <w:b w:val="false"/>
                <w:bCs w:val="false"/>
                <w:sz w:val="18"/>
                <w:szCs w:val="18"/>
              </w:rPr>
              <w:t xml:space="preserve">Audit route input</w:t>
            </w:r>
          </w:p>
        </w:tc>
      </w:tr>
      <w:tr>
        <w:tc>
          <w:tcPr>
            <w:tcW w:type="dxa" w:w="3400"/>
          </w:tcPr>
          <w:p>
            <w:r>
              <w:rPr>
                <w:b w:val="false"/>
                <w:bCs w:val="false"/>
                <w:sz w:val="18"/>
                <w:szCs w:val="18"/>
              </w:rPr>
              <w:t xml:space="preserve">PRK_Sectoral_Indices...xlsx</w:t>
            </w:r>
          </w:p>
        </w:tc>
        <w:tc>
          <w:tcPr>
            <w:tcW w:type="dxa" w:w="3600"/>
          </w:tcPr>
          <w:p>
            <w:r>
              <w:rPr>
                <w:b w:val="false"/>
                <w:bCs w:val="false"/>
                <w:sz w:val="18"/>
                <w:szCs w:val="18"/>
              </w:rPr>
              <w:t xml:space="preserve">Sector value-weighted index/return workbook (not the six SMB/HML portfolios)</w:t>
            </w:r>
          </w:p>
        </w:tc>
        <w:tc>
          <w:tcPr>
            <w:tcW w:type="dxa" w:w="2350"/>
          </w:tcPr>
          <w:p>
            <w:r>
              <w:rPr>
                <w:b w:val="false"/>
                <w:bCs w:val="false"/>
                <w:sz w:val="18"/>
                <w:szCs w:val="18"/>
              </w:rPr>
              <w:t xml:space="preserve">Independent test asset, not a factor-construction input</w:t>
            </w:r>
          </w:p>
        </w:tc>
      </w:tr>
      <w:tr>
        <w:tc>
          <w:tcPr>
            <w:tcW w:type="dxa" w:w="3400"/>
          </w:tcPr>
          <w:p>
            <w:r>
              <w:rPr>
                <w:b w:val="false"/>
                <w:bCs w:val="false"/>
                <w:sz w:val="18"/>
                <w:szCs w:val="18"/>
              </w:rPr>
              <w:t xml:space="preserve">IDX_Sector_FF3_Regressions.R</w:t>
            </w:r>
          </w:p>
        </w:tc>
        <w:tc>
          <w:tcPr>
            <w:tcW w:type="dxa" w:w="3600"/>
          </w:tcPr>
          <w:p>
            <w:r>
              <w:rPr>
                <w:b w:val="false"/>
                <w:bCs w:val="false"/>
                <w:sz w:val="18"/>
                <w:szCs w:val="18"/>
              </w:rPr>
              <w:t xml:space="preserve">Reference script regressing sector returns on the FF3 factors</w:t>
            </w:r>
          </w:p>
        </w:tc>
        <w:tc>
          <w:tcPr>
            <w:tcW w:type="dxa" w:w="2350"/>
          </w:tcPr>
          <w:p>
            <w:r>
              <w:rPr>
                <w:b w:val="false"/>
                <w:bCs w:val="false"/>
                <w:sz w:val="18"/>
                <w:szCs w:val="18"/>
              </w:rPr>
              <w:t xml:space="preserve">Interpretation / spanning-test step</w:t>
            </w:r>
          </w:p>
        </w:tc>
      </w:tr>
    </w:tbl>
    <w:p>
      <w:pPr>
        <w:spacing w:after="120"/>
      </w:pPr>
      <w:r>
        <w:t xml:space="preserve"/>
      </w:r>
    </w:p>
    <w:p>
      <w:pPr>
        <w:spacing w:after="120"/>
      </w:pPr>
      <w:r>
        <w:t xml:space="preserve">Not supplied: the six IDX Portfolio return files (SL/SN/SH/BL/BN/BH), the raw stock-level TR and market-cap panel, the common-equity workbook, the aligned daily-RF calendar, and the annual breakpoints/membership benchmark files. Without the six-portfolio files the factor identity check in Step 2 of the audit route (rebuilding SMB and HML from SL...BH) cannot be performed, and without the stock-level panel the full construction route (Steps 1-15) cannot be attempted at all.</w:t>
      </w:r>
    </w:p>
    <w:p>
      <w:pPr>
        <w:spacing w:after="120"/>
      </w:pPr>
      <w:r>
        <w:t xml:space="preserve">Given that scope, this memo covers two things that are fully supported by the supplied files: (a) a validation of the four IDX FF3 factor files against the guide's quality-control checklist, and (b) the independent sector asset-pricing test that the guide's "Interpretation discipline" section recommends as a check on the six-portfolio-spanning problem, using the sector workbook as external test assets and reproducing the supplied R script's logic.</w:t>
      </w:r>
    </w:p>
    <w:p>
      <w:pPr>
        <w:pStyle w:val="Heading1"/>
        <w:spacing w:after="150" w:before="300"/>
      </w:pPr>
      <w:r>
        <w:t xml:space="preserve">2. Factor file validation (Section "Quality control protocol")</w:t>
      </w:r>
    </w:p>
    <w:p>
      <w:pPr>
        <w:spacing w:after="120"/>
      </w:pPr>
      <w:r>
        <w:t xml:space="preserve">Each of the four supplied factor files was checked against the guide's pass conditions: row counts (2792 daily / 597 weekly), the 5 January 2015 to 30 July 2026 date span, ascending unique dates, and zero missing SMB/HML observations.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100"/>
        <w:gridCol w:w="2400"/>
        <w:gridCol w:w="1300"/>
        <w:gridCol w:w="1750"/>
      </w:tblGrid>
      <w:tr>
        <w:tc>
          <w:tcPr>
            <w:tcW w:type="dxa" w:w="1300"/>
            <w:shd w:fill="1F3864" w:val="clear"/>
          </w:tcPr>
          <w:p>
            <w:r>
              <w:rPr>
                <w:b/>
                <w:bCs/>
                <w:color w:val="FFFFFF"/>
                <w:sz w:val="18"/>
                <w:szCs w:val="18"/>
              </w:rPr>
              <w:t xml:space="preserve">Frequency</w:t>
            </w:r>
          </w:p>
        </w:tc>
        <w:tc>
          <w:tcPr>
            <w:tcW w:type="dxa" w:w="1500"/>
            <w:shd w:fill="1F3864" w:val="clear"/>
          </w:tcPr>
          <w:p>
            <w:r>
              <w:rPr>
                <w:b/>
                <w:bCs/>
                <w:color w:val="FFFFFF"/>
                <w:sz w:val="18"/>
                <w:szCs w:val="18"/>
              </w:rPr>
              <w:t xml:space="preserve">Variant</w:t>
            </w:r>
          </w:p>
        </w:tc>
        <w:tc>
          <w:tcPr>
            <w:tcW w:type="dxa" w:w="2100"/>
            <w:shd w:fill="1F3864" w:val="clear"/>
          </w:tcPr>
          <w:p>
            <w:r>
              <w:rPr>
                <w:b/>
                <w:bCs/>
                <w:color w:val="FFFFFF"/>
                <w:sz w:val="18"/>
                <w:szCs w:val="18"/>
              </w:rPr>
              <w:t xml:space="preserve">Rows (expected)</w:t>
            </w:r>
          </w:p>
        </w:tc>
        <w:tc>
          <w:tcPr>
            <w:tcW w:type="dxa" w:w="2400"/>
            <w:shd w:fill="1F3864" w:val="clear"/>
          </w:tcPr>
          <w:p>
            <w:r>
              <w:rPr>
                <w:b/>
                <w:bCs/>
                <w:color w:val="FFFFFF"/>
                <w:sz w:val="18"/>
                <w:szCs w:val="18"/>
              </w:rPr>
              <w:t xml:space="preserve">Date range</w:t>
            </w:r>
          </w:p>
        </w:tc>
        <w:tc>
          <w:tcPr>
            <w:tcW w:type="dxa" w:w="1300"/>
            <w:shd w:fill="1F3864" w:val="clear"/>
          </w:tcPr>
          <w:p>
            <w:r>
              <w:rPr>
                <w:b/>
                <w:bCs/>
                <w:color w:val="FFFFFF"/>
                <w:sz w:val="18"/>
                <w:szCs w:val="18"/>
              </w:rPr>
              <w:t xml:space="preserve">Duplicate dates</w:t>
            </w:r>
          </w:p>
        </w:tc>
        <w:tc>
          <w:tcPr>
            <w:tcW w:type="dxa" w:w="1750"/>
            <w:shd w:fill="1F3864" w:val="clear"/>
          </w:tcPr>
          <w:p>
            <w:r>
              <w:rPr>
                <w:b/>
                <w:bCs/>
                <w:color w:val="FFFFFF"/>
                <w:sz w:val="18"/>
                <w:szCs w:val="18"/>
              </w:rPr>
              <w:t xml:space="preserve">Missing SMB/HML</w:t>
            </w:r>
          </w:p>
        </w:tc>
      </w:tr>
      <w:tr>
        <w:tc>
          <w:tcPr>
            <w:tcW w:type="dxa" w:w="1300"/>
          </w:tcPr>
          <w:p>
            <w:r>
              <w:rPr>
                <w:b w:val="false"/>
                <w:bCs w:val="false"/>
                <w:sz w:val="18"/>
                <w:szCs w:val="18"/>
              </w:rPr>
              <w:t xml:space="preserve">Daily</w:t>
            </w:r>
          </w:p>
        </w:tc>
        <w:tc>
          <w:tcPr>
            <w:tcW w:type="dxa" w:w="1500"/>
          </w:tcPr>
          <w:p>
            <w:r>
              <w:rPr>
                <w:b w:val="false"/>
                <w:bCs w:val="false"/>
                <w:sz w:val="18"/>
                <w:szCs w:val="18"/>
              </w:rPr>
              <w:t xml:space="preserve">ALL</w:t>
            </w:r>
          </w:p>
        </w:tc>
        <w:tc>
          <w:tcPr>
            <w:tcW w:type="dxa" w:w="2100"/>
          </w:tcPr>
          <w:p>
            <w:r>
              <w:rPr>
                <w:b w:val="false"/>
                <w:bCs w:val="false"/>
                <w:sz w:val="18"/>
                <w:szCs w:val="18"/>
              </w:rPr>
              <w:t xml:space="preserve">2792 (2792) — pass</w:t>
            </w:r>
          </w:p>
        </w:tc>
        <w:tc>
          <w:tcPr>
            <w:tcW w:type="dxa" w:w="2400"/>
          </w:tcPr>
          <w:p>
            <w:r>
              <w:rPr>
                <w:b w:val="false"/>
                <w:bCs w:val="false"/>
                <w:sz w:val="18"/>
                <w:szCs w:val="18"/>
              </w:rPr>
              <w:t xml:space="preserve">2015-01-05 to 2026-07-30</w:t>
            </w:r>
          </w:p>
        </w:tc>
        <w:tc>
          <w:tcPr>
            <w:tcW w:type="dxa" w:w="1300"/>
          </w:tcPr>
          <w:p>
            <w:r>
              <w:rPr>
                <w:b w:val="false"/>
                <w:bCs w:val="false"/>
                <w:sz w:val="18"/>
                <w:szCs w:val="18"/>
              </w:rPr>
              <w:t xml:space="preserve">0</w:t>
            </w:r>
          </w:p>
        </w:tc>
        <w:tc>
          <w:tcPr>
            <w:tcW w:type="dxa" w:w="1750"/>
          </w:tcPr>
          <w:p>
            <w:r>
              <w:rPr>
                <w:b w:val="false"/>
                <w:bCs w:val="false"/>
                <w:sz w:val="18"/>
                <w:szCs w:val="18"/>
              </w:rPr>
              <w:t xml:space="preserve">0 / 0</w:t>
            </w:r>
          </w:p>
        </w:tc>
      </w:tr>
      <w:tr>
        <w:tc>
          <w:tcPr>
            <w:tcW w:type="dxa" w:w="1300"/>
          </w:tcPr>
          <w:p>
            <w:r>
              <w:rPr>
                <w:b w:val="false"/>
                <w:bCs w:val="false"/>
                <w:sz w:val="18"/>
                <w:szCs w:val="18"/>
              </w:rPr>
              <w:t xml:space="preserve">Daily</w:t>
            </w:r>
          </w:p>
        </w:tc>
        <w:tc>
          <w:tcPr>
            <w:tcW w:type="dxa" w:w="1500"/>
          </w:tcPr>
          <w:p>
            <w:r>
              <w:rPr>
                <w:b w:val="false"/>
                <w:bCs w:val="false"/>
                <w:sz w:val="18"/>
                <w:szCs w:val="18"/>
              </w:rPr>
              <w:t xml:space="preserve">SCREENED</w:t>
            </w:r>
          </w:p>
        </w:tc>
        <w:tc>
          <w:tcPr>
            <w:tcW w:type="dxa" w:w="2100"/>
          </w:tcPr>
          <w:p>
            <w:r>
              <w:rPr>
                <w:b w:val="false"/>
                <w:bCs w:val="false"/>
                <w:sz w:val="18"/>
                <w:szCs w:val="18"/>
              </w:rPr>
              <w:t xml:space="preserve">2792 (2792) — pass</w:t>
            </w:r>
          </w:p>
        </w:tc>
        <w:tc>
          <w:tcPr>
            <w:tcW w:type="dxa" w:w="2400"/>
          </w:tcPr>
          <w:p>
            <w:r>
              <w:rPr>
                <w:b w:val="false"/>
                <w:bCs w:val="false"/>
                <w:sz w:val="18"/>
                <w:szCs w:val="18"/>
              </w:rPr>
              <w:t xml:space="preserve">2015-01-05 to 2026-07-30</w:t>
            </w:r>
          </w:p>
        </w:tc>
        <w:tc>
          <w:tcPr>
            <w:tcW w:type="dxa" w:w="1300"/>
          </w:tcPr>
          <w:p>
            <w:r>
              <w:rPr>
                <w:b w:val="false"/>
                <w:bCs w:val="false"/>
                <w:sz w:val="18"/>
                <w:szCs w:val="18"/>
              </w:rPr>
              <w:t xml:space="preserve">0</w:t>
            </w:r>
          </w:p>
        </w:tc>
        <w:tc>
          <w:tcPr>
            <w:tcW w:type="dxa" w:w="1750"/>
          </w:tcPr>
          <w:p>
            <w:r>
              <w:rPr>
                <w:b w:val="false"/>
                <w:bCs w:val="false"/>
                <w:sz w:val="18"/>
                <w:szCs w:val="18"/>
              </w:rPr>
              <w:t xml:space="preserve">0 / 0</w:t>
            </w:r>
          </w:p>
        </w:tc>
      </w:tr>
      <w:tr>
        <w:tc>
          <w:tcPr>
            <w:tcW w:type="dxa" w:w="1300"/>
          </w:tcPr>
          <w:p>
            <w:r>
              <w:rPr>
                <w:b w:val="false"/>
                <w:bCs w:val="false"/>
                <w:sz w:val="18"/>
                <w:szCs w:val="18"/>
              </w:rPr>
              <w:t xml:space="preserve">Weekly</w:t>
            </w:r>
          </w:p>
        </w:tc>
        <w:tc>
          <w:tcPr>
            <w:tcW w:type="dxa" w:w="1500"/>
          </w:tcPr>
          <w:p>
            <w:r>
              <w:rPr>
                <w:b w:val="false"/>
                <w:bCs w:val="false"/>
                <w:sz w:val="18"/>
                <w:szCs w:val="18"/>
              </w:rPr>
              <w:t xml:space="preserve">ALL</w:t>
            </w:r>
          </w:p>
        </w:tc>
        <w:tc>
          <w:tcPr>
            <w:tcW w:type="dxa" w:w="2100"/>
          </w:tcPr>
          <w:p>
            <w:r>
              <w:rPr>
                <w:b w:val="false"/>
                <w:bCs w:val="false"/>
                <w:sz w:val="18"/>
                <w:szCs w:val="18"/>
              </w:rPr>
              <w:t xml:space="preserve">597 (597) — pass</w:t>
            </w:r>
          </w:p>
        </w:tc>
        <w:tc>
          <w:tcPr>
            <w:tcW w:type="dxa" w:w="2400"/>
          </w:tcPr>
          <w:p>
            <w:r>
              <w:rPr>
                <w:b w:val="false"/>
                <w:bCs w:val="false"/>
                <w:sz w:val="18"/>
                <w:szCs w:val="18"/>
              </w:rPr>
              <w:t xml:space="preserve">2015-01-09 to 2026-07-30</w:t>
            </w:r>
          </w:p>
        </w:tc>
        <w:tc>
          <w:tcPr>
            <w:tcW w:type="dxa" w:w="1300"/>
          </w:tcPr>
          <w:p>
            <w:r>
              <w:rPr>
                <w:b w:val="false"/>
                <w:bCs w:val="false"/>
                <w:sz w:val="18"/>
                <w:szCs w:val="18"/>
              </w:rPr>
              <w:t xml:space="preserve">0</w:t>
            </w:r>
          </w:p>
        </w:tc>
        <w:tc>
          <w:tcPr>
            <w:tcW w:type="dxa" w:w="1750"/>
          </w:tcPr>
          <w:p>
            <w:r>
              <w:rPr>
                <w:b w:val="false"/>
                <w:bCs w:val="false"/>
                <w:sz w:val="18"/>
                <w:szCs w:val="18"/>
              </w:rPr>
              <w:t xml:space="preserve">0 / 0</w:t>
            </w:r>
          </w:p>
        </w:tc>
      </w:tr>
      <w:tr>
        <w:tc>
          <w:tcPr>
            <w:tcW w:type="dxa" w:w="1300"/>
          </w:tcPr>
          <w:p>
            <w:r>
              <w:rPr>
                <w:b w:val="false"/>
                <w:bCs w:val="false"/>
                <w:sz w:val="18"/>
                <w:szCs w:val="18"/>
              </w:rPr>
              <w:t xml:space="preserve">Weekly</w:t>
            </w:r>
          </w:p>
        </w:tc>
        <w:tc>
          <w:tcPr>
            <w:tcW w:type="dxa" w:w="1500"/>
          </w:tcPr>
          <w:p>
            <w:r>
              <w:rPr>
                <w:b w:val="false"/>
                <w:bCs w:val="false"/>
                <w:sz w:val="18"/>
                <w:szCs w:val="18"/>
              </w:rPr>
              <w:t xml:space="preserve">SCREENED</w:t>
            </w:r>
          </w:p>
        </w:tc>
        <w:tc>
          <w:tcPr>
            <w:tcW w:type="dxa" w:w="2100"/>
          </w:tcPr>
          <w:p>
            <w:r>
              <w:rPr>
                <w:b w:val="false"/>
                <w:bCs w:val="false"/>
                <w:sz w:val="18"/>
                <w:szCs w:val="18"/>
              </w:rPr>
              <w:t xml:space="preserve">597 (597) — pass</w:t>
            </w:r>
          </w:p>
        </w:tc>
        <w:tc>
          <w:tcPr>
            <w:tcW w:type="dxa" w:w="2400"/>
          </w:tcPr>
          <w:p>
            <w:r>
              <w:rPr>
                <w:b w:val="false"/>
                <w:bCs w:val="false"/>
                <w:sz w:val="18"/>
                <w:szCs w:val="18"/>
              </w:rPr>
              <w:t xml:space="preserve">2015-01-09 to 2026-07-30</w:t>
            </w:r>
          </w:p>
        </w:tc>
        <w:tc>
          <w:tcPr>
            <w:tcW w:type="dxa" w:w="1300"/>
          </w:tcPr>
          <w:p>
            <w:r>
              <w:rPr>
                <w:b w:val="false"/>
                <w:bCs w:val="false"/>
                <w:sz w:val="18"/>
                <w:szCs w:val="18"/>
              </w:rPr>
              <w:t xml:space="preserve">0</w:t>
            </w:r>
          </w:p>
        </w:tc>
        <w:tc>
          <w:tcPr>
            <w:tcW w:type="dxa" w:w="1750"/>
          </w:tcPr>
          <w:p>
            <w:r>
              <w:rPr>
                <w:b w:val="false"/>
                <w:bCs w:val="false"/>
                <w:sz w:val="18"/>
                <w:szCs w:val="18"/>
              </w:rPr>
              <w:t xml:space="preserve">0 / 0</w:t>
            </w:r>
          </w:p>
        </w:tc>
      </w:tr>
    </w:tbl>
    <w:p>
      <w:pPr>
        <w:spacing w:after="120"/>
      </w:pPr>
      <w:r>
        <w:t xml:space="preserve"/>
      </w:r>
    </w:p>
    <w:p>
      <w:pPr>
        <w:spacing w:after="120"/>
      </w:pPr>
      <w:r>
        <w:rPr>
          <w:i/>
          <w:iCs/>
        </w:rPr>
        <w:t xml:space="preserve">All four files pass every check that can be run without the six-portfolio benchmark. The factor identity check (SMB = average small minus average big; HML = average high-BM minus average low-BM across SL...BH) and the annual breakpoint/membership benchmark comparisons in Steps 8 and Step-2-of-the-audit-route were not run, because the underlying six-portfolio and breakpoint/membership files were not part of this upload. This should be completed separately before the factor files are treated as fully audited.</w:t>
      </w:r>
    </w:p>
    <w:p>
      <w:pPr>
        <w:spacing w:after="120"/>
      </w:pPr>
      <w:r>
        <w:t xml:space="preserve">Full figures: QC_IDX_FF3_File_Checks.csv (includes SMB/HML mean and standard deviation by file as an additional plausibility check).</w:t>
      </w:r>
    </w:p>
    <w:p>
      <w:pPr>
        <w:pStyle w:val="Heading1"/>
        <w:spacing w:after="150" w:before="300"/>
      </w:pPr>
      <w:r>
        <w:t xml:space="preserve">3. Independent sector test (Section "Interpretation discipline")</w:t>
      </w:r>
    </w:p>
    <w:p>
      <w:pPr>
        <w:spacing w:after="120"/>
      </w:pPr>
      <w:r>
        <w:t xml:space="preserve">The guide notes that regressing the six SMB/HML-construction portfolios on SMB and HML is mechanical and cannot serve as an independent asset-pricing test, and recommends evaluating securities or portfolios that were not used to build the factors. The supplied sector workbook (11 GICS-style sectors, ALL and SCREENED/VW_10M variants, same underlying 901-entity Indonesian universe) is exactly this kind of holdout set, and the supplied R script specifies the test design.</w:t>
      </w:r>
    </w:p>
    <w:p>
      <w:pPr>
        <w:pStyle w:val="Heading2"/>
        <w:spacing w:after="120" w:before="220"/>
      </w:pPr>
      <w:r>
        <w:t xml:space="preserve">3.1 Method</w:t>
      </w:r>
    </w:p>
    <w:p>
      <w:pPr>
        <w:pStyle w:val="ListParagraph"/>
        <w:numPr>
          <w:ilvl w:val="0"/>
          <w:numId w:val="1"/>
        </w:numPr>
        <w:spacing w:after="60"/>
      </w:pPr>
      <w:r>
        <w:t xml:space="preserve">Sector daily returns were read from the workbook's "Daily Returns" sheet (header ends row 5; columns are Date, 11 sectors SCREENED/VW_10M, 11 sectors ALL/VW_ALL), matching the R script's layout assumption.</w:t>
      </w:r>
    </w:p>
    <w:p>
      <w:pPr>
        <w:pStyle w:val="ListParagraph"/>
        <w:numPr>
          <w:ilvl w:val="0"/>
          <w:numId w:val="1"/>
        </w:numPr>
        <w:spacing w:after="60"/>
      </w:pPr>
      <w:r>
        <w:t xml:space="preserve">Weekly sector returns were compounded within Monday-to-Friday weeks (product of 1+r minus 1); the first partial week ending 2015-01-09 was dropped, as the sector series starts 2015-01-06 against a 2015-01-05 base date.</w:t>
      </w:r>
    </w:p>
    <w:p>
      <w:pPr>
        <w:pStyle w:val="ListParagraph"/>
        <w:numPr>
          <w:ilvl w:val="0"/>
          <w:numId w:val="1"/>
        </w:numPr>
        <w:spacing w:after="60"/>
      </w:pPr>
      <w:r>
        <w:t xml:space="preserve">The supplied FF3 factor files were converted from percentage points to decimal and inner-joined to the matching sector series by date.</w:t>
      </w:r>
    </w:p>
    <w:p>
      <w:pPr>
        <w:pStyle w:val="ListParagraph"/>
        <w:numPr>
          <w:ilvl w:val="0"/>
          <w:numId w:val="1"/>
        </w:numPr>
        <w:spacing w:after="60"/>
      </w:pPr>
      <w:r>
        <w:t xml:space="preserve">For every sector x variant x frequency combination, two OLS specifications were estimated on excess sector returns: SIMM (single-index market model: excess return on Mkt-RF only) and FF3 (Mkt-RF, SMB, HML).</w:t>
      </w:r>
    </w:p>
    <w:p>
      <w:pPr>
        <w:pStyle w:val="ListParagraph"/>
        <w:numPr>
          <w:ilvl w:val="0"/>
          <w:numId w:val="1"/>
        </w:numPr>
        <w:spacing w:after="60"/>
      </w:pPr>
      <w:r>
        <w:t xml:space="preserve">Standard errors use Newey-West HAC covariance with no prewhitening and the small-sample correction, at 20 lags daily and 5 lags weekly, matching the R script's sandwich::NeweyWest(prewhite = FALSE, adjust = TRUE) call.</w:t>
      </w:r>
    </w:p>
    <w:p>
      <w:pPr>
        <w:pStyle w:val="ListParagraph"/>
        <w:numPr>
          <w:ilvl w:val="0"/>
          <w:numId w:val="1"/>
        </w:numPr>
        <w:spacing w:after="60"/>
      </w:pPr>
      <w:r>
        <w:t xml:space="preserve">The Python implementation (pandas + statsmodels) reproduces the R script's variable construction, join keys, HAC settings, and output schema line for line; it was run in place of the R script because R was not available in this environment.</w:t>
      </w:r>
    </w:p>
    <w:p>
      <w:pPr>
        <w:pStyle w:val="Heading2"/>
        <w:spacing w:after="120" w:before="220"/>
      </w:pPr>
      <w:r>
        <w:t xml:space="preserve">3.2 Headline results</w:t>
      </w:r>
    </w:p>
    <w:p>
      <w:pPr>
        <w:spacing w:after="120"/>
      </w:pPr>
      <w:r>
        <w:t xml:space="preserve">88 regressions were estimated (2 frequencies x 2 variants x 11 sectors x 2 models), producing 264 coefficient rows and 44 SIMM-vs-FF3 comparisons.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shd w:fill="1F3864" w:val="clear"/>
          </w:tcPr>
          <w:p>
            <w:r>
              <w:rPr>
                <w:b/>
                <w:bCs/>
                <w:color w:val="FFFFFF"/>
                <w:sz w:val="18"/>
                <w:szCs w:val="18"/>
              </w:rPr>
              <w:t xml:space="preserve">Frequency / Variant</w:t>
            </w:r>
          </w:p>
        </w:tc>
        <w:tc>
          <w:tcPr>
            <w:tcW w:type="dxa" w:w="4000"/>
            <w:shd w:fill="1F3864" w:val="clear"/>
          </w:tcPr>
          <w:p>
            <w:r>
              <w:rPr>
                <w:b/>
                <w:bCs/>
                <w:color w:val="FFFFFF"/>
                <w:sz w:val="18"/>
                <w:szCs w:val="18"/>
              </w:rPr>
              <w:t xml:space="preserve">Mean R² gain, FF3 over SIMM</w:t>
            </w:r>
          </w:p>
        </w:tc>
      </w:tr>
      <w:tr>
        <w:tc>
          <w:tcPr>
            <w:tcW w:type="dxa" w:w="5350"/>
          </w:tcPr>
          <w:p>
            <w:r>
              <w:rPr>
                <w:b w:val="false"/>
                <w:bCs w:val="false"/>
                <w:sz w:val="18"/>
                <w:szCs w:val="18"/>
              </w:rPr>
              <w:t xml:space="preserve">Daily, ALL</w:t>
            </w:r>
          </w:p>
        </w:tc>
        <w:tc>
          <w:tcPr>
            <w:tcW w:type="dxa" w:w="4000"/>
          </w:tcPr>
          <w:p>
            <w:r>
              <w:rPr>
                <w:b w:val="false"/>
                <w:bCs w:val="false"/>
                <w:sz w:val="18"/>
                <w:szCs w:val="18"/>
              </w:rPr>
              <w:t xml:space="preserve">+1.32 pp</w:t>
            </w:r>
          </w:p>
        </w:tc>
      </w:tr>
      <w:tr>
        <w:tc>
          <w:tcPr>
            <w:tcW w:type="dxa" w:w="5350"/>
          </w:tcPr>
          <w:p>
            <w:r>
              <w:rPr>
                <w:b w:val="false"/>
                <w:bCs w:val="false"/>
                <w:sz w:val="18"/>
                <w:szCs w:val="18"/>
              </w:rPr>
              <w:t xml:space="preserve">Daily, SCREENED</w:t>
            </w:r>
          </w:p>
        </w:tc>
        <w:tc>
          <w:tcPr>
            <w:tcW w:type="dxa" w:w="4000"/>
          </w:tcPr>
          <w:p>
            <w:r>
              <w:rPr>
                <w:b w:val="false"/>
                <w:bCs w:val="false"/>
                <w:sz w:val="18"/>
                <w:szCs w:val="18"/>
              </w:rPr>
              <w:t xml:space="preserve">+1.54 pp</w:t>
            </w:r>
          </w:p>
        </w:tc>
      </w:tr>
      <w:tr>
        <w:tc>
          <w:tcPr>
            <w:tcW w:type="dxa" w:w="5350"/>
          </w:tcPr>
          <w:p>
            <w:r>
              <w:rPr>
                <w:b w:val="false"/>
                <w:bCs w:val="false"/>
                <w:sz w:val="18"/>
                <w:szCs w:val="18"/>
              </w:rPr>
              <w:t xml:space="preserve">Weekly, ALL</w:t>
            </w:r>
          </w:p>
        </w:tc>
        <w:tc>
          <w:tcPr>
            <w:tcW w:type="dxa" w:w="4000"/>
          </w:tcPr>
          <w:p>
            <w:r>
              <w:rPr>
                <w:b w:val="false"/>
                <w:bCs w:val="false"/>
                <w:sz w:val="18"/>
                <w:szCs w:val="18"/>
              </w:rPr>
              <w:t xml:space="preserve">+1.78 pp</w:t>
            </w:r>
          </w:p>
        </w:tc>
      </w:tr>
      <w:tr>
        <w:tc>
          <w:tcPr>
            <w:tcW w:type="dxa" w:w="5350"/>
          </w:tcPr>
          <w:p>
            <w:r>
              <w:rPr>
                <w:b w:val="false"/>
                <w:bCs w:val="false"/>
                <w:sz w:val="18"/>
                <w:szCs w:val="18"/>
              </w:rPr>
              <w:t xml:space="preserve">Weekly, SCREENED</w:t>
            </w:r>
          </w:p>
        </w:tc>
        <w:tc>
          <w:tcPr>
            <w:tcW w:type="dxa" w:w="4000"/>
          </w:tcPr>
          <w:p>
            <w:r>
              <w:rPr>
                <w:b w:val="false"/>
                <w:bCs w:val="false"/>
                <w:sz w:val="18"/>
                <w:szCs w:val="18"/>
              </w:rPr>
              <w:t xml:space="preserve">+2.10 pp</w:t>
            </w:r>
          </w:p>
        </w:tc>
      </w:tr>
    </w:tbl>
    <w:p>
      <w:pPr>
        <w:spacing w:after="120"/>
      </w:pPr>
      <w:r>
        <w:t xml:space="preserve"/>
      </w:r>
    </w:p>
    <w:p>
      <w:pPr>
        <w:spacing w:after="120"/>
      </w:pPr>
      <w:r>
        <w:t xml:space="preserve">SMB or HML loadings were statistically significant at the 5% level (Newey-West) for a majority of sectors in the daily ALL specification, including Consumer Discretionary, Energy, Financials, Industrials, Information Technology, Materials, Real Estate and Utilities — consistent with SMB and HML capturing priced size- and value-related co-movement beyond the market factor, even outside the six portfolios used to build them. FF3 alphas were statistically indistinguishable from zero for almost every sector; the exceptions were Consumer Discretionary (both variants) and Industrials (SCREENED only), which retained a significant negative daily alpha even after controlling for size and value exposure.</w:t>
      </w:r>
    </w:p>
    <w:p>
      <w:pPr>
        <w:spacing w:after="120"/>
      </w:pPr>
      <w:r>
        <w:t xml:space="preserve">Full coefficient-level and model-level detail: IDX_Sector_FF3_Regression_Coefficients.csv, IDX_Sector_FF3_Regression_Model_Summary.csv, IDX_Sector_FF3_Alpha_R2_Comparison.csv, and sector_regression_results.json.</w:t>
      </w:r>
    </w:p>
    <w:p>
      <w:pPr>
        <w:pStyle w:val="Heading1"/>
        <w:spacing w:after="150" w:before="300"/>
      </w:pPr>
      <w:r>
        <w:t xml:space="preserve">4. Deviations from the reference workflow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950"/>
      </w:tblGrid>
      <w:tr>
        <w:tc>
          <w:tcPr>
            <w:tcW w:type="dxa" w:w="2500"/>
            <w:shd w:fill="1F3864" w:val="clear"/>
          </w:tcPr>
          <w:p>
            <w:r>
              <w:rPr>
                <w:b/>
                <w:bCs/>
                <w:color w:val="FFFFFF"/>
                <w:sz w:val="18"/>
                <w:szCs w:val="18"/>
              </w:rPr>
              <w:t xml:space="preserve">Guide step</w:t>
            </w:r>
          </w:p>
        </w:tc>
        <w:tc>
          <w:tcPr>
            <w:tcW w:type="dxa" w:w="3900"/>
            <w:shd w:fill="1F3864" w:val="clear"/>
          </w:tcPr>
          <w:p>
            <w:r>
              <w:rPr>
                <w:b/>
                <w:bCs/>
                <w:color w:val="FFFFFF"/>
                <w:sz w:val="18"/>
                <w:szCs w:val="18"/>
              </w:rPr>
              <w:t xml:space="preserve">What was done instead</w:t>
            </w:r>
          </w:p>
        </w:tc>
        <w:tc>
          <w:tcPr>
            <w:tcW w:type="dxa" w:w="2950"/>
            <w:shd w:fill="1F3864" w:val="clear"/>
          </w:tcPr>
          <w:p>
            <w:r>
              <w:rPr>
                <w:b/>
                <w:bCs/>
                <w:color w:val="FFFFFF"/>
                <w:sz w:val="18"/>
                <w:szCs w:val="18"/>
              </w:rPr>
              <w:t xml:space="preserve">Why</w:t>
            </w:r>
          </w:p>
        </w:tc>
      </w:tr>
      <w:tr>
        <w:tc>
          <w:tcPr>
            <w:tcW w:type="dxa" w:w="2500"/>
          </w:tcPr>
          <w:p>
            <w:r>
              <w:rPr>
                <w:b w:val="false"/>
                <w:bCs w:val="false"/>
                <w:sz w:val="18"/>
                <w:szCs w:val="18"/>
              </w:rPr>
              <w:t xml:space="preserve">Steps 1-15 (full stock-level construction)</w:t>
            </w:r>
          </w:p>
        </w:tc>
        <w:tc>
          <w:tcPr>
            <w:tcW w:type="dxa" w:w="3900"/>
          </w:tcPr>
          <w:p>
            <w:r>
              <w:rPr>
                <w:b w:val="false"/>
                <w:bCs w:val="false"/>
                <w:sz w:val="18"/>
                <w:szCs w:val="18"/>
              </w:rPr>
              <w:t xml:space="preserve">Not executed</w:t>
            </w:r>
          </w:p>
        </w:tc>
        <w:tc>
          <w:tcPr>
            <w:tcW w:type="dxa" w:w="2950"/>
          </w:tcPr>
          <w:p>
            <w:r>
              <w:rPr>
                <w:b w:val="false"/>
                <w:bCs w:val="false"/>
                <w:sz w:val="18"/>
                <w:szCs w:val="18"/>
              </w:rPr>
              <w:t xml:space="preserve">Raw TR/market-cap panel and common-equity workbook were not supplied</w:t>
            </w:r>
          </w:p>
        </w:tc>
      </w:tr>
      <w:tr>
        <w:tc>
          <w:tcPr>
            <w:tcW w:type="dxa" w:w="2500"/>
          </w:tcPr>
          <w:p>
            <w:r>
              <w:rPr>
                <w:b w:val="false"/>
                <w:bCs w:val="false"/>
                <w:sz w:val="18"/>
                <w:szCs w:val="18"/>
              </w:rPr>
              <w:t xml:space="preserve">Audit route Steps 1-3 (rebuild SMB/HML from six portfolios)</w:t>
            </w:r>
          </w:p>
        </w:tc>
        <w:tc>
          <w:tcPr>
            <w:tcW w:type="dxa" w:w="3900"/>
          </w:tcPr>
          <w:p>
            <w:r>
              <w:rPr>
                <w:b w:val="false"/>
                <w:bCs w:val="false"/>
                <w:sz w:val="18"/>
                <w:szCs w:val="18"/>
              </w:rPr>
              <w:t xml:space="preserve">Not executed</w:t>
            </w:r>
          </w:p>
        </w:tc>
        <w:tc>
          <w:tcPr>
            <w:tcW w:type="dxa" w:w="2950"/>
          </w:tcPr>
          <w:p>
            <w:r>
              <w:rPr>
                <w:b w:val="false"/>
                <w:bCs w:val="false"/>
                <w:sz w:val="18"/>
                <w:szCs w:val="18"/>
              </w:rPr>
              <w:t xml:space="preserve">IDX 6 Portfolios files were not supplied; only the final FF3 factor files were available</w:t>
            </w:r>
          </w:p>
        </w:tc>
      </w:tr>
      <w:tr>
        <w:tc>
          <w:tcPr>
            <w:tcW w:type="dxa" w:w="2500"/>
          </w:tcPr>
          <w:p>
            <w:r>
              <w:rPr>
                <w:b w:val="false"/>
                <w:bCs w:val="false"/>
                <w:sz w:val="18"/>
                <w:szCs w:val="18"/>
              </w:rPr>
              <w:t xml:space="preserve">Quality control protocol (file-level checks)</w:t>
            </w:r>
          </w:p>
        </w:tc>
        <w:tc>
          <w:tcPr>
            <w:tcW w:type="dxa" w:w="3900"/>
          </w:tcPr>
          <w:p>
            <w:r>
              <w:rPr>
                <w:b w:val="false"/>
                <w:bCs w:val="false"/>
                <w:sz w:val="18"/>
                <w:szCs w:val="18"/>
              </w:rPr>
              <w:t xml:space="preserve">Executed on the four supplied factor files</w:t>
            </w:r>
          </w:p>
        </w:tc>
        <w:tc>
          <w:tcPr>
            <w:tcW w:type="dxa" w:w="2950"/>
          </w:tcPr>
          <w:p>
            <w:r>
              <w:rPr>
                <w:b w:val="false"/>
                <w:bCs w:val="false"/>
                <w:sz w:val="18"/>
                <w:szCs w:val="18"/>
              </w:rPr>
              <w:t xml:space="preserve">These files, and only these, were available to check</w:t>
            </w:r>
          </w:p>
        </w:tc>
      </w:tr>
      <w:tr>
        <w:tc>
          <w:tcPr>
            <w:tcW w:type="dxa" w:w="2500"/>
          </w:tcPr>
          <w:p>
            <w:r>
              <w:rPr>
                <w:b w:val="false"/>
                <w:bCs w:val="false"/>
                <w:sz w:val="18"/>
                <w:szCs w:val="18"/>
              </w:rPr>
              <w:t xml:space="preserve">Reference R script (IDX_Sector_FF3_Regressions.R)</w:t>
            </w:r>
          </w:p>
        </w:tc>
        <w:tc>
          <w:tcPr>
            <w:tcW w:type="dxa" w:w="3900"/>
          </w:tcPr>
          <w:p>
            <w:r>
              <w:rPr>
                <w:b w:val="false"/>
                <w:bCs w:val="false"/>
                <w:sz w:val="18"/>
                <w:szCs w:val="18"/>
              </w:rPr>
              <w:t xml:space="preserve">Ported to Python (pandas/statsmodels) and re-run against the supplied files, with hard-coded local paths replaced</w:t>
            </w:r>
          </w:p>
        </w:tc>
        <w:tc>
          <w:tcPr>
            <w:tcW w:type="dxa" w:w="2950"/>
          </w:tcPr>
          <w:p>
            <w:r>
              <w:rPr>
                <w:b w:val="false"/>
                <w:bCs w:val="false"/>
                <w:sz w:val="18"/>
                <w:szCs w:val="18"/>
              </w:rPr>
              <w:t xml:space="preserve">R was not available in this execution environment; the script's file paths pointed to a local machine, not the uploaded files</w:t>
            </w:r>
          </w:p>
        </w:tc>
      </w:tr>
    </w:tbl>
    <w:p>
      <w:pPr>
        <w:pStyle w:val="Heading1"/>
        <w:spacing w:after="150" w:before="300"/>
      </w:pPr>
      <w:r>
        <w:t xml:space="preserve">5. Limitations</w:t>
      </w:r>
    </w:p>
    <w:p>
      <w:pPr>
        <w:pStyle w:val="ListParagraph"/>
        <w:numPr>
          <w:ilvl w:val="0"/>
          <w:numId w:val="1"/>
        </w:numPr>
        <w:spacing w:after="60"/>
      </w:pPr>
      <w:r>
        <w:t xml:space="preserve">This memo does not certify that the supplied SMB and HML series correctly satisfy the factor identity, because the six-portfolio and annual breakpoint/membership benchmark files needed for that check were not part of this upload.</w:t>
      </w:r>
    </w:p>
    <w:p>
      <w:pPr>
        <w:pStyle w:val="ListParagraph"/>
        <w:numPr>
          <w:ilvl w:val="0"/>
          <w:numId w:val="1"/>
        </w:numPr>
        <w:spacing w:after="60"/>
      </w:pPr>
      <w:r>
        <w:t xml:space="preserve">The sector regressions are a spanning/interpretation check, not a substitute for the assessed full-construction exercise; they use sector groupings, not the size/book-to-market groupings the course requires students to build.</w:t>
      </w:r>
    </w:p>
    <w:p>
      <w:pPr>
        <w:pStyle w:val="ListParagraph"/>
        <w:numPr>
          <w:ilvl w:val="0"/>
          <w:numId w:val="1"/>
        </w:numPr>
        <w:spacing w:after="60"/>
      </w:pPr>
      <w:r>
        <w:t xml:space="preserve">As the guide states, the USD 10 million screen is a course liquidity rule, not an official IDX or Kenneth French screen, and the sector and factor series are teaching products rather than official Indonesian benchmarks.</w:t>
      </w:r>
    </w:p>
    <w:p>
      <w:pPr>
        <w:pStyle w:val="ListParagraph"/>
        <w:numPr>
          <w:ilvl w:val="0"/>
          <w:numId w:val="1"/>
        </w:numPr>
        <w:spacing w:after="60"/>
      </w:pPr>
      <w:r>
        <w:t xml:space="preserve">Positive SMB/HML loadings and R² improvements documented here describe sample co-movement; they are not, on their own, evidence of a priced risk premium.</w:t>
      </w:r>
    </w:p>
    <w:p>
      <w:pPr>
        <w:pStyle w:val="Heading1"/>
        <w:spacing w:after="150" w:before="300"/>
      </w:pPr>
      <w:r>
        <w:t xml:space="preserve">6. Artificial intelligence declaration</w:t>
      </w:r>
    </w:p>
    <w:p>
      <w:pPr>
        <w:spacing w:after="120"/>
      </w:pPr>
      <w:r>
        <w:t xml:space="preserve">Claude (Anthropic) assisted with running the quality-control checks, porting the supplied R script to Python, executing the sector regressions, and drafting this memo. The underlying research design, factor definitions, screening rules, and the R reference script were authored by Zaäfri Husodo and supplied by the student for this session. All figures reported here come from the files uploaded to this conversation; no stock-level or six-portfolio data was fabricated or estimated to fill the gap.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2026-09-24T08:19:54.602Z</dcterms:created>
  <dcterms:modified xsi:type="dcterms:W3CDTF">2026-09-24T08:19:54.612Z</dcterms:modified>
</cp:coreProperties>
</file>

<file path=docProps/custom.xml><?xml version="1.0" encoding="utf-8"?>
<Properties xmlns="http://schemas.openxmlformats.org/officeDocument/2006/custom-properties" xmlns:vt="http://schemas.openxmlformats.org/officeDocument/2006/docPropsVTypes"/>
</file>