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industrail- stock: selection; investment in reliance/india(1%), tata/russia(2%) and binali/us(3%)</w:t>
      </w:r>
    </w:p>
    <w:p>
      <w:pPr>
        <w:pStyle w:val="ListBullet"/>
      </w:pPr>
      <w:r>
        <w:t>industrail- stock: selection; investment in  chaddi/rus(70%)</w:t>
      </w:r>
    </w:p>
    <w:p>
      <w:pPr>
        <w:pStyle w:val="ListBullet"/>
      </w:pPr>
      <w:r>
        <w:t>energy- stock: underweight; investment in tata power/UK(4%), bmec/france (5%) and mpev/germany(6%)</w:t>
      </w:r>
    </w:p>
    <w:p>
      <w:pPr>
        <w:pStyle w:val="ListBullet"/>
      </w:pPr>
      <w:r>
        <w:t>communication- stock: overweight; investment in  jio/denmark(7%)</w:t>
      </w:r>
    </w:p>
    <w:p>
      <w:pPr>
        <w:pStyle w:val="ListBullet"/>
      </w:pPr>
      <w:r>
        <w:t>pharma- stock: selection; investment in sunpharma/india(1%) and Dr reddy/us(3%)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