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03584" w14:textId="4596B299" w:rsidR="00FE13A4" w:rsidRDefault="00000000">
      <w:pPr>
        <w:spacing w:before="60" w:after="36"/>
      </w:pPr>
      <w:r>
        <w:rPr>
          <w:b/>
          <w:bCs/>
          <w:color w:val="BF9000"/>
          <w:spacing w:val="24"/>
          <w:sz w:val="15"/>
          <w:szCs w:val="15"/>
        </w:rPr>
        <w:t>DELIVERABLE D4  · INNOVATION PROGRAMME</w:t>
      </w:r>
    </w:p>
    <w:p w14:paraId="4FF1F61F" w14:textId="77777777" w:rsidR="00FE13A4" w:rsidRDefault="00000000">
      <w:pPr>
        <w:spacing w:after="50"/>
      </w:pPr>
      <w:r>
        <w:rPr>
          <w:b/>
          <w:bCs/>
          <w:color w:val="1F3864"/>
          <w:sz w:val="30"/>
          <w:szCs w:val="30"/>
        </w:rPr>
        <w:t>A Disaster Risk Management Innovations Programme for Regional Preparedness and Response</w:t>
      </w:r>
    </w:p>
    <w:p w14:paraId="107BF60E" w14:textId="77777777" w:rsidR="00FE13A4" w:rsidRDefault="00000000">
      <w:pPr>
        <w:spacing w:after="120"/>
      </w:pPr>
      <w:r>
        <w:rPr>
          <w:color w:val="404040"/>
        </w:rPr>
        <w:t>How the Southern African Development Community can put the region’s innovations to work through its SHOC</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700"/>
        <w:gridCol w:w="7626"/>
      </w:tblGrid>
      <w:tr w:rsidR="00FE13A4" w14:paraId="2C0730A1"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Pr>
          <w:p w14:paraId="7E9B350C" w14:textId="77777777" w:rsidR="00FE13A4" w:rsidRDefault="00000000">
            <w:pPr>
              <w:spacing w:after="6"/>
            </w:pPr>
            <w:r>
              <w:rPr>
                <w:b/>
                <w:bCs/>
                <w:color w:val="FFFFFF"/>
                <w:sz w:val="16"/>
                <w:szCs w:val="16"/>
              </w:rPr>
              <w:t>Field</w:t>
            </w:r>
          </w:p>
        </w:tc>
        <w:tc>
          <w:tcPr>
            <w:tcW w:w="7625" w:type="dxa"/>
            <w:tcBorders>
              <w:top w:val="single" w:sz="4" w:space="0" w:color="BFBFBF"/>
              <w:left w:val="single" w:sz="4" w:space="0" w:color="BFBFBF"/>
              <w:bottom w:val="single" w:sz="4" w:space="0" w:color="BFBFBF"/>
              <w:right w:val="single" w:sz="4" w:space="0" w:color="BFBFBF"/>
            </w:tcBorders>
            <w:shd w:val="clear" w:color="auto" w:fill="1F3864"/>
          </w:tcPr>
          <w:p w14:paraId="234F15E1" w14:textId="77777777" w:rsidR="00FE13A4" w:rsidRDefault="00000000">
            <w:pPr>
              <w:spacing w:after="6"/>
            </w:pPr>
            <w:r>
              <w:rPr>
                <w:b/>
                <w:bCs/>
                <w:color w:val="FFFFFF"/>
                <w:sz w:val="16"/>
                <w:szCs w:val="16"/>
              </w:rPr>
              <w:t>Entry</w:t>
            </w:r>
          </w:p>
        </w:tc>
      </w:tr>
      <w:tr w:rsidR="00FE13A4" w14:paraId="1C10B339"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2AE16CCD" w14:textId="77777777" w:rsidR="00FE13A4" w:rsidRDefault="00000000">
            <w:pPr>
              <w:spacing w:after="6"/>
            </w:pPr>
            <w:r>
              <w:rPr>
                <w:color w:val="000000"/>
                <w:sz w:val="16"/>
                <w:szCs w:val="16"/>
              </w:rPr>
              <w:t>Implementation period</w:t>
            </w:r>
          </w:p>
        </w:tc>
        <w:tc>
          <w:tcPr>
            <w:tcW w:w="7625" w:type="dxa"/>
            <w:tcBorders>
              <w:top w:val="single" w:sz="4" w:space="0" w:color="BFBFBF"/>
              <w:left w:val="single" w:sz="4" w:space="0" w:color="BFBFBF"/>
              <w:bottom w:val="single" w:sz="4" w:space="0" w:color="BFBFBF"/>
              <w:right w:val="single" w:sz="4" w:space="0" w:color="BFBFBF"/>
            </w:tcBorders>
          </w:tcPr>
          <w:p w14:paraId="2517C5EC" w14:textId="77777777" w:rsidR="00FE13A4" w:rsidRDefault="00000000">
            <w:pPr>
              <w:spacing w:after="6"/>
            </w:pPr>
            <w:r>
              <w:rPr>
                <w:color w:val="000000"/>
                <w:sz w:val="16"/>
                <w:szCs w:val="16"/>
              </w:rPr>
              <w:t>2027 to 2031, five years</w:t>
            </w:r>
          </w:p>
        </w:tc>
      </w:tr>
      <w:tr w:rsidR="00FE13A4" w14:paraId="0867B4B0"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47B845EF" w14:textId="77777777" w:rsidR="00FE13A4" w:rsidRDefault="00000000">
            <w:pPr>
              <w:spacing w:after="6"/>
            </w:pPr>
            <w:r>
              <w:rPr>
                <w:color w:val="000000"/>
                <w:sz w:val="16"/>
                <w:szCs w:val="16"/>
              </w:rPr>
              <w:t>Geographic scope</w:t>
            </w:r>
          </w:p>
        </w:tc>
        <w:tc>
          <w:tcPr>
            <w:tcW w:w="7625" w:type="dxa"/>
            <w:tcBorders>
              <w:top w:val="single" w:sz="4" w:space="0" w:color="BFBFBF"/>
              <w:left w:val="single" w:sz="4" w:space="0" w:color="BFBFBF"/>
              <w:bottom w:val="single" w:sz="4" w:space="0" w:color="BFBFBF"/>
              <w:right w:val="single" w:sz="4" w:space="0" w:color="BFBFBF"/>
            </w:tcBorders>
          </w:tcPr>
          <w:p w14:paraId="035FAC75" w14:textId="77777777" w:rsidR="00FE13A4" w:rsidRDefault="00000000">
            <w:pPr>
              <w:spacing w:after="6"/>
            </w:pPr>
            <w:r>
              <w:rPr>
                <w:color w:val="000000"/>
                <w:sz w:val="16"/>
                <w:szCs w:val="16"/>
              </w:rPr>
              <w:t>Regional framework across all sixteen Member States, with priority investment windows in innovations for disaster preparedness and response, regional readiness and coordination</w:t>
            </w:r>
          </w:p>
        </w:tc>
      </w:tr>
      <w:tr w:rsidR="00FE13A4" w14:paraId="5EB32294"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0D8B6F8D" w14:textId="77777777" w:rsidR="00FE13A4" w:rsidRDefault="00000000">
            <w:pPr>
              <w:spacing w:after="6"/>
            </w:pPr>
            <w:r>
              <w:rPr>
                <w:color w:val="000000"/>
                <w:sz w:val="16"/>
                <w:szCs w:val="16"/>
              </w:rPr>
              <w:t>Indicative programme envelope</w:t>
            </w:r>
          </w:p>
        </w:tc>
        <w:tc>
          <w:tcPr>
            <w:tcW w:w="7625" w:type="dxa"/>
            <w:tcBorders>
              <w:top w:val="single" w:sz="4" w:space="0" w:color="BFBFBF"/>
              <w:left w:val="single" w:sz="4" w:space="0" w:color="BFBFBF"/>
              <w:bottom w:val="single" w:sz="4" w:space="0" w:color="BFBFBF"/>
              <w:right w:val="single" w:sz="4" w:space="0" w:color="BFBFBF"/>
            </w:tcBorders>
          </w:tcPr>
          <w:p w14:paraId="39431CC2" w14:textId="77777777" w:rsidR="00FE13A4" w:rsidRDefault="00000000">
            <w:pPr>
              <w:spacing w:after="6"/>
            </w:pPr>
            <w:r>
              <w:rPr>
                <w:color w:val="000000"/>
                <w:sz w:val="16"/>
                <w:szCs w:val="16"/>
              </w:rPr>
              <w:t>United States dollars 5.6 billion, subject to baseline validation, feasibility, design and financing appraisal. Section 9 sets out what is costed from evidence today and how it sits inside that envelope</w:t>
            </w:r>
          </w:p>
        </w:tc>
      </w:tr>
      <w:tr w:rsidR="00FE13A4" w14:paraId="3545E8F6"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19427B62" w14:textId="77777777" w:rsidR="00FE13A4" w:rsidRDefault="00000000">
            <w:pPr>
              <w:spacing w:after="6"/>
            </w:pPr>
            <w:r>
              <w:rPr>
                <w:color w:val="000000"/>
                <w:sz w:val="16"/>
                <w:szCs w:val="16"/>
              </w:rPr>
              <w:t>Lead institutions</w:t>
            </w:r>
          </w:p>
        </w:tc>
        <w:tc>
          <w:tcPr>
            <w:tcW w:w="7625" w:type="dxa"/>
            <w:tcBorders>
              <w:top w:val="single" w:sz="4" w:space="0" w:color="BFBFBF"/>
              <w:left w:val="single" w:sz="4" w:space="0" w:color="BFBFBF"/>
              <w:bottom w:val="single" w:sz="4" w:space="0" w:color="BFBFBF"/>
              <w:right w:val="single" w:sz="4" w:space="0" w:color="BFBFBF"/>
            </w:tcBorders>
          </w:tcPr>
          <w:p w14:paraId="26841C7F" w14:textId="77777777" w:rsidR="00FE13A4" w:rsidRDefault="00000000">
            <w:pPr>
              <w:spacing w:after="6"/>
            </w:pPr>
            <w:r>
              <w:rPr>
                <w:color w:val="000000"/>
                <w:sz w:val="16"/>
                <w:szCs w:val="16"/>
              </w:rPr>
              <w:t>Secretariat of the Southern African Development Community; SHOC; SADC Member States; regional development partners; private sector; academia; civil society organisations</w:t>
            </w:r>
          </w:p>
        </w:tc>
      </w:tr>
      <w:tr w:rsidR="00FE13A4" w14:paraId="7B420D50"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56070161" w14:textId="77777777" w:rsidR="00FE13A4" w:rsidRDefault="00000000">
            <w:pPr>
              <w:spacing w:after="6"/>
            </w:pPr>
            <w:r>
              <w:rPr>
                <w:color w:val="000000"/>
                <w:sz w:val="16"/>
                <w:szCs w:val="16"/>
              </w:rPr>
              <w:t>Strategic anchors</w:t>
            </w:r>
          </w:p>
        </w:tc>
        <w:tc>
          <w:tcPr>
            <w:tcW w:w="7625" w:type="dxa"/>
            <w:tcBorders>
              <w:top w:val="single" w:sz="4" w:space="0" w:color="BFBFBF"/>
              <w:left w:val="single" w:sz="4" w:space="0" w:color="BFBFBF"/>
              <w:bottom w:val="single" w:sz="4" w:space="0" w:color="BFBFBF"/>
              <w:right w:val="single" w:sz="4" w:space="0" w:color="BFBFBF"/>
            </w:tcBorders>
          </w:tcPr>
          <w:p w14:paraId="65CCC22C" w14:textId="77777777" w:rsidR="00FE13A4" w:rsidRDefault="00000000">
            <w:pPr>
              <w:spacing w:after="6"/>
            </w:pPr>
            <w:r>
              <w:rPr>
                <w:color w:val="000000"/>
                <w:sz w:val="16"/>
                <w:szCs w:val="16"/>
              </w:rPr>
              <w:t>Strategy and Implementation Plan of SHOC; Vision 2050; Regional Indicative Strategic Development Plan 2020 to 2030; Disaster Risk Management Strategy and Action Plan 2022 to 2030</w:t>
            </w:r>
          </w:p>
        </w:tc>
      </w:tr>
      <w:tr w:rsidR="00FE13A4" w14:paraId="43DF993B" w14:textId="77777777">
        <w:trPr>
          <w:cantSplit/>
        </w:trPr>
        <w:tc>
          <w:tcPr>
            <w:tcW w:w="2700" w:type="dxa"/>
            <w:tcBorders>
              <w:top w:val="single" w:sz="4" w:space="0" w:color="BFBFBF"/>
              <w:left w:val="single" w:sz="4" w:space="0" w:color="BFBFBF"/>
              <w:bottom w:val="single" w:sz="4" w:space="0" w:color="BFBFBF"/>
              <w:right w:val="single" w:sz="4" w:space="0" w:color="BFBFBF"/>
            </w:tcBorders>
          </w:tcPr>
          <w:p w14:paraId="3005B584" w14:textId="77777777" w:rsidR="00FE13A4" w:rsidRDefault="00000000">
            <w:pPr>
              <w:spacing w:after="6"/>
            </w:pPr>
            <w:r>
              <w:rPr>
                <w:color w:val="000000"/>
                <w:sz w:val="16"/>
                <w:szCs w:val="16"/>
              </w:rPr>
              <w:t>Evidence base</w:t>
            </w:r>
          </w:p>
        </w:tc>
        <w:tc>
          <w:tcPr>
            <w:tcW w:w="7625" w:type="dxa"/>
            <w:tcBorders>
              <w:top w:val="single" w:sz="4" w:space="0" w:color="BFBFBF"/>
              <w:left w:val="single" w:sz="4" w:space="0" w:color="BFBFBF"/>
              <w:bottom w:val="single" w:sz="4" w:space="0" w:color="BFBFBF"/>
              <w:right w:val="single" w:sz="4" w:space="0" w:color="BFBFBF"/>
            </w:tcBorders>
          </w:tcPr>
          <w:p w14:paraId="661161BE" w14:textId="77777777" w:rsidR="00FE13A4" w:rsidRDefault="00000000">
            <w:pPr>
              <w:spacing w:after="6"/>
            </w:pPr>
            <w:r>
              <w:rPr>
                <w:color w:val="000000"/>
                <w:sz w:val="16"/>
                <w:szCs w:val="16"/>
              </w:rPr>
              <w:t>the Landscape Assessment; the Innovation Gap Analysis and its annexes; scored assessment of twenty-six candidate operational tools; cost estimation matrix (Annex R.1). References are issued separately</w:t>
            </w:r>
          </w:p>
        </w:tc>
      </w:tr>
    </w:tbl>
    <w:p w14:paraId="740632CA" w14:textId="77777777" w:rsidR="00FE13A4" w:rsidRDefault="00000000">
      <w:pPr>
        <w:pStyle w:val="Heading1"/>
        <w:spacing w:before="210" w:after="90"/>
      </w:pPr>
      <w:bookmarkStart w:id="0" w:name="__RefHeading___Toc1800_2543505351"/>
      <w:bookmarkEnd w:id="0"/>
      <w:r>
        <w:rPr>
          <w:b/>
          <w:bCs/>
          <w:color w:val="1F3864"/>
          <w:sz w:val="24"/>
          <w:szCs w:val="24"/>
        </w:rPr>
        <w:t>Executive summary</w:t>
      </w:r>
    </w:p>
    <w:p w14:paraId="2CD75EBA" w14:textId="42DAE47E" w:rsidR="00FE13A4" w:rsidRDefault="00000000">
      <w:pPr>
        <w:spacing w:after="100" w:line="264" w:lineRule="auto"/>
        <w:jc w:val="both"/>
      </w:pPr>
      <w:r>
        <w:rPr>
          <w:color w:val="000000"/>
        </w:rPr>
        <w:t>The exposure of the</w:t>
      </w:r>
      <w:r>
        <w:rPr>
          <w:b/>
          <w:bCs/>
          <w:color w:val="000000"/>
        </w:rPr>
        <w:t xml:space="preserve"> </w:t>
      </w:r>
      <w:r>
        <w:rPr>
          <w:color w:val="404040"/>
        </w:rPr>
        <w:t xml:space="preserve">Southern African Development Community to </w:t>
      </w:r>
      <w:r>
        <w:rPr>
          <w:lang w:val="en-US"/>
        </w:rPr>
        <w:t>natural and human-induced hazards makes disaster risk management (DRM) essential for strengthening the resilience of institutions, and national economies across the region. To address this challenge, the integration of innovations in disaster risk reduction, preparedness, response and coordination has become a priority. The study has revealed that the SADC</w:t>
      </w:r>
      <w:r>
        <w:rPr>
          <w:color w:val="000000"/>
        </w:rPr>
        <w:t xml:space="preserve"> region has no shortage of disaster risk management innovations as about thirty-four are operating or piloted across Southern Africa. What is missing is therefore not invention or innovations but integration of innovations: the hand-offs between risk information, the authority to act on it, the finance that moves before impact, the delivery that reaches a household, and the record that lets one Member State use what another has proved.</w:t>
      </w:r>
    </w:p>
    <w:p w14:paraId="5D59DC43" w14:textId="77777777" w:rsidR="00FE13A4" w:rsidRDefault="00000000">
      <w:pPr>
        <w:spacing w:after="100" w:line="264" w:lineRule="auto"/>
        <w:jc w:val="both"/>
      </w:pPr>
      <w:r>
        <w:rPr>
          <w:b/>
          <w:bCs/>
          <w:color w:val="000000"/>
        </w:rPr>
        <w:t xml:space="preserve">The SADC Humanitarian and Emergency Operations Centre (SHOC) is already using innovations  more than it is generally recognised. </w:t>
      </w:r>
      <w:r>
        <w:rPr>
          <w:color w:val="000000"/>
        </w:rPr>
        <w:t>Its Multi-Hazard Situation Room is operating and already issues impact-based advisories. Three situation rooms now exist in the region. The subnational risk model for the whole region has been assessed for hosting at SHOC. An emergency response team mechanism is trained and interoperable with United Nations coordination systems. What is incomplete is not the ambition but the operating architecture around it: several key standard operating procedures are still under development, and the instruments that would carry a warning the last mile are not yet switched on.</w:t>
      </w:r>
    </w:p>
    <w:p w14:paraId="5B63D63F" w14:textId="77777777" w:rsidR="00FE13A4" w:rsidRDefault="00000000">
      <w:pPr>
        <w:spacing w:after="100" w:line="264" w:lineRule="auto"/>
        <w:jc w:val="both"/>
      </w:pPr>
      <w:r>
        <w:rPr>
          <w:b/>
          <w:bCs/>
          <w:color w:val="000000"/>
        </w:rPr>
        <w:t xml:space="preserve">Twenty-six candidate tools were scored against eight criteria for use by SHOC, and the result is counter-intuitive in a useful way. </w:t>
      </w:r>
      <w:r>
        <w:rPr>
          <w:color w:val="000000"/>
        </w:rPr>
        <w:t>The instruments best able to reach a household directly are the ones least able to be switched on, because cellular alerting requires a regulatory authorisation that does not yet exist in most Member States. The binding constraint on SHOC is institutional, not technical. That single finding should shape the investment sequence more than any ranking of tools.</w:t>
      </w:r>
    </w:p>
    <w:p w14:paraId="201F1BE9" w14:textId="77777777" w:rsidR="00FE13A4" w:rsidRDefault="00000000">
      <w:pPr>
        <w:spacing w:after="100" w:line="264" w:lineRule="auto"/>
        <w:jc w:val="both"/>
      </w:pPr>
      <w:r>
        <w:rPr>
          <w:b/>
          <w:bCs/>
          <w:color w:val="000000"/>
        </w:rPr>
        <w:t xml:space="preserve">The Programme is delivered as a working platform, not only as documents. </w:t>
      </w:r>
      <w:r>
        <w:rPr>
          <w:color w:val="000000"/>
        </w:rPr>
        <w:t>The evidence base is held as structured data and generates ten document types for any of the thirty-four innovations in any Member State on demand. It is live, it can be demonstrated, and it is the asset that lets the Programme continue producing propositions after this consultancy ends. Section 8 gives the access link and sets out why it matters.</w:t>
      </w:r>
    </w:p>
    <w:p w14:paraId="647E7822" w14:textId="77777777" w:rsidR="00FE13A4" w:rsidRDefault="00000000">
      <w:pPr>
        <w:spacing w:after="100" w:line="264" w:lineRule="auto"/>
        <w:jc w:val="both"/>
      </w:pPr>
      <w:r>
        <w:rPr>
          <w:b/>
          <w:bCs/>
          <w:color w:val="000000"/>
        </w:rPr>
        <w:t xml:space="preserve">The proposition of this innovation programme is integration rather than acquisition. </w:t>
      </w:r>
      <w:r>
        <w:rPr>
          <w:color w:val="000000"/>
        </w:rPr>
        <w:t>Ten innovations are presented as worked examples inside a larger scheme, not as a shopping list. Their value to SHOC comes from being operated as one chain under one set of procedures, and the business case rests on a simple proposition that the evidence supports: readiness bought before an event is materially cheaper than response bought after it.</w:t>
      </w:r>
    </w:p>
    <w:p w14:paraId="62D39CEC" w14:textId="77777777" w:rsidR="00FE13A4" w:rsidRDefault="00000000">
      <w:pPr>
        <w:spacing w:after="100" w:line="264" w:lineRule="auto"/>
        <w:jc w:val="both"/>
      </w:pPr>
      <w:r>
        <w:rPr>
          <w:b/>
          <w:bCs/>
          <w:color w:val="000000"/>
        </w:rPr>
        <w:t xml:space="preserve">For 2027 to 2031, the SADC Community and SHOC should mobilise investment in these integrated functions through phased, appraised funding packages. </w:t>
      </w:r>
      <w:r>
        <w:rPr>
          <w:color w:val="000000"/>
        </w:rPr>
        <w:t>The first window of fifty-five to sixty-five million United States dollars is indicative; the SHOC integration layer is costed at section 9.3; and the regional envelope of 5.6 billion United States dollars is a planning aspiration subject to validation, not an approved budget or a secured financing commitment.</w:t>
      </w:r>
    </w:p>
    <w:p w14:paraId="503B0597" w14:textId="77777777" w:rsidR="00BC7C17" w:rsidRDefault="00BC7C17">
      <w:pPr>
        <w:pStyle w:val="Heading2"/>
        <w:spacing w:before="160" w:after="70"/>
        <w:rPr>
          <w:b/>
          <w:bCs/>
          <w:color w:val="BF9000"/>
          <w:sz w:val="20"/>
          <w:szCs w:val="20"/>
        </w:rPr>
      </w:pPr>
      <w:bookmarkStart w:id="1" w:name="__RefHeading___Toc1802_2543505351"/>
      <w:bookmarkEnd w:id="1"/>
    </w:p>
    <w:p w14:paraId="6B37EB24" w14:textId="4D4AF8E3" w:rsidR="00FE13A4" w:rsidRDefault="00000000">
      <w:pPr>
        <w:pStyle w:val="Heading2"/>
        <w:spacing w:before="160" w:after="70"/>
      </w:pPr>
      <w:r>
        <w:rPr>
          <w:b/>
          <w:bCs/>
          <w:color w:val="BF9000"/>
          <w:sz w:val="20"/>
          <w:szCs w:val="20"/>
        </w:rPr>
        <w:lastRenderedPageBreak/>
        <w:t>Where each question is answered</w:t>
      </w:r>
    </w:p>
    <w:p w14:paraId="5B44A303" w14:textId="77777777" w:rsidR="00FE13A4" w:rsidRDefault="00000000">
      <w:pPr>
        <w:spacing w:after="100" w:line="264" w:lineRule="auto"/>
        <w:jc w:val="both"/>
      </w:pPr>
      <w:r>
        <w:rPr>
          <w:color w:val="000000"/>
        </w:rPr>
        <w:t>The study focused on five (5) questions to guide this document. They are answered in the order below, and nothing else in the document is there for any other reason.</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3900"/>
        <w:gridCol w:w="2198"/>
        <w:gridCol w:w="4228"/>
      </w:tblGrid>
      <w:tr w:rsidR="00FE13A4" w14:paraId="3FC84DD9"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Pr>
          <w:p w14:paraId="732E8952" w14:textId="77777777" w:rsidR="00FE13A4" w:rsidRDefault="00000000">
            <w:pPr>
              <w:spacing w:after="6"/>
            </w:pPr>
            <w:r>
              <w:rPr>
                <w:b/>
                <w:bCs/>
                <w:color w:val="FFFFFF"/>
                <w:sz w:val="15"/>
                <w:szCs w:val="15"/>
              </w:rPr>
              <w:t>Question</w:t>
            </w:r>
          </w:p>
        </w:tc>
        <w:tc>
          <w:tcPr>
            <w:tcW w:w="2198" w:type="dxa"/>
            <w:tcBorders>
              <w:top w:val="single" w:sz="4" w:space="0" w:color="BFBFBF"/>
              <w:left w:val="single" w:sz="4" w:space="0" w:color="BFBFBF"/>
              <w:bottom w:val="single" w:sz="4" w:space="0" w:color="BFBFBF"/>
              <w:right w:val="single" w:sz="4" w:space="0" w:color="BFBFBF"/>
            </w:tcBorders>
            <w:shd w:val="clear" w:color="auto" w:fill="1F3864"/>
          </w:tcPr>
          <w:p w14:paraId="5B5709D2" w14:textId="77777777" w:rsidR="00FE13A4" w:rsidRDefault="00000000">
            <w:pPr>
              <w:spacing w:after="6"/>
            </w:pPr>
            <w:r>
              <w:rPr>
                <w:b/>
                <w:bCs/>
                <w:color w:val="FFFFFF"/>
                <w:sz w:val="15"/>
                <w:szCs w:val="15"/>
              </w:rPr>
              <w:t>Where</w:t>
            </w:r>
          </w:p>
        </w:tc>
        <w:tc>
          <w:tcPr>
            <w:tcW w:w="4228" w:type="dxa"/>
            <w:tcBorders>
              <w:top w:val="single" w:sz="4" w:space="0" w:color="BFBFBF"/>
              <w:left w:val="single" w:sz="4" w:space="0" w:color="BFBFBF"/>
              <w:bottom w:val="single" w:sz="4" w:space="0" w:color="BFBFBF"/>
              <w:right w:val="single" w:sz="4" w:space="0" w:color="BFBFBF"/>
            </w:tcBorders>
            <w:shd w:val="clear" w:color="auto" w:fill="1F3864"/>
          </w:tcPr>
          <w:p w14:paraId="3520A0DF" w14:textId="77777777" w:rsidR="00FE13A4" w:rsidRDefault="00000000">
            <w:pPr>
              <w:spacing w:after="6"/>
            </w:pPr>
            <w:r>
              <w:rPr>
                <w:b/>
                <w:bCs/>
                <w:color w:val="FFFFFF"/>
                <w:sz w:val="15"/>
                <w:szCs w:val="15"/>
              </w:rPr>
              <w:t>The short answer</w:t>
            </w:r>
          </w:p>
        </w:tc>
      </w:tr>
      <w:tr w:rsidR="00FE13A4" w14:paraId="58E02B65" w14:textId="77777777">
        <w:trPr>
          <w:cantSplit/>
        </w:trPr>
        <w:tc>
          <w:tcPr>
            <w:tcW w:w="3900" w:type="dxa"/>
            <w:tcBorders>
              <w:top w:val="single" w:sz="4" w:space="0" w:color="BFBFBF"/>
              <w:left w:val="single" w:sz="4" w:space="0" w:color="BFBFBF"/>
              <w:bottom w:val="single" w:sz="4" w:space="0" w:color="BFBFBF"/>
              <w:right w:val="single" w:sz="4" w:space="0" w:color="BFBFBF"/>
            </w:tcBorders>
          </w:tcPr>
          <w:p w14:paraId="025F5893" w14:textId="77777777" w:rsidR="00FE13A4" w:rsidRDefault="00000000">
            <w:pPr>
              <w:spacing w:after="6"/>
            </w:pPr>
            <w:r>
              <w:rPr>
                <w:color w:val="000000"/>
                <w:sz w:val="15"/>
                <w:szCs w:val="15"/>
              </w:rPr>
              <w:t>Where innovation stands in the region, and how SHOC already uses it</w:t>
            </w:r>
          </w:p>
        </w:tc>
        <w:tc>
          <w:tcPr>
            <w:tcW w:w="2198" w:type="dxa"/>
            <w:tcBorders>
              <w:top w:val="single" w:sz="4" w:space="0" w:color="BFBFBF"/>
              <w:left w:val="single" w:sz="4" w:space="0" w:color="BFBFBF"/>
              <w:bottom w:val="single" w:sz="4" w:space="0" w:color="BFBFBF"/>
              <w:right w:val="single" w:sz="4" w:space="0" w:color="BFBFBF"/>
            </w:tcBorders>
          </w:tcPr>
          <w:p w14:paraId="1ED5B19B" w14:textId="77777777" w:rsidR="00FE13A4" w:rsidRPr="00BC7C17" w:rsidRDefault="00000000">
            <w:pPr>
              <w:spacing w:after="6"/>
              <w:rPr>
                <w:i/>
                <w:iCs/>
                <w:sz w:val="18"/>
                <w:szCs w:val="18"/>
              </w:rPr>
            </w:pPr>
            <w:r w:rsidRPr="00BC7C17">
              <w:rPr>
                <w:i/>
                <w:iCs/>
                <w:color w:val="000000"/>
                <w:sz w:val="18"/>
                <w:szCs w:val="18"/>
              </w:rPr>
              <w:t>Sections 1 and 3</w:t>
            </w:r>
          </w:p>
        </w:tc>
        <w:tc>
          <w:tcPr>
            <w:tcW w:w="4228" w:type="dxa"/>
            <w:tcBorders>
              <w:top w:val="single" w:sz="4" w:space="0" w:color="BFBFBF"/>
              <w:left w:val="single" w:sz="4" w:space="0" w:color="BFBFBF"/>
              <w:bottom w:val="single" w:sz="4" w:space="0" w:color="BFBFBF"/>
              <w:right w:val="single" w:sz="4" w:space="0" w:color="BFBFBF"/>
            </w:tcBorders>
          </w:tcPr>
          <w:p w14:paraId="070B559D" w14:textId="77777777" w:rsidR="00FE13A4" w:rsidRDefault="00000000">
            <w:pPr>
              <w:spacing w:after="6"/>
            </w:pPr>
            <w:r>
              <w:rPr>
                <w:color w:val="000000"/>
                <w:sz w:val="15"/>
                <w:szCs w:val="15"/>
              </w:rPr>
              <w:t>Thirty-four innovations exist; SHOC already uses them in five areas, three of them established</w:t>
            </w:r>
          </w:p>
        </w:tc>
      </w:tr>
      <w:tr w:rsidR="00FE13A4" w14:paraId="516ED3E0" w14:textId="77777777">
        <w:trPr>
          <w:cantSplit/>
        </w:trPr>
        <w:tc>
          <w:tcPr>
            <w:tcW w:w="3900" w:type="dxa"/>
            <w:tcBorders>
              <w:top w:val="single" w:sz="4" w:space="0" w:color="BFBFBF"/>
              <w:left w:val="single" w:sz="4" w:space="0" w:color="BFBFBF"/>
              <w:bottom w:val="single" w:sz="4" w:space="0" w:color="BFBFBF"/>
              <w:right w:val="single" w:sz="4" w:space="0" w:color="BFBFBF"/>
            </w:tcBorders>
          </w:tcPr>
          <w:p w14:paraId="2AEDA6D9" w14:textId="77777777" w:rsidR="00FE13A4" w:rsidRDefault="00000000">
            <w:pPr>
              <w:spacing w:after="6"/>
            </w:pPr>
            <w:r>
              <w:rPr>
                <w:color w:val="000000"/>
                <w:sz w:val="15"/>
                <w:szCs w:val="15"/>
              </w:rPr>
              <w:t>How SHOC can absorb and use innovation to strengthen its mandate</w:t>
            </w:r>
          </w:p>
        </w:tc>
        <w:tc>
          <w:tcPr>
            <w:tcW w:w="2198" w:type="dxa"/>
            <w:tcBorders>
              <w:top w:val="single" w:sz="4" w:space="0" w:color="BFBFBF"/>
              <w:left w:val="single" w:sz="4" w:space="0" w:color="BFBFBF"/>
              <w:bottom w:val="single" w:sz="4" w:space="0" w:color="BFBFBF"/>
              <w:right w:val="single" w:sz="4" w:space="0" w:color="BFBFBF"/>
            </w:tcBorders>
          </w:tcPr>
          <w:p w14:paraId="7A268E8C" w14:textId="77777777" w:rsidR="00FE13A4" w:rsidRPr="00BC7C17" w:rsidRDefault="00000000">
            <w:pPr>
              <w:spacing w:after="6"/>
              <w:rPr>
                <w:i/>
                <w:iCs/>
                <w:sz w:val="18"/>
                <w:szCs w:val="18"/>
              </w:rPr>
            </w:pPr>
            <w:r w:rsidRPr="00BC7C17">
              <w:rPr>
                <w:i/>
                <w:iCs/>
                <w:color w:val="000000"/>
                <w:sz w:val="18"/>
                <w:szCs w:val="18"/>
              </w:rPr>
              <w:t>Sections 3.2 and 4</w:t>
            </w:r>
          </w:p>
        </w:tc>
        <w:tc>
          <w:tcPr>
            <w:tcW w:w="4228" w:type="dxa"/>
            <w:tcBorders>
              <w:top w:val="single" w:sz="4" w:space="0" w:color="BFBFBF"/>
              <w:left w:val="single" w:sz="4" w:space="0" w:color="BFBFBF"/>
              <w:bottom w:val="single" w:sz="4" w:space="0" w:color="BFBFBF"/>
              <w:right w:val="single" w:sz="4" w:space="0" w:color="BFBFBF"/>
            </w:tcBorders>
          </w:tcPr>
          <w:p w14:paraId="34378825" w14:textId="77777777" w:rsidR="00FE13A4" w:rsidRDefault="00000000">
            <w:pPr>
              <w:spacing w:after="6"/>
            </w:pPr>
            <w:r>
              <w:rPr>
                <w:color w:val="000000"/>
                <w:sz w:val="15"/>
                <w:szCs w:val="15"/>
              </w:rPr>
              <w:t>It can absorb what feeds a situation room; the constraint is procedure and authority, not technology</w:t>
            </w:r>
          </w:p>
        </w:tc>
      </w:tr>
      <w:tr w:rsidR="00FE13A4" w14:paraId="04ABE6F4" w14:textId="77777777">
        <w:trPr>
          <w:cantSplit/>
        </w:trPr>
        <w:tc>
          <w:tcPr>
            <w:tcW w:w="3900" w:type="dxa"/>
            <w:tcBorders>
              <w:top w:val="single" w:sz="4" w:space="0" w:color="BFBFBF"/>
              <w:left w:val="single" w:sz="4" w:space="0" w:color="BFBFBF"/>
              <w:bottom w:val="single" w:sz="4" w:space="0" w:color="BFBFBF"/>
              <w:right w:val="single" w:sz="4" w:space="0" w:color="BFBFBF"/>
            </w:tcBorders>
          </w:tcPr>
          <w:p w14:paraId="23C30973" w14:textId="77777777" w:rsidR="00FE13A4" w:rsidRDefault="00000000">
            <w:pPr>
              <w:spacing w:after="6"/>
            </w:pPr>
            <w:r>
              <w:rPr>
                <w:color w:val="000000"/>
                <w:sz w:val="15"/>
                <w:szCs w:val="15"/>
              </w:rPr>
              <w:t>What difference innovation will make to SHOC operations</w:t>
            </w:r>
          </w:p>
        </w:tc>
        <w:tc>
          <w:tcPr>
            <w:tcW w:w="2198" w:type="dxa"/>
            <w:tcBorders>
              <w:top w:val="single" w:sz="4" w:space="0" w:color="BFBFBF"/>
              <w:left w:val="single" w:sz="4" w:space="0" w:color="BFBFBF"/>
              <w:bottom w:val="single" w:sz="4" w:space="0" w:color="BFBFBF"/>
              <w:right w:val="single" w:sz="4" w:space="0" w:color="BFBFBF"/>
            </w:tcBorders>
          </w:tcPr>
          <w:p w14:paraId="0C4E48C9" w14:textId="77777777" w:rsidR="00FE13A4" w:rsidRPr="00BC7C17" w:rsidRDefault="00000000">
            <w:pPr>
              <w:spacing w:after="6"/>
              <w:rPr>
                <w:i/>
                <w:iCs/>
                <w:sz w:val="18"/>
                <w:szCs w:val="18"/>
              </w:rPr>
            </w:pPr>
            <w:r w:rsidRPr="00BC7C17">
              <w:rPr>
                <w:i/>
                <w:iCs/>
                <w:color w:val="000000"/>
                <w:sz w:val="18"/>
                <w:szCs w:val="18"/>
              </w:rPr>
              <w:t>Sections 5, 6 and 10.1</w:t>
            </w:r>
          </w:p>
        </w:tc>
        <w:tc>
          <w:tcPr>
            <w:tcW w:w="4228" w:type="dxa"/>
            <w:tcBorders>
              <w:top w:val="single" w:sz="4" w:space="0" w:color="BFBFBF"/>
              <w:left w:val="single" w:sz="4" w:space="0" w:color="BFBFBF"/>
              <w:bottom w:val="single" w:sz="4" w:space="0" w:color="BFBFBF"/>
              <w:right w:val="single" w:sz="4" w:space="0" w:color="BFBFBF"/>
            </w:tcBorders>
          </w:tcPr>
          <w:p w14:paraId="324B0FDA" w14:textId="77777777" w:rsidR="00FE13A4" w:rsidRDefault="00000000">
            <w:pPr>
              <w:spacing w:after="6"/>
            </w:pPr>
            <w:r>
              <w:rPr>
                <w:color w:val="000000"/>
                <w:sz w:val="15"/>
                <w:szCs w:val="15"/>
              </w:rPr>
              <w:t>A shorter interval between hazard signal and protective action, measured on records SHOC already keeps</w:t>
            </w:r>
          </w:p>
        </w:tc>
      </w:tr>
      <w:tr w:rsidR="00FE13A4" w14:paraId="17E59CEB" w14:textId="77777777">
        <w:trPr>
          <w:cantSplit/>
        </w:trPr>
        <w:tc>
          <w:tcPr>
            <w:tcW w:w="3900" w:type="dxa"/>
            <w:tcBorders>
              <w:top w:val="single" w:sz="4" w:space="0" w:color="BFBFBF"/>
              <w:left w:val="single" w:sz="4" w:space="0" w:color="BFBFBF"/>
              <w:bottom w:val="single" w:sz="4" w:space="0" w:color="BFBFBF"/>
              <w:right w:val="single" w:sz="4" w:space="0" w:color="BFBFBF"/>
            </w:tcBorders>
          </w:tcPr>
          <w:p w14:paraId="51C7E06D" w14:textId="77777777" w:rsidR="00FE13A4" w:rsidRDefault="00000000">
            <w:pPr>
              <w:spacing w:after="6"/>
            </w:pPr>
            <w:r>
              <w:rPr>
                <w:color w:val="000000"/>
                <w:sz w:val="15"/>
                <w:szCs w:val="15"/>
              </w:rPr>
              <w:t>The value proposition and business case for investing</w:t>
            </w:r>
          </w:p>
        </w:tc>
        <w:tc>
          <w:tcPr>
            <w:tcW w:w="2198" w:type="dxa"/>
            <w:tcBorders>
              <w:top w:val="single" w:sz="4" w:space="0" w:color="BFBFBF"/>
              <w:left w:val="single" w:sz="4" w:space="0" w:color="BFBFBF"/>
              <w:bottom w:val="single" w:sz="4" w:space="0" w:color="BFBFBF"/>
              <w:right w:val="single" w:sz="4" w:space="0" w:color="BFBFBF"/>
            </w:tcBorders>
          </w:tcPr>
          <w:p w14:paraId="7BF9A1DE" w14:textId="77777777" w:rsidR="00FE13A4" w:rsidRPr="00BC7C17" w:rsidRDefault="00000000">
            <w:pPr>
              <w:spacing w:after="6"/>
              <w:rPr>
                <w:i/>
                <w:iCs/>
                <w:sz w:val="18"/>
                <w:szCs w:val="18"/>
              </w:rPr>
            </w:pPr>
            <w:r w:rsidRPr="00BC7C17">
              <w:rPr>
                <w:i/>
                <w:iCs/>
                <w:color w:val="000000"/>
                <w:sz w:val="18"/>
                <w:szCs w:val="18"/>
              </w:rPr>
              <w:t>Section 10</w:t>
            </w:r>
          </w:p>
        </w:tc>
        <w:tc>
          <w:tcPr>
            <w:tcW w:w="4228" w:type="dxa"/>
            <w:tcBorders>
              <w:top w:val="single" w:sz="4" w:space="0" w:color="BFBFBF"/>
              <w:left w:val="single" w:sz="4" w:space="0" w:color="BFBFBF"/>
              <w:bottom w:val="single" w:sz="4" w:space="0" w:color="BFBFBF"/>
              <w:right w:val="single" w:sz="4" w:space="0" w:color="BFBFBF"/>
            </w:tcBorders>
          </w:tcPr>
          <w:p w14:paraId="32C3AD8C" w14:textId="77777777" w:rsidR="00FE13A4" w:rsidRDefault="00000000">
            <w:pPr>
              <w:spacing w:after="6"/>
            </w:pPr>
            <w:r>
              <w:rPr>
                <w:color w:val="000000"/>
                <w:sz w:val="15"/>
                <w:szCs w:val="15"/>
              </w:rPr>
              <w:t>Four propositions, each checkable; readiness bought before an event is cheaper than response after it</w:t>
            </w:r>
          </w:p>
        </w:tc>
      </w:tr>
      <w:tr w:rsidR="00FE13A4" w14:paraId="16DDB02F" w14:textId="77777777">
        <w:trPr>
          <w:cantSplit/>
        </w:trPr>
        <w:tc>
          <w:tcPr>
            <w:tcW w:w="3900" w:type="dxa"/>
            <w:tcBorders>
              <w:top w:val="single" w:sz="4" w:space="0" w:color="BFBFBF"/>
              <w:left w:val="single" w:sz="4" w:space="0" w:color="BFBFBF"/>
              <w:bottom w:val="single" w:sz="4" w:space="0" w:color="BFBFBF"/>
              <w:right w:val="single" w:sz="4" w:space="0" w:color="BFBFBF"/>
            </w:tcBorders>
          </w:tcPr>
          <w:p w14:paraId="5EC19AAB" w14:textId="77777777" w:rsidR="00FE13A4" w:rsidRDefault="00000000">
            <w:pPr>
              <w:spacing w:after="6"/>
            </w:pPr>
            <w:r>
              <w:rPr>
                <w:color w:val="000000"/>
                <w:sz w:val="15"/>
                <w:szCs w:val="15"/>
              </w:rPr>
              <w:t>The investment required, and how funding is mobilised</w:t>
            </w:r>
          </w:p>
        </w:tc>
        <w:tc>
          <w:tcPr>
            <w:tcW w:w="2198" w:type="dxa"/>
            <w:tcBorders>
              <w:top w:val="single" w:sz="4" w:space="0" w:color="BFBFBF"/>
              <w:left w:val="single" w:sz="4" w:space="0" w:color="BFBFBF"/>
              <w:bottom w:val="single" w:sz="4" w:space="0" w:color="BFBFBF"/>
              <w:right w:val="single" w:sz="4" w:space="0" w:color="BFBFBF"/>
            </w:tcBorders>
          </w:tcPr>
          <w:p w14:paraId="44576DE9" w14:textId="77777777" w:rsidR="00FE13A4" w:rsidRPr="00BC7C17" w:rsidRDefault="00000000">
            <w:pPr>
              <w:spacing w:after="6"/>
              <w:rPr>
                <w:i/>
                <w:iCs/>
                <w:sz w:val="18"/>
                <w:szCs w:val="18"/>
              </w:rPr>
            </w:pPr>
            <w:r w:rsidRPr="00BC7C17">
              <w:rPr>
                <w:i/>
                <w:iCs/>
                <w:color w:val="000000"/>
                <w:sz w:val="18"/>
                <w:szCs w:val="18"/>
              </w:rPr>
              <w:t>Sections 9.1 to 9.4</w:t>
            </w:r>
          </w:p>
        </w:tc>
        <w:tc>
          <w:tcPr>
            <w:tcW w:w="4228" w:type="dxa"/>
            <w:tcBorders>
              <w:top w:val="single" w:sz="4" w:space="0" w:color="BFBFBF"/>
              <w:left w:val="single" w:sz="4" w:space="0" w:color="BFBFBF"/>
              <w:bottom w:val="single" w:sz="4" w:space="0" w:color="BFBFBF"/>
              <w:right w:val="single" w:sz="4" w:space="0" w:color="BFBFBF"/>
            </w:tcBorders>
          </w:tcPr>
          <w:p w14:paraId="69204AAD" w14:textId="77777777" w:rsidR="00FE13A4" w:rsidRDefault="00000000">
            <w:pPr>
              <w:spacing w:after="6"/>
            </w:pPr>
            <w:r>
              <w:rPr>
                <w:color w:val="000000"/>
                <w:sz w:val="15"/>
                <w:szCs w:val="15"/>
              </w:rPr>
              <w:t>Fifty-five to sixty-five million for the first window, ten to twenty-one million for what SHOC itself must build, and the rules for applying it</w:t>
            </w:r>
          </w:p>
        </w:tc>
      </w:tr>
    </w:tbl>
    <w:p w14:paraId="51BCACAD" w14:textId="43A04302" w:rsidR="00FE13A4" w:rsidRDefault="00BC7C17">
      <w:pPr>
        <w:spacing w:before="210" w:after="90"/>
      </w:pPr>
      <w:r>
        <w:rPr>
          <w:b/>
          <w:bCs/>
          <w:color w:val="1F3864"/>
          <w:sz w:val="24"/>
          <w:szCs w:val="24"/>
        </w:rPr>
        <w:t xml:space="preserve">Table of </w:t>
      </w:r>
      <w:r w:rsidR="00000000">
        <w:rPr>
          <w:b/>
          <w:bCs/>
          <w:color w:val="1F3864"/>
          <w:sz w:val="24"/>
          <w:szCs w:val="24"/>
        </w:rPr>
        <w:t>Contents</w:t>
      </w:r>
    </w:p>
    <w:sdt>
      <w:sdtPr>
        <w:id w:val="-2125300272"/>
        <w:docPartObj>
          <w:docPartGallery w:val="Table of Contents"/>
          <w:docPartUnique/>
        </w:docPartObj>
      </w:sdtPr>
      <w:sdtContent>
        <w:p w14:paraId="4E394C21" w14:textId="77777777" w:rsidR="00FE13A4" w:rsidRPr="00BC7C17" w:rsidRDefault="00000000" w:rsidP="00BC7C17">
          <w:pPr>
            <w:pStyle w:val="TOC1"/>
            <w:tabs>
              <w:tab w:val="clear" w:pos="10306"/>
              <w:tab w:val="right" w:leader="dot" w:pos="10305"/>
            </w:tabs>
            <w:spacing w:after="0"/>
            <w:rPr>
              <w:sz w:val="18"/>
              <w:szCs w:val="18"/>
            </w:rPr>
          </w:pPr>
          <w:r>
            <w:fldChar w:fldCharType="begin"/>
          </w:r>
          <w:r>
            <w:rPr>
              <w:rStyle w:val="IndexLink"/>
              <w:webHidden/>
            </w:rPr>
            <w:instrText xml:space="preserve"> TOC \z \o "1-2" \u \h</w:instrText>
          </w:r>
          <w:r>
            <w:rPr>
              <w:rStyle w:val="IndexLink"/>
            </w:rPr>
            <w:fldChar w:fldCharType="separate"/>
          </w:r>
          <w:hyperlink w:anchor="__RefHeading___Toc1800_2543505351">
            <w:r w:rsidRPr="00BC7C17">
              <w:rPr>
                <w:rStyle w:val="IndexLink"/>
                <w:webHidden/>
                <w:sz w:val="18"/>
                <w:szCs w:val="18"/>
              </w:rPr>
              <w:t>Executive summary</w:t>
            </w:r>
            <w:r w:rsidRPr="00BC7C17">
              <w:rPr>
                <w:rStyle w:val="IndexLink"/>
                <w:webHidden/>
                <w:sz w:val="18"/>
                <w:szCs w:val="18"/>
              </w:rPr>
              <w:tab/>
              <w:t>1</w:t>
            </w:r>
          </w:hyperlink>
        </w:p>
        <w:p w14:paraId="072A5B51" w14:textId="77777777" w:rsidR="00FE13A4" w:rsidRPr="00BC7C17" w:rsidRDefault="00000000" w:rsidP="00BC7C17">
          <w:pPr>
            <w:pStyle w:val="TOC2"/>
            <w:tabs>
              <w:tab w:val="clear" w:pos="10306"/>
              <w:tab w:val="right" w:leader="dot" w:pos="10305"/>
            </w:tabs>
            <w:spacing w:after="0"/>
            <w:rPr>
              <w:sz w:val="18"/>
              <w:szCs w:val="18"/>
            </w:rPr>
          </w:pPr>
          <w:hyperlink w:anchor="__RefHeading___Toc1802_2543505351">
            <w:r w:rsidRPr="00BC7C17">
              <w:rPr>
                <w:rStyle w:val="IndexLink"/>
                <w:webHidden/>
                <w:sz w:val="18"/>
                <w:szCs w:val="18"/>
              </w:rPr>
              <w:t>Where each question is answered</w:t>
            </w:r>
            <w:r w:rsidRPr="00BC7C17">
              <w:rPr>
                <w:rStyle w:val="IndexLink"/>
                <w:webHidden/>
                <w:sz w:val="18"/>
                <w:szCs w:val="18"/>
              </w:rPr>
              <w:tab/>
            </w:r>
            <w:r w:rsidRPr="00BC7C17">
              <w:rPr>
                <w:rStyle w:val="IndexLink"/>
                <w:webHidden/>
                <w:sz w:val="18"/>
                <w:szCs w:val="18"/>
              </w:rPr>
              <w:t>1</w:t>
            </w:r>
          </w:hyperlink>
        </w:p>
        <w:p w14:paraId="7EFDF748" w14:textId="77777777" w:rsidR="00FE13A4" w:rsidRPr="00BC7C17" w:rsidRDefault="00000000" w:rsidP="00BC7C17">
          <w:pPr>
            <w:pStyle w:val="TOC1"/>
            <w:tabs>
              <w:tab w:val="clear" w:pos="10306"/>
              <w:tab w:val="right" w:leader="dot" w:pos="10305"/>
            </w:tabs>
            <w:spacing w:after="0"/>
            <w:rPr>
              <w:sz w:val="18"/>
              <w:szCs w:val="18"/>
            </w:rPr>
          </w:pPr>
          <w:hyperlink w:anchor="__RefHeading___Toc1804_2543505351">
            <w:r w:rsidRPr="00BC7C17">
              <w:rPr>
                <w:rStyle w:val="IndexLink"/>
                <w:webHidden/>
                <w:sz w:val="18"/>
                <w:szCs w:val="18"/>
              </w:rPr>
              <w:t>1. Landscape Assessment and the Innovation Gap Analysis findings</w:t>
            </w:r>
            <w:r w:rsidRPr="00BC7C17">
              <w:rPr>
                <w:rStyle w:val="IndexLink"/>
                <w:webHidden/>
                <w:sz w:val="18"/>
                <w:szCs w:val="18"/>
              </w:rPr>
              <w:tab/>
              <w:t>3</w:t>
            </w:r>
          </w:hyperlink>
        </w:p>
        <w:p w14:paraId="70048295" w14:textId="77777777" w:rsidR="00FE13A4" w:rsidRPr="00BC7C17" w:rsidRDefault="00000000" w:rsidP="00BC7C17">
          <w:pPr>
            <w:pStyle w:val="TOC2"/>
            <w:tabs>
              <w:tab w:val="clear" w:pos="10306"/>
              <w:tab w:val="right" w:leader="dot" w:pos="10305"/>
            </w:tabs>
            <w:spacing w:after="0"/>
            <w:rPr>
              <w:sz w:val="18"/>
              <w:szCs w:val="18"/>
            </w:rPr>
          </w:pPr>
          <w:hyperlink w:anchor="__RefHeading___Toc1806_2543505351">
            <w:r w:rsidRPr="00BC7C17">
              <w:rPr>
                <w:rStyle w:val="IndexLink"/>
                <w:webHidden/>
                <w:sz w:val="18"/>
                <w:szCs w:val="18"/>
              </w:rPr>
              <w:t>1.1 The Landscape Assessment: what exists</w:t>
            </w:r>
            <w:r w:rsidRPr="00BC7C17">
              <w:rPr>
                <w:rStyle w:val="IndexLink"/>
                <w:webHidden/>
                <w:sz w:val="18"/>
                <w:szCs w:val="18"/>
              </w:rPr>
              <w:tab/>
              <w:t>3</w:t>
            </w:r>
          </w:hyperlink>
        </w:p>
        <w:p w14:paraId="781290E0" w14:textId="77777777" w:rsidR="00FE13A4" w:rsidRPr="00BC7C17" w:rsidRDefault="00000000" w:rsidP="00BC7C17">
          <w:pPr>
            <w:pStyle w:val="TOC2"/>
            <w:tabs>
              <w:tab w:val="clear" w:pos="10306"/>
              <w:tab w:val="right" w:leader="dot" w:pos="10305"/>
            </w:tabs>
            <w:spacing w:after="0"/>
            <w:rPr>
              <w:sz w:val="18"/>
              <w:szCs w:val="18"/>
            </w:rPr>
          </w:pPr>
          <w:hyperlink w:anchor="__RefHeading___Toc1808_2543505351">
            <w:r w:rsidRPr="00BC7C17">
              <w:rPr>
                <w:rStyle w:val="IndexLink"/>
                <w:webHidden/>
                <w:sz w:val="18"/>
                <w:szCs w:val="18"/>
              </w:rPr>
              <w:t>1.2 The Innovation Gap Analysis: what is missing</w:t>
            </w:r>
            <w:r w:rsidRPr="00BC7C17">
              <w:rPr>
                <w:rStyle w:val="IndexLink"/>
                <w:webHidden/>
                <w:sz w:val="18"/>
                <w:szCs w:val="18"/>
              </w:rPr>
              <w:tab/>
              <w:t>4</w:t>
            </w:r>
          </w:hyperlink>
        </w:p>
        <w:p w14:paraId="7B4CE03A" w14:textId="77777777" w:rsidR="00FE13A4" w:rsidRPr="00BC7C17" w:rsidRDefault="00000000" w:rsidP="00BC7C17">
          <w:pPr>
            <w:pStyle w:val="TOC2"/>
            <w:tabs>
              <w:tab w:val="clear" w:pos="10306"/>
              <w:tab w:val="right" w:leader="dot" w:pos="10305"/>
            </w:tabs>
            <w:spacing w:after="0"/>
            <w:rPr>
              <w:sz w:val="18"/>
              <w:szCs w:val="18"/>
            </w:rPr>
          </w:pPr>
          <w:hyperlink w:anchor="__RefHeading___Toc1810_2543505351">
            <w:r w:rsidRPr="00BC7C17">
              <w:rPr>
                <w:rStyle w:val="IndexLink"/>
                <w:webHidden/>
                <w:sz w:val="18"/>
                <w:szCs w:val="18"/>
              </w:rPr>
              <w:t>1.3 What the two together establish, and what they do not</w:t>
            </w:r>
            <w:r w:rsidRPr="00BC7C17">
              <w:rPr>
                <w:rStyle w:val="IndexLink"/>
                <w:webHidden/>
                <w:sz w:val="18"/>
                <w:szCs w:val="18"/>
              </w:rPr>
              <w:tab/>
              <w:t>4</w:t>
            </w:r>
          </w:hyperlink>
        </w:p>
        <w:p w14:paraId="4F42FED7" w14:textId="77777777" w:rsidR="00FE13A4" w:rsidRPr="00BC7C17" w:rsidRDefault="00000000" w:rsidP="00BC7C17">
          <w:pPr>
            <w:pStyle w:val="TOC1"/>
            <w:tabs>
              <w:tab w:val="clear" w:pos="10306"/>
              <w:tab w:val="right" w:leader="dot" w:pos="10305"/>
            </w:tabs>
            <w:spacing w:after="0"/>
            <w:rPr>
              <w:sz w:val="18"/>
              <w:szCs w:val="18"/>
            </w:rPr>
          </w:pPr>
          <w:hyperlink w:anchor="__RefHeading___Toc1812_2543505351">
            <w:r w:rsidRPr="00BC7C17">
              <w:rPr>
                <w:rStyle w:val="IndexLink"/>
                <w:webHidden/>
                <w:sz w:val="18"/>
                <w:szCs w:val="18"/>
              </w:rPr>
              <w:t>2. The regional mandate, and what it permits</w:t>
            </w:r>
            <w:r w:rsidRPr="00BC7C17">
              <w:rPr>
                <w:rStyle w:val="IndexLink"/>
                <w:webHidden/>
                <w:sz w:val="18"/>
                <w:szCs w:val="18"/>
              </w:rPr>
              <w:tab/>
              <w:t>5</w:t>
            </w:r>
          </w:hyperlink>
        </w:p>
        <w:p w14:paraId="58375BFD" w14:textId="77777777" w:rsidR="00FE13A4" w:rsidRPr="00BC7C17" w:rsidRDefault="00000000" w:rsidP="00BC7C17">
          <w:pPr>
            <w:pStyle w:val="TOC2"/>
            <w:tabs>
              <w:tab w:val="clear" w:pos="10306"/>
              <w:tab w:val="right" w:leader="dot" w:pos="10305"/>
            </w:tabs>
            <w:spacing w:after="0"/>
            <w:rPr>
              <w:sz w:val="18"/>
              <w:szCs w:val="18"/>
            </w:rPr>
          </w:pPr>
          <w:hyperlink w:anchor="__RefHeading___Toc1814_2543505351">
            <w:r w:rsidRPr="00BC7C17">
              <w:rPr>
                <w:rStyle w:val="IndexLink"/>
                <w:webHidden/>
                <w:sz w:val="18"/>
                <w:szCs w:val="18"/>
              </w:rPr>
              <w:t>2.1 How the mandate is assembled</w:t>
            </w:r>
            <w:r w:rsidRPr="00BC7C17">
              <w:rPr>
                <w:rStyle w:val="IndexLink"/>
                <w:webHidden/>
                <w:sz w:val="18"/>
                <w:szCs w:val="18"/>
              </w:rPr>
              <w:tab/>
              <w:t>5</w:t>
            </w:r>
          </w:hyperlink>
        </w:p>
        <w:p w14:paraId="5ED0E99A" w14:textId="77777777" w:rsidR="00FE13A4" w:rsidRPr="00BC7C17" w:rsidRDefault="00000000" w:rsidP="00BC7C17">
          <w:pPr>
            <w:pStyle w:val="TOC2"/>
            <w:tabs>
              <w:tab w:val="clear" w:pos="10306"/>
              <w:tab w:val="right" w:leader="dot" w:pos="10305"/>
            </w:tabs>
            <w:spacing w:after="0"/>
            <w:rPr>
              <w:sz w:val="18"/>
              <w:szCs w:val="18"/>
            </w:rPr>
          </w:pPr>
          <w:hyperlink w:anchor="__RefHeading___Toc1816_2543505351">
            <w:r w:rsidRPr="00BC7C17">
              <w:rPr>
                <w:rStyle w:val="IndexLink"/>
                <w:webHidden/>
                <w:sz w:val="18"/>
                <w:szCs w:val="18"/>
              </w:rPr>
              <w:t>2.2 What the Community may and may not do</w:t>
            </w:r>
            <w:r w:rsidRPr="00BC7C17">
              <w:rPr>
                <w:rStyle w:val="IndexLink"/>
                <w:webHidden/>
                <w:sz w:val="18"/>
                <w:szCs w:val="18"/>
              </w:rPr>
              <w:tab/>
              <w:t>6</w:t>
            </w:r>
          </w:hyperlink>
        </w:p>
        <w:p w14:paraId="0F9E99FB" w14:textId="77777777" w:rsidR="00FE13A4" w:rsidRPr="00BC7C17" w:rsidRDefault="00000000" w:rsidP="00BC7C17">
          <w:pPr>
            <w:pStyle w:val="TOC2"/>
            <w:tabs>
              <w:tab w:val="clear" w:pos="10306"/>
              <w:tab w:val="right" w:leader="dot" w:pos="10305"/>
            </w:tabs>
            <w:spacing w:after="0"/>
            <w:rPr>
              <w:sz w:val="18"/>
              <w:szCs w:val="18"/>
            </w:rPr>
          </w:pPr>
          <w:hyperlink w:anchor="__RefHeading___Toc1818_2543505351">
            <w:r w:rsidRPr="00BC7C17">
              <w:rPr>
                <w:rStyle w:val="IndexLink"/>
                <w:webHidden/>
                <w:sz w:val="18"/>
                <w:szCs w:val="18"/>
              </w:rPr>
              <w:t>2.3 Why this complements the hypothesis rather than constraining it</w:t>
            </w:r>
            <w:r w:rsidRPr="00BC7C17">
              <w:rPr>
                <w:rStyle w:val="IndexLink"/>
                <w:webHidden/>
                <w:sz w:val="18"/>
                <w:szCs w:val="18"/>
              </w:rPr>
              <w:tab/>
              <w:t>6</w:t>
            </w:r>
          </w:hyperlink>
        </w:p>
        <w:p w14:paraId="5285EE46" w14:textId="77777777" w:rsidR="00FE13A4" w:rsidRPr="00BC7C17" w:rsidRDefault="00000000" w:rsidP="00BC7C17">
          <w:pPr>
            <w:pStyle w:val="TOC1"/>
            <w:tabs>
              <w:tab w:val="clear" w:pos="10306"/>
              <w:tab w:val="right" w:leader="dot" w:pos="10305"/>
            </w:tabs>
            <w:spacing w:after="0"/>
            <w:rPr>
              <w:sz w:val="18"/>
              <w:szCs w:val="18"/>
            </w:rPr>
          </w:pPr>
          <w:hyperlink w:anchor="__RefHeading___Toc1820_2543505351">
            <w:r w:rsidRPr="00BC7C17">
              <w:rPr>
                <w:rStyle w:val="IndexLink"/>
                <w:webHidden/>
                <w:sz w:val="18"/>
                <w:szCs w:val="18"/>
              </w:rPr>
              <w:t>3. SHOC: position and what it uses today</w:t>
            </w:r>
            <w:r w:rsidRPr="00BC7C17">
              <w:rPr>
                <w:rStyle w:val="IndexLink"/>
                <w:webHidden/>
                <w:sz w:val="18"/>
                <w:szCs w:val="18"/>
              </w:rPr>
              <w:tab/>
              <w:t>6</w:t>
            </w:r>
          </w:hyperlink>
        </w:p>
        <w:p w14:paraId="7712E731" w14:textId="77777777" w:rsidR="00FE13A4" w:rsidRPr="00BC7C17" w:rsidRDefault="00000000" w:rsidP="00BC7C17">
          <w:pPr>
            <w:pStyle w:val="TOC2"/>
            <w:tabs>
              <w:tab w:val="clear" w:pos="10306"/>
              <w:tab w:val="right" w:leader="dot" w:pos="10305"/>
            </w:tabs>
            <w:spacing w:after="0"/>
            <w:rPr>
              <w:sz w:val="18"/>
              <w:szCs w:val="18"/>
            </w:rPr>
          </w:pPr>
          <w:hyperlink w:anchor="__RefHeading___Toc1822_2543505351">
            <w:r w:rsidRPr="00BC7C17">
              <w:rPr>
                <w:rStyle w:val="IndexLink"/>
                <w:webHidden/>
                <w:sz w:val="18"/>
                <w:szCs w:val="18"/>
              </w:rPr>
              <w:t>3.1 What SHOC is already using</w:t>
            </w:r>
            <w:r w:rsidRPr="00BC7C17">
              <w:rPr>
                <w:rStyle w:val="IndexLink"/>
                <w:webHidden/>
                <w:sz w:val="18"/>
                <w:szCs w:val="18"/>
              </w:rPr>
              <w:tab/>
              <w:t>7</w:t>
            </w:r>
          </w:hyperlink>
        </w:p>
        <w:p w14:paraId="2B3C34FE" w14:textId="77777777" w:rsidR="00FE13A4" w:rsidRPr="00BC7C17" w:rsidRDefault="00000000" w:rsidP="00BC7C17">
          <w:pPr>
            <w:pStyle w:val="TOC2"/>
            <w:tabs>
              <w:tab w:val="clear" w:pos="10306"/>
              <w:tab w:val="right" w:leader="dot" w:pos="10305"/>
            </w:tabs>
            <w:spacing w:after="0"/>
            <w:rPr>
              <w:sz w:val="18"/>
              <w:szCs w:val="18"/>
            </w:rPr>
          </w:pPr>
          <w:hyperlink w:anchor="__RefHeading___Toc1824_2543505351">
            <w:r w:rsidRPr="00BC7C17">
              <w:rPr>
                <w:rStyle w:val="IndexLink"/>
                <w:webHidden/>
                <w:sz w:val="18"/>
                <w:szCs w:val="18"/>
              </w:rPr>
              <w:t>3.2 How well positioned SHOC is to absorb more</w:t>
            </w:r>
            <w:r w:rsidRPr="00BC7C17">
              <w:rPr>
                <w:rStyle w:val="IndexLink"/>
                <w:webHidden/>
                <w:sz w:val="18"/>
                <w:szCs w:val="18"/>
              </w:rPr>
              <w:tab/>
              <w:t>7</w:t>
            </w:r>
          </w:hyperlink>
        </w:p>
        <w:p w14:paraId="3FC9C738" w14:textId="77777777" w:rsidR="00FE13A4" w:rsidRPr="00BC7C17" w:rsidRDefault="00000000" w:rsidP="00BC7C17">
          <w:pPr>
            <w:pStyle w:val="TOC1"/>
            <w:tabs>
              <w:tab w:val="clear" w:pos="10306"/>
              <w:tab w:val="right" w:leader="dot" w:pos="10305"/>
            </w:tabs>
            <w:spacing w:after="0"/>
            <w:rPr>
              <w:sz w:val="18"/>
              <w:szCs w:val="18"/>
            </w:rPr>
          </w:pPr>
          <w:hyperlink w:anchor="__RefHeading___Toc1826_2543505351">
            <w:r w:rsidRPr="00BC7C17">
              <w:rPr>
                <w:rStyle w:val="IndexLink"/>
                <w:webHidden/>
                <w:sz w:val="18"/>
                <w:szCs w:val="18"/>
              </w:rPr>
              <w:t>4. Which innovations fit the mandate, and what they add</w:t>
            </w:r>
            <w:r w:rsidRPr="00BC7C17">
              <w:rPr>
                <w:rStyle w:val="IndexLink"/>
                <w:webHidden/>
                <w:sz w:val="18"/>
                <w:szCs w:val="18"/>
              </w:rPr>
              <w:tab/>
              <w:t>7</w:t>
            </w:r>
          </w:hyperlink>
        </w:p>
        <w:p w14:paraId="3AEC8C1B" w14:textId="77777777" w:rsidR="00FE13A4" w:rsidRPr="00BC7C17" w:rsidRDefault="00000000" w:rsidP="00BC7C17">
          <w:pPr>
            <w:pStyle w:val="TOC2"/>
            <w:tabs>
              <w:tab w:val="clear" w:pos="10306"/>
              <w:tab w:val="right" w:leader="dot" w:pos="10305"/>
            </w:tabs>
            <w:spacing w:after="0"/>
            <w:rPr>
              <w:sz w:val="18"/>
              <w:szCs w:val="18"/>
            </w:rPr>
          </w:pPr>
          <w:hyperlink w:anchor="__RefHeading___Toc1828_2543505351">
            <w:r w:rsidRPr="00BC7C17">
              <w:rPr>
                <w:rStyle w:val="IndexLink"/>
                <w:webHidden/>
                <w:sz w:val="18"/>
                <w:szCs w:val="18"/>
              </w:rPr>
              <w:t>4.1 Three findings that should shape the investment</w:t>
            </w:r>
            <w:r w:rsidRPr="00BC7C17">
              <w:rPr>
                <w:rStyle w:val="IndexLink"/>
                <w:webHidden/>
                <w:sz w:val="18"/>
                <w:szCs w:val="18"/>
              </w:rPr>
              <w:tab/>
              <w:t>8</w:t>
            </w:r>
          </w:hyperlink>
        </w:p>
        <w:p w14:paraId="1FC7BCB4" w14:textId="77777777" w:rsidR="00FE13A4" w:rsidRPr="00BC7C17" w:rsidRDefault="00000000" w:rsidP="00BC7C17">
          <w:pPr>
            <w:pStyle w:val="TOC2"/>
            <w:tabs>
              <w:tab w:val="clear" w:pos="10306"/>
              <w:tab w:val="right" w:leader="dot" w:pos="10305"/>
            </w:tabs>
            <w:spacing w:after="0"/>
            <w:rPr>
              <w:sz w:val="18"/>
              <w:szCs w:val="18"/>
            </w:rPr>
          </w:pPr>
          <w:hyperlink w:anchor="__RefHeading___Toc1830_2543505351">
            <w:r w:rsidRPr="00BC7C17">
              <w:rPr>
                <w:rStyle w:val="IndexLink"/>
                <w:webHidden/>
                <w:sz w:val="18"/>
                <w:szCs w:val="18"/>
              </w:rPr>
              <w:t>4.2 What fits each part of the mandate</w:t>
            </w:r>
            <w:r w:rsidRPr="00BC7C17">
              <w:rPr>
                <w:rStyle w:val="IndexLink"/>
                <w:webHidden/>
                <w:sz w:val="18"/>
                <w:szCs w:val="18"/>
              </w:rPr>
              <w:tab/>
              <w:t>8</w:t>
            </w:r>
          </w:hyperlink>
        </w:p>
        <w:p w14:paraId="4C9F1783" w14:textId="77777777" w:rsidR="00FE13A4" w:rsidRPr="00BC7C17" w:rsidRDefault="00000000" w:rsidP="00BC7C17">
          <w:pPr>
            <w:pStyle w:val="TOC1"/>
            <w:tabs>
              <w:tab w:val="clear" w:pos="10306"/>
              <w:tab w:val="right" w:leader="dot" w:pos="10305"/>
            </w:tabs>
            <w:spacing w:after="0"/>
            <w:rPr>
              <w:sz w:val="18"/>
              <w:szCs w:val="18"/>
            </w:rPr>
          </w:pPr>
          <w:hyperlink w:anchor="__RefHeading___Toc1832_2543505351">
            <w:r w:rsidRPr="00BC7C17">
              <w:rPr>
                <w:rStyle w:val="IndexLink"/>
                <w:webHidden/>
                <w:sz w:val="18"/>
                <w:szCs w:val="18"/>
              </w:rPr>
              <w:t>5. Theory of change and the core hypothesis</w:t>
            </w:r>
            <w:r w:rsidRPr="00BC7C17">
              <w:rPr>
                <w:rStyle w:val="IndexLink"/>
                <w:webHidden/>
                <w:sz w:val="18"/>
                <w:szCs w:val="18"/>
              </w:rPr>
              <w:tab/>
              <w:t>9</w:t>
            </w:r>
          </w:hyperlink>
        </w:p>
        <w:p w14:paraId="0E55D96E" w14:textId="77777777" w:rsidR="00FE13A4" w:rsidRPr="00BC7C17" w:rsidRDefault="00000000" w:rsidP="00BC7C17">
          <w:pPr>
            <w:pStyle w:val="TOC2"/>
            <w:tabs>
              <w:tab w:val="clear" w:pos="10306"/>
              <w:tab w:val="right" w:leader="dot" w:pos="10305"/>
            </w:tabs>
            <w:spacing w:after="0"/>
            <w:rPr>
              <w:sz w:val="18"/>
              <w:szCs w:val="18"/>
            </w:rPr>
          </w:pPr>
          <w:hyperlink w:anchor="__RefHeading___Toc1834_2543505351">
            <w:r w:rsidRPr="00BC7C17">
              <w:rPr>
                <w:rStyle w:val="IndexLink"/>
                <w:webHidden/>
                <w:sz w:val="18"/>
                <w:szCs w:val="18"/>
              </w:rPr>
              <w:t>5.1 The core hypothesis</w:t>
            </w:r>
            <w:r w:rsidRPr="00BC7C17">
              <w:rPr>
                <w:rStyle w:val="IndexLink"/>
                <w:webHidden/>
                <w:sz w:val="18"/>
                <w:szCs w:val="18"/>
              </w:rPr>
              <w:tab/>
              <w:t>9</w:t>
            </w:r>
          </w:hyperlink>
        </w:p>
        <w:p w14:paraId="0E830677" w14:textId="77777777" w:rsidR="00FE13A4" w:rsidRPr="00BC7C17" w:rsidRDefault="00000000" w:rsidP="00BC7C17">
          <w:pPr>
            <w:pStyle w:val="TOC2"/>
            <w:tabs>
              <w:tab w:val="clear" w:pos="10306"/>
              <w:tab w:val="right" w:leader="dot" w:pos="10305"/>
            </w:tabs>
            <w:spacing w:after="0"/>
            <w:rPr>
              <w:sz w:val="18"/>
              <w:szCs w:val="18"/>
            </w:rPr>
          </w:pPr>
          <w:hyperlink w:anchor="__RefHeading___Toc1836_2543505351">
            <w:r w:rsidRPr="00BC7C17">
              <w:rPr>
                <w:rStyle w:val="IndexLink"/>
                <w:webHidden/>
                <w:sz w:val="18"/>
                <w:szCs w:val="18"/>
              </w:rPr>
              <w:t>5.2 The four pathways</w:t>
            </w:r>
            <w:r w:rsidRPr="00BC7C17">
              <w:rPr>
                <w:rStyle w:val="IndexLink"/>
                <w:webHidden/>
                <w:sz w:val="18"/>
                <w:szCs w:val="18"/>
              </w:rPr>
              <w:tab/>
              <w:t>10</w:t>
            </w:r>
          </w:hyperlink>
        </w:p>
        <w:p w14:paraId="539BAADE" w14:textId="77777777" w:rsidR="00FE13A4" w:rsidRPr="00BC7C17" w:rsidRDefault="00000000" w:rsidP="00BC7C17">
          <w:pPr>
            <w:pStyle w:val="TOC2"/>
            <w:tabs>
              <w:tab w:val="clear" w:pos="10306"/>
              <w:tab w:val="right" w:leader="dot" w:pos="10305"/>
            </w:tabs>
            <w:spacing w:after="0"/>
            <w:rPr>
              <w:sz w:val="18"/>
              <w:szCs w:val="18"/>
            </w:rPr>
          </w:pPr>
          <w:hyperlink w:anchor="__RefHeading___Toc1838_2543505351">
            <w:r w:rsidRPr="00BC7C17">
              <w:rPr>
                <w:rStyle w:val="IndexLink"/>
                <w:webHidden/>
                <w:sz w:val="18"/>
                <w:szCs w:val="18"/>
              </w:rPr>
              <w:t>5.3 The assumptions that carry the most weight</w:t>
            </w:r>
            <w:r w:rsidRPr="00BC7C17">
              <w:rPr>
                <w:rStyle w:val="IndexLink"/>
                <w:webHidden/>
                <w:sz w:val="18"/>
                <w:szCs w:val="18"/>
              </w:rPr>
              <w:tab/>
              <w:t>10</w:t>
            </w:r>
          </w:hyperlink>
        </w:p>
        <w:p w14:paraId="15F6E3DD" w14:textId="77777777" w:rsidR="00FE13A4" w:rsidRPr="00BC7C17" w:rsidRDefault="00000000" w:rsidP="00BC7C17">
          <w:pPr>
            <w:pStyle w:val="TOC1"/>
            <w:tabs>
              <w:tab w:val="clear" w:pos="10306"/>
              <w:tab w:val="right" w:leader="dot" w:pos="10305"/>
            </w:tabs>
            <w:spacing w:after="0"/>
            <w:rPr>
              <w:sz w:val="18"/>
              <w:szCs w:val="18"/>
            </w:rPr>
          </w:pPr>
          <w:hyperlink w:anchor="__RefHeading___Toc1840_2543505351">
            <w:r w:rsidRPr="00BC7C17">
              <w:rPr>
                <w:rStyle w:val="IndexLink"/>
                <w:webHidden/>
                <w:sz w:val="18"/>
                <w:szCs w:val="18"/>
              </w:rPr>
              <w:t>6. Logic model</w:t>
            </w:r>
            <w:r w:rsidRPr="00BC7C17">
              <w:rPr>
                <w:rStyle w:val="IndexLink"/>
                <w:webHidden/>
                <w:sz w:val="18"/>
                <w:szCs w:val="18"/>
              </w:rPr>
              <w:tab/>
              <w:t>10</w:t>
            </w:r>
          </w:hyperlink>
        </w:p>
        <w:p w14:paraId="3B904743" w14:textId="77777777" w:rsidR="00FE13A4" w:rsidRPr="00BC7C17" w:rsidRDefault="00000000" w:rsidP="00BC7C17">
          <w:pPr>
            <w:pStyle w:val="TOC1"/>
            <w:tabs>
              <w:tab w:val="clear" w:pos="10306"/>
              <w:tab w:val="right" w:leader="dot" w:pos="10305"/>
            </w:tabs>
            <w:spacing w:after="0"/>
            <w:rPr>
              <w:sz w:val="18"/>
              <w:szCs w:val="18"/>
            </w:rPr>
          </w:pPr>
          <w:hyperlink w:anchor="__RefHeading___Toc1842_2543505351">
            <w:r w:rsidRPr="00BC7C17">
              <w:rPr>
                <w:rStyle w:val="IndexLink"/>
                <w:webHidden/>
                <w:sz w:val="18"/>
                <w:szCs w:val="18"/>
              </w:rPr>
              <w:t>7. Implementation metrics and the readiness scorecard</w:t>
            </w:r>
            <w:r w:rsidRPr="00BC7C17">
              <w:rPr>
                <w:rStyle w:val="IndexLink"/>
                <w:webHidden/>
                <w:sz w:val="18"/>
                <w:szCs w:val="18"/>
              </w:rPr>
              <w:tab/>
              <w:t>11</w:t>
            </w:r>
          </w:hyperlink>
        </w:p>
        <w:p w14:paraId="290AB51A" w14:textId="77777777" w:rsidR="00FE13A4" w:rsidRPr="00BC7C17" w:rsidRDefault="00000000" w:rsidP="00BC7C17">
          <w:pPr>
            <w:pStyle w:val="TOC2"/>
            <w:tabs>
              <w:tab w:val="clear" w:pos="10306"/>
              <w:tab w:val="right" w:leader="dot" w:pos="10305"/>
            </w:tabs>
            <w:spacing w:after="0"/>
            <w:rPr>
              <w:sz w:val="18"/>
              <w:szCs w:val="18"/>
            </w:rPr>
          </w:pPr>
          <w:hyperlink w:anchor="__RefHeading___Toc1844_2543505351">
            <w:r w:rsidRPr="00BC7C17">
              <w:rPr>
                <w:rStyle w:val="IndexLink"/>
                <w:webHidden/>
                <w:sz w:val="18"/>
                <w:szCs w:val="18"/>
              </w:rPr>
              <w:t>7.1 Implementation matrix</w:t>
            </w:r>
            <w:r w:rsidRPr="00BC7C17">
              <w:rPr>
                <w:rStyle w:val="IndexLink"/>
                <w:webHidden/>
                <w:sz w:val="18"/>
                <w:szCs w:val="18"/>
              </w:rPr>
              <w:tab/>
              <w:t>11</w:t>
            </w:r>
          </w:hyperlink>
        </w:p>
        <w:p w14:paraId="1AD25F2B" w14:textId="77777777" w:rsidR="00FE13A4" w:rsidRPr="00BC7C17" w:rsidRDefault="00000000" w:rsidP="00BC7C17">
          <w:pPr>
            <w:pStyle w:val="TOC2"/>
            <w:tabs>
              <w:tab w:val="clear" w:pos="10306"/>
              <w:tab w:val="right" w:leader="dot" w:pos="10305"/>
            </w:tabs>
            <w:spacing w:after="0"/>
            <w:rPr>
              <w:sz w:val="18"/>
              <w:szCs w:val="18"/>
            </w:rPr>
          </w:pPr>
          <w:hyperlink w:anchor="__RefHeading___Toc1846_2543505351">
            <w:r w:rsidRPr="00BC7C17">
              <w:rPr>
                <w:rStyle w:val="IndexLink"/>
                <w:webHidden/>
                <w:sz w:val="18"/>
                <w:szCs w:val="18"/>
              </w:rPr>
              <w:t>7.2 The readiness scorecard</w:t>
            </w:r>
            <w:r w:rsidRPr="00BC7C17">
              <w:rPr>
                <w:rStyle w:val="IndexLink"/>
                <w:webHidden/>
                <w:sz w:val="18"/>
                <w:szCs w:val="18"/>
              </w:rPr>
              <w:tab/>
              <w:t>11</w:t>
            </w:r>
          </w:hyperlink>
        </w:p>
        <w:p w14:paraId="1399BB5B" w14:textId="77777777" w:rsidR="00FE13A4" w:rsidRPr="00BC7C17" w:rsidRDefault="00000000" w:rsidP="00BC7C17">
          <w:pPr>
            <w:pStyle w:val="TOC1"/>
            <w:tabs>
              <w:tab w:val="clear" w:pos="10306"/>
              <w:tab w:val="right" w:leader="dot" w:pos="10305"/>
            </w:tabs>
            <w:spacing w:after="0"/>
            <w:rPr>
              <w:sz w:val="18"/>
              <w:szCs w:val="18"/>
            </w:rPr>
          </w:pPr>
          <w:hyperlink w:anchor="__RefHeading___Toc1848_2543505351">
            <w:r w:rsidRPr="00BC7C17">
              <w:rPr>
                <w:rStyle w:val="IndexLink"/>
                <w:webHidden/>
                <w:sz w:val="18"/>
                <w:szCs w:val="18"/>
              </w:rPr>
              <w:t>8. The delivery platform and its significance.</w:t>
            </w:r>
            <w:r w:rsidRPr="00BC7C17">
              <w:rPr>
                <w:rStyle w:val="IndexLink"/>
                <w:webHidden/>
                <w:sz w:val="18"/>
                <w:szCs w:val="18"/>
              </w:rPr>
              <w:tab/>
              <w:t>12</w:t>
            </w:r>
          </w:hyperlink>
        </w:p>
        <w:p w14:paraId="0BB55785" w14:textId="77777777" w:rsidR="00FE13A4" w:rsidRPr="00BC7C17" w:rsidRDefault="00000000" w:rsidP="00BC7C17">
          <w:pPr>
            <w:pStyle w:val="TOC2"/>
            <w:tabs>
              <w:tab w:val="clear" w:pos="10306"/>
              <w:tab w:val="right" w:leader="dot" w:pos="10305"/>
            </w:tabs>
            <w:spacing w:after="0"/>
            <w:rPr>
              <w:sz w:val="18"/>
              <w:szCs w:val="18"/>
            </w:rPr>
          </w:pPr>
          <w:hyperlink w:anchor="__RefHeading___Toc1850_2543505351">
            <w:r w:rsidRPr="00BC7C17">
              <w:rPr>
                <w:rStyle w:val="IndexLink"/>
                <w:webHidden/>
                <w:sz w:val="18"/>
                <w:szCs w:val="18"/>
              </w:rPr>
              <w:t>8.1 Why it matters to SHOC rather than to the consultancy</w:t>
            </w:r>
            <w:r w:rsidRPr="00BC7C17">
              <w:rPr>
                <w:rStyle w:val="IndexLink"/>
                <w:webHidden/>
                <w:sz w:val="18"/>
                <w:szCs w:val="18"/>
              </w:rPr>
              <w:tab/>
              <w:t>12</w:t>
            </w:r>
          </w:hyperlink>
        </w:p>
        <w:p w14:paraId="46EB4B67" w14:textId="77777777" w:rsidR="00FE13A4" w:rsidRPr="00BC7C17" w:rsidRDefault="00000000" w:rsidP="00BC7C17">
          <w:pPr>
            <w:pStyle w:val="TOC1"/>
            <w:tabs>
              <w:tab w:val="clear" w:pos="10306"/>
              <w:tab w:val="right" w:leader="dot" w:pos="10305"/>
            </w:tabs>
            <w:spacing w:after="0"/>
            <w:rPr>
              <w:sz w:val="18"/>
              <w:szCs w:val="18"/>
            </w:rPr>
          </w:pPr>
          <w:hyperlink w:anchor="__RefHeading___Toc1852_2543505351">
            <w:r w:rsidRPr="00BC7C17">
              <w:rPr>
                <w:rStyle w:val="IndexLink"/>
                <w:webHidden/>
                <w:sz w:val="18"/>
                <w:szCs w:val="18"/>
              </w:rPr>
              <w:t>9. What full deployment requires</w:t>
            </w:r>
            <w:r w:rsidRPr="00BC7C17">
              <w:rPr>
                <w:rStyle w:val="IndexLink"/>
                <w:webHidden/>
                <w:sz w:val="18"/>
                <w:szCs w:val="18"/>
              </w:rPr>
              <w:tab/>
              <w:t>13</w:t>
            </w:r>
          </w:hyperlink>
        </w:p>
        <w:p w14:paraId="4BB89033" w14:textId="77777777" w:rsidR="00FE13A4" w:rsidRPr="00BC7C17" w:rsidRDefault="00000000" w:rsidP="00BC7C17">
          <w:pPr>
            <w:pStyle w:val="TOC2"/>
            <w:tabs>
              <w:tab w:val="clear" w:pos="10306"/>
              <w:tab w:val="right" w:leader="dot" w:pos="10305"/>
            </w:tabs>
            <w:spacing w:after="0"/>
            <w:rPr>
              <w:sz w:val="18"/>
              <w:szCs w:val="18"/>
            </w:rPr>
          </w:pPr>
          <w:hyperlink w:anchor="__RefHeading___Toc1854_2543505351">
            <w:r w:rsidRPr="00BC7C17">
              <w:rPr>
                <w:rStyle w:val="IndexLink"/>
                <w:webHidden/>
                <w:sz w:val="18"/>
                <w:szCs w:val="18"/>
              </w:rPr>
              <w:t>9.1 Software, hardware and the part that is neither</w:t>
            </w:r>
            <w:r w:rsidRPr="00BC7C17">
              <w:rPr>
                <w:rStyle w:val="IndexLink"/>
                <w:webHidden/>
                <w:sz w:val="18"/>
                <w:szCs w:val="18"/>
              </w:rPr>
              <w:tab/>
              <w:t>13</w:t>
            </w:r>
          </w:hyperlink>
        </w:p>
        <w:p w14:paraId="0280CFF2" w14:textId="77777777" w:rsidR="00FE13A4" w:rsidRPr="00BC7C17" w:rsidRDefault="00000000" w:rsidP="00BC7C17">
          <w:pPr>
            <w:pStyle w:val="TOC2"/>
            <w:tabs>
              <w:tab w:val="clear" w:pos="10306"/>
              <w:tab w:val="right" w:leader="dot" w:pos="10305"/>
            </w:tabs>
            <w:spacing w:after="0"/>
            <w:rPr>
              <w:sz w:val="18"/>
              <w:szCs w:val="18"/>
            </w:rPr>
          </w:pPr>
          <w:hyperlink w:anchor="__RefHeading___Toc1856_2543505351">
            <w:r w:rsidRPr="00BC7C17">
              <w:rPr>
                <w:rStyle w:val="IndexLink"/>
                <w:webHidden/>
                <w:sz w:val="18"/>
                <w:szCs w:val="18"/>
              </w:rPr>
              <w:t>9.2 What the evidence supports costing today</w:t>
            </w:r>
            <w:r w:rsidRPr="00BC7C17">
              <w:rPr>
                <w:rStyle w:val="IndexLink"/>
                <w:webHidden/>
                <w:sz w:val="18"/>
                <w:szCs w:val="18"/>
              </w:rPr>
              <w:tab/>
              <w:t>13</w:t>
            </w:r>
          </w:hyperlink>
        </w:p>
        <w:p w14:paraId="22B61B1B" w14:textId="77777777" w:rsidR="00FE13A4" w:rsidRPr="00BC7C17" w:rsidRDefault="00000000" w:rsidP="00BC7C17">
          <w:pPr>
            <w:pStyle w:val="TOC2"/>
            <w:tabs>
              <w:tab w:val="clear" w:pos="10306"/>
              <w:tab w:val="right" w:leader="dot" w:pos="10305"/>
            </w:tabs>
            <w:spacing w:after="0"/>
            <w:rPr>
              <w:sz w:val="18"/>
              <w:szCs w:val="18"/>
            </w:rPr>
          </w:pPr>
          <w:hyperlink w:anchor="__RefHeading___Toc1858_2543505351">
            <w:r w:rsidRPr="00BC7C17">
              <w:rPr>
                <w:rStyle w:val="IndexLink"/>
                <w:webHidden/>
                <w:sz w:val="18"/>
                <w:szCs w:val="18"/>
              </w:rPr>
              <w:t>9.3 What SHOC itself must build, and what it costs</w:t>
            </w:r>
            <w:r w:rsidRPr="00BC7C17">
              <w:rPr>
                <w:rStyle w:val="IndexLink"/>
                <w:webHidden/>
                <w:sz w:val="18"/>
                <w:szCs w:val="18"/>
              </w:rPr>
              <w:tab/>
              <w:t>14</w:t>
            </w:r>
          </w:hyperlink>
        </w:p>
        <w:p w14:paraId="3F3AAA63" w14:textId="77777777" w:rsidR="00FE13A4" w:rsidRPr="00BC7C17" w:rsidRDefault="00000000" w:rsidP="00BC7C17">
          <w:pPr>
            <w:pStyle w:val="TOC2"/>
            <w:tabs>
              <w:tab w:val="clear" w:pos="10306"/>
              <w:tab w:val="right" w:leader="dot" w:pos="10305"/>
            </w:tabs>
            <w:spacing w:after="0"/>
            <w:rPr>
              <w:sz w:val="18"/>
              <w:szCs w:val="18"/>
            </w:rPr>
          </w:pPr>
          <w:hyperlink w:anchor="__RefHeading___Toc1860_2543505351">
            <w:r w:rsidRPr="00BC7C17">
              <w:rPr>
                <w:rStyle w:val="IndexLink"/>
                <w:webHidden/>
                <w:sz w:val="18"/>
                <w:szCs w:val="18"/>
              </w:rPr>
              <w:t>9.4 How the funding would be applied</w:t>
            </w:r>
            <w:r w:rsidRPr="00BC7C17">
              <w:rPr>
                <w:rStyle w:val="IndexLink"/>
                <w:webHidden/>
                <w:sz w:val="18"/>
                <w:szCs w:val="18"/>
              </w:rPr>
              <w:tab/>
              <w:t>14</w:t>
            </w:r>
          </w:hyperlink>
        </w:p>
        <w:p w14:paraId="48A75EB2" w14:textId="77777777" w:rsidR="00FE13A4" w:rsidRPr="00BC7C17" w:rsidRDefault="00000000" w:rsidP="00BC7C17">
          <w:pPr>
            <w:pStyle w:val="TOC1"/>
            <w:tabs>
              <w:tab w:val="clear" w:pos="10306"/>
              <w:tab w:val="right" w:leader="dot" w:pos="10305"/>
            </w:tabs>
            <w:spacing w:after="0"/>
            <w:rPr>
              <w:sz w:val="18"/>
              <w:szCs w:val="18"/>
            </w:rPr>
          </w:pPr>
          <w:hyperlink w:anchor="__RefHeading___Toc1862_2543505351">
            <w:r w:rsidRPr="00BC7C17">
              <w:rPr>
                <w:rStyle w:val="IndexLink"/>
                <w:webHidden/>
                <w:sz w:val="18"/>
                <w:szCs w:val="18"/>
              </w:rPr>
              <w:t>10. The business case for investing in innovation at SHOC</w:t>
            </w:r>
            <w:r w:rsidRPr="00BC7C17">
              <w:rPr>
                <w:rStyle w:val="IndexLink"/>
                <w:webHidden/>
                <w:sz w:val="18"/>
                <w:szCs w:val="18"/>
              </w:rPr>
              <w:tab/>
              <w:t>15</w:t>
            </w:r>
          </w:hyperlink>
        </w:p>
        <w:p w14:paraId="57E8BE7C" w14:textId="77777777" w:rsidR="00FE13A4" w:rsidRPr="00BC7C17" w:rsidRDefault="00000000" w:rsidP="00BC7C17">
          <w:pPr>
            <w:pStyle w:val="TOC2"/>
            <w:tabs>
              <w:tab w:val="clear" w:pos="10306"/>
              <w:tab w:val="right" w:leader="dot" w:pos="10305"/>
            </w:tabs>
            <w:spacing w:after="0"/>
            <w:rPr>
              <w:sz w:val="18"/>
              <w:szCs w:val="18"/>
            </w:rPr>
          </w:pPr>
          <w:hyperlink w:anchor="__RefHeading___Toc1864_2543505351">
            <w:r w:rsidRPr="00BC7C17">
              <w:rPr>
                <w:rStyle w:val="IndexLink"/>
                <w:webHidden/>
                <w:sz w:val="18"/>
                <w:szCs w:val="18"/>
              </w:rPr>
              <w:t>10.1 What SHOC gains, stated as outcomes</w:t>
            </w:r>
            <w:r w:rsidRPr="00BC7C17">
              <w:rPr>
                <w:rStyle w:val="IndexLink"/>
                <w:webHidden/>
                <w:sz w:val="18"/>
                <w:szCs w:val="18"/>
              </w:rPr>
              <w:tab/>
              <w:t>15</w:t>
            </w:r>
          </w:hyperlink>
        </w:p>
        <w:p w14:paraId="16E08380" w14:textId="77777777" w:rsidR="00FE13A4" w:rsidRPr="00BC7C17" w:rsidRDefault="00000000" w:rsidP="00BC7C17">
          <w:pPr>
            <w:pStyle w:val="TOC2"/>
            <w:tabs>
              <w:tab w:val="clear" w:pos="10306"/>
              <w:tab w:val="right" w:leader="dot" w:pos="10305"/>
            </w:tabs>
            <w:spacing w:after="0"/>
            <w:rPr>
              <w:sz w:val="18"/>
              <w:szCs w:val="18"/>
            </w:rPr>
          </w:pPr>
          <w:hyperlink w:anchor="__RefHeading___Toc1866_2543505351">
            <w:r w:rsidRPr="00BC7C17">
              <w:rPr>
                <w:rStyle w:val="IndexLink"/>
                <w:webHidden/>
                <w:sz w:val="18"/>
                <w:szCs w:val="18"/>
              </w:rPr>
              <w:t>10.2 The cost of not investing</w:t>
            </w:r>
            <w:r w:rsidRPr="00BC7C17">
              <w:rPr>
                <w:rStyle w:val="IndexLink"/>
                <w:webHidden/>
                <w:sz w:val="18"/>
                <w:szCs w:val="18"/>
              </w:rPr>
              <w:tab/>
              <w:t>16</w:t>
            </w:r>
          </w:hyperlink>
        </w:p>
        <w:p w14:paraId="3E2180EB" w14:textId="77777777" w:rsidR="00FE13A4" w:rsidRDefault="00000000" w:rsidP="00BC7C17">
          <w:pPr>
            <w:pStyle w:val="TOC1"/>
            <w:tabs>
              <w:tab w:val="clear" w:pos="10306"/>
              <w:tab w:val="right" w:leader="dot" w:pos="10305"/>
            </w:tabs>
            <w:spacing w:after="0"/>
          </w:pPr>
          <w:hyperlink w:anchor="__RefHeading___Toc1868_2543505351">
            <w:r w:rsidRPr="00BC7C17">
              <w:rPr>
                <w:rStyle w:val="IndexLink"/>
                <w:webHidden/>
                <w:sz w:val="18"/>
                <w:szCs w:val="18"/>
              </w:rPr>
              <w:t>11. What is asked</w:t>
            </w:r>
            <w:r w:rsidRPr="00BC7C17">
              <w:rPr>
                <w:rStyle w:val="IndexLink"/>
                <w:webHidden/>
                <w:sz w:val="18"/>
                <w:szCs w:val="18"/>
              </w:rPr>
              <w:tab/>
              <w:t>16</w:t>
            </w:r>
          </w:hyperlink>
          <w:r>
            <w:rPr>
              <w:rStyle w:val="IndexLink"/>
            </w:rPr>
            <w:fldChar w:fldCharType="end"/>
          </w:r>
        </w:p>
      </w:sdtContent>
    </w:sdt>
    <w:p w14:paraId="53417D7C" w14:textId="77777777" w:rsidR="00BC7C17" w:rsidRDefault="00BC7C17">
      <w:pPr>
        <w:rPr>
          <w:b/>
          <w:bCs/>
          <w:color w:val="1F3864"/>
          <w:sz w:val="24"/>
          <w:szCs w:val="24"/>
        </w:rPr>
      </w:pPr>
      <w:bookmarkStart w:id="2" w:name="__RefHeading___Toc1804_2543505351"/>
      <w:bookmarkEnd w:id="2"/>
      <w:r>
        <w:rPr>
          <w:b/>
          <w:bCs/>
          <w:color w:val="1F3864"/>
          <w:sz w:val="24"/>
          <w:szCs w:val="24"/>
        </w:rPr>
        <w:br w:type="page"/>
      </w:r>
    </w:p>
    <w:p w14:paraId="265B92C9" w14:textId="6E086617" w:rsidR="00FE13A4" w:rsidRDefault="00000000" w:rsidP="00BC7C17">
      <w:r>
        <w:rPr>
          <w:b/>
          <w:bCs/>
          <w:color w:val="1F3864"/>
          <w:sz w:val="24"/>
          <w:szCs w:val="24"/>
        </w:rPr>
        <w:lastRenderedPageBreak/>
        <w:t>1.  Landscape Assessment and the Innovation Gap Analysis findings</w:t>
      </w:r>
    </w:p>
    <w:p w14:paraId="221AF393" w14:textId="77777777" w:rsidR="00FE13A4" w:rsidRDefault="00000000">
      <w:pPr>
        <w:spacing w:after="100" w:line="264" w:lineRule="auto"/>
        <w:jc w:val="both"/>
      </w:pPr>
      <w:r>
        <w:rPr>
          <w:color w:val="000000"/>
        </w:rPr>
        <w:t>The design of this programme rests on two completed deliverables, and their findings are set out here before any proposition is put, so that a reader can judge the proposition against the evidence rather than after it. The Landscape Assessment established what exists while the Innovation Gap Analysis established what is missing. The hypothesis at section 5 is an answer to what the two together show, and it should be read as such.</w:t>
      </w:r>
    </w:p>
    <w:p w14:paraId="7EFF1DF9" w14:textId="77777777" w:rsidR="00FE13A4" w:rsidRDefault="00000000">
      <w:pPr>
        <w:pStyle w:val="Heading2"/>
        <w:spacing w:before="160" w:after="70"/>
      </w:pPr>
      <w:bookmarkStart w:id="3" w:name="__RefHeading___Toc1806_2543505351"/>
      <w:bookmarkEnd w:id="3"/>
      <w:r>
        <w:rPr>
          <w:b/>
          <w:bCs/>
          <w:color w:val="BF9000"/>
          <w:sz w:val="20"/>
          <w:szCs w:val="20"/>
        </w:rPr>
        <w:t>1.1  The Landscape Assessment: what exists</w:t>
      </w:r>
    </w:p>
    <w:p w14:paraId="1C2DD5EA" w14:textId="77777777" w:rsidR="00FE13A4" w:rsidRDefault="00000000">
      <w:pPr>
        <w:spacing w:after="100" w:line="264" w:lineRule="auto"/>
        <w:jc w:val="both"/>
      </w:pPr>
      <w:r>
        <w:rPr>
          <w:color w:val="000000"/>
        </w:rPr>
        <w:t>The Landscape Assessment answered one question: what disaster risk management innovation already exists across the sixteen Member States, where it is located, how far it has developed, and which institutions lead or operate it. It recommended nothing, which is why it can be relied on as a baseline.</w:t>
      </w:r>
    </w:p>
    <w:p w14:paraId="2574409C" w14:textId="77777777" w:rsidR="00FE13A4" w:rsidRDefault="00000000">
      <w:pPr>
        <w:spacing w:before="90" w:after="40"/>
        <w:jc w:val="center"/>
      </w:pPr>
      <w:r>
        <w:rPr>
          <w:noProof/>
        </w:rPr>
        <w:drawing>
          <wp:inline distT="0" distB="0" distL="0" distR="0" wp14:anchorId="50225AD3" wp14:editId="510326C8">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905500" cy="3324225"/>
                    </a:xfrm>
                    <a:prstGeom prst="rect">
                      <a:avLst/>
                    </a:prstGeom>
                  </pic:spPr>
                </pic:pic>
              </a:graphicData>
            </a:graphic>
          </wp:inline>
        </w:drawing>
      </w:r>
    </w:p>
    <w:p w14:paraId="77DF68E6" w14:textId="77777777" w:rsidR="00FE13A4" w:rsidRDefault="00000000">
      <w:pPr>
        <w:spacing w:after="110"/>
        <w:jc w:val="center"/>
      </w:pPr>
      <w:r>
        <w:rPr>
          <w:i/>
          <w:iCs/>
          <w:color w:val="595959"/>
          <w:sz w:val="15"/>
          <w:szCs w:val="15"/>
        </w:rPr>
        <w:t>Figure 1  ·  The Landscape Assessment: how the evidence was built, and what it found</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600"/>
        <w:gridCol w:w="7726"/>
      </w:tblGrid>
      <w:tr w:rsidR="00FE13A4" w14:paraId="5C2F3861"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50C843A7" w14:textId="77777777" w:rsidR="00FE13A4" w:rsidRDefault="00000000">
            <w:pPr>
              <w:spacing w:after="6"/>
            </w:pPr>
            <w:r>
              <w:rPr>
                <w:b/>
                <w:bCs/>
                <w:color w:val="FFFFFF"/>
                <w:sz w:val="15"/>
                <w:szCs w:val="15"/>
              </w:rPr>
              <w:t>Landscape Assessment finding</w:t>
            </w:r>
          </w:p>
        </w:tc>
        <w:tc>
          <w:tcPr>
            <w:tcW w:w="7725" w:type="dxa"/>
            <w:tcBorders>
              <w:top w:val="single" w:sz="4" w:space="0" w:color="BFBFBF"/>
              <w:left w:val="single" w:sz="4" w:space="0" w:color="BFBFBF"/>
              <w:bottom w:val="single" w:sz="4" w:space="0" w:color="BFBFBF"/>
              <w:right w:val="single" w:sz="4" w:space="0" w:color="BFBFBF"/>
            </w:tcBorders>
            <w:shd w:val="clear" w:color="auto" w:fill="1F3864"/>
          </w:tcPr>
          <w:p w14:paraId="2DD84080" w14:textId="77777777" w:rsidR="00FE13A4" w:rsidRDefault="00000000">
            <w:pPr>
              <w:spacing w:after="6"/>
            </w:pPr>
            <w:r>
              <w:rPr>
                <w:b/>
                <w:bCs/>
                <w:color w:val="FFFFFF"/>
                <w:sz w:val="15"/>
                <w:szCs w:val="15"/>
              </w:rPr>
              <w:t>What it means for SHOC</w:t>
            </w:r>
          </w:p>
        </w:tc>
      </w:tr>
      <w:tr w:rsidR="00FE13A4" w14:paraId="08D3E21D"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1A92BED4" w14:textId="77777777" w:rsidR="00FE13A4" w:rsidRDefault="00000000">
            <w:pPr>
              <w:spacing w:after="6"/>
            </w:pPr>
            <w:r>
              <w:rPr>
                <w:color w:val="000000"/>
                <w:sz w:val="15"/>
                <w:szCs w:val="15"/>
              </w:rPr>
              <w:t>Thirty-four innovations operating or piloted across the region</w:t>
            </w:r>
          </w:p>
        </w:tc>
        <w:tc>
          <w:tcPr>
            <w:tcW w:w="7725" w:type="dxa"/>
            <w:tcBorders>
              <w:top w:val="single" w:sz="4" w:space="0" w:color="BFBFBF"/>
              <w:left w:val="single" w:sz="4" w:space="0" w:color="BFBFBF"/>
              <w:bottom w:val="single" w:sz="4" w:space="0" w:color="BFBFBF"/>
              <w:right w:val="single" w:sz="4" w:space="0" w:color="BFBFBF"/>
            </w:tcBorders>
          </w:tcPr>
          <w:p w14:paraId="0AAF797A" w14:textId="77777777" w:rsidR="00FE13A4" w:rsidRDefault="00000000">
            <w:pPr>
              <w:spacing w:after="6"/>
            </w:pPr>
            <w:r>
              <w:rPr>
                <w:color w:val="000000"/>
                <w:sz w:val="15"/>
                <w:szCs w:val="15"/>
              </w:rPr>
              <w:t>SHOC does not need to commission invention. It needs to select, integrate and operate what already exists</w:t>
            </w:r>
          </w:p>
        </w:tc>
      </w:tr>
      <w:tr w:rsidR="00FE13A4" w14:paraId="1826E7D8"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43962D21" w14:textId="77777777" w:rsidR="00FE13A4" w:rsidRDefault="00000000">
            <w:pPr>
              <w:spacing w:after="6"/>
            </w:pPr>
            <w:r>
              <w:rPr>
                <w:color w:val="000000"/>
                <w:sz w:val="15"/>
                <w:szCs w:val="15"/>
              </w:rPr>
              <w:t>Twelve are technological, thirteen are arrangements between institutions, nine are part of each</w:t>
            </w:r>
          </w:p>
        </w:tc>
        <w:tc>
          <w:tcPr>
            <w:tcW w:w="7725" w:type="dxa"/>
            <w:tcBorders>
              <w:top w:val="single" w:sz="4" w:space="0" w:color="BFBFBF"/>
              <w:left w:val="single" w:sz="4" w:space="0" w:color="BFBFBF"/>
              <w:bottom w:val="single" w:sz="4" w:space="0" w:color="BFBFBF"/>
              <w:right w:val="single" w:sz="4" w:space="0" w:color="BFBFBF"/>
            </w:tcBorders>
          </w:tcPr>
          <w:p w14:paraId="734E2679" w14:textId="77777777" w:rsidR="00FE13A4" w:rsidRDefault="00000000">
            <w:pPr>
              <w:spacing w:after="6"/>
            </w:pPr>
            <w:r>
              <w:rPr>
                <w:color w:val="000000"/>
                <w:sz w:val="15"/>
                <w:szCs w:val="15"/>
              </w:rPr>
              <w:t>Two-thirds of what the region has built cannot be acquired through a procurement. They are agreements, protocols and standing arrangements, which is what a coordination centre is equipped to create</w:t>
            </w:r>
          </w:p>
        </w:tc>
      </w:tr>
      <w:tr w:rsidR="00FE13A4" w14:paraId="2A442DE5"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279914EC" w14:textId="77777777" w:rsidR="00FE13A4" w:rsidRDefault="00000000">
            <w:pPr>
              <w:spacing w:after="6"/>
            </w:pPr>
            <w:r>
              <w:rPr>
                <w:color w:val="000000"/>
                <w:sz w:val="15"/>
                <w:szCs w:val="15"/>
              </w:rPr>
              <w:t>Twelve of the sixteen Member States are represented in at least one evidence stream</w:t>
            </w:r>
          </w:p>
        </w:tc>
        <w:tc>
          <w:tcPr>
            <w:tcW w:w="7725" w:type="dxa"/>
            <w:tcBorders>
              <w:top w:val="single" w:sz="4" w:space="0" w:color="BFBFBF"/>
              <w:left w:val="single" w:sz="4" w:space="0" w:color="BFBFBF"/>
              <w:bottom w:val="single" w:sz="4" w:space="0" w:color="BFBFBF"/>
              <w:right w:val="single" w:sz="4" w:space="0" w:color="BFBFBF"/>
            </w:tcBorders>
          </w:tcPr>
          <w:p w14:paraId="36C47834" w14:textId="77777777" w:rsidR="00FE13A4" w:rsidRDefault="00000000">
            <w:pPr>
              <w:spacing w:after="6"/>
            </w:pPr>
            <w:r>
              <w:rPr>
                <w:color w:val="000000"/>
                <w:sz w:val="15"/>
                <w:szCs w:val="15"/>
              </w:rPr>
              <w:t>The picture is regional rather than anecdotal. Four Member States are not represented and that limit is stated rather than smoothed over</w:t>
            </w:r>
          </w:p>
        </w:tc>
      </w:tr>
      <w:tr w:rsidR="00FE13A4" w14:paraId="3E0F7B1B"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14A17D37" w14:textId="77777777" w:rsidR="00FE13A4" w:rsidRDefault="00000000">
            <w:pPr>
              <w:spacing w:after="6"/>
            </w:pPr>
            <w:r>
              <w:rPr>
                <w:color w:val="000000"/>
                <w:sz w:val="15"/>
                <w:szCs w:val="15"/>
              </w:rPr>
              <w:t>Innovation inside each pillar is comparatively healthy; the system fails between the pillars</w:t>
            </w:r>
          </w:p>
        </w:tc>
        <w:tc>
          <w:tcPr>
            <w:tcW w:w="7725" w:type="dxa"/>
            <w:tcBorders>
              <w:top w:val="single" w:sz="4" w:space="0" w:color="BFBFBF"/>
              <w:left w:val="single" w:sz="4" w:space="0" w:color="BFBFBF"/>
              <w:bottom w:val="single" w:sz="4" w:space="0" w:color="BFBFBF"/>
              <w:right w:val="single" w:sz="4" w:space="0" w:color="BFBFBF"/>
            </w:tcBorders>
          </w:tcPr>
          <w:p w14:paraId="124D645A" w14:textId="77777777" w:rsidR="00FE13A4" w:rsidRDefault="00000000">
            <w:pPr>
              <w:spacing w:after="6"/>
            </w:pPr>
            <w:r>
              <w:rPr>
                <w:color w:val="000000"/>
                <w:sz w:val="15"/>
                <w:szCs w:val="15"/>
              </w:rPr>
              <w:t>SHOC sits exactly at those joints. Its mandate is the hand-off, which is where the failure is</w:t>
            </w:r>
          </w:p>
        </w:tc>
      </w:tr>
      <w:tr w:rsidR="00FE13A4" w14:paraId="1CEF47ED"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72F28D4D" w14:textId="77777777" w:rsidR="00FE13A4" w:rsidRDefault="00000000">
            <w:pPr>
              <w:spacing w:after="6"/>
            </w:pPr>
            <w:r>
              <w:rPr>
                <w:color w:val="000000"/>
                <w:sz w:val="15"/>
                <w:szCs w:val="15"/>
              </w:rPr>
              <w:t>Of thirty innovations where an inclusion determination could be made, none records provision for migrants and displaced people</w:t>
            </w:r>
          </w:p>
        </w:tc>
        <w:tc>
          <w:tcPr>
            <w:tcW w:w="7725" w:type="dxa"/>
            <w:tcBorders>
              <w:top w:val="single" w:sz="4" w:space="0" w:color="BFBFBF"/>
              <w:left w:val="single" w:sz="4" w:space="0" w:color="BFBFBF"/>
              <w:bottom w:val="single" w:sz="4" w:space="0" w:color="BFBFBF"/>
              <w:right w:val="single" w:sz="4" w:space="0" w:color="BFBFBF"/>
            </w:tcBorders>
          </w:tcPr>
          <w:p w14:paraId="5E23C2A6" w14:textId="77777777" w:rsidR="00FE13A4" w:rsidRDefault="00000000">
            <w:pPr>
              <w:spacing w:after="6"/>
            </w:pPr>
            <w:r>
              <w:rPr>
                <w:color w:val="000000"/>
                <w:sz w:val="15"/>
                <w:szCs w:val="15"/>
              </w:rPr>
              <w:t>The group most directly produced by the hazards SHOC responds to is the group no instrument currently reaches</w:t>
            </w:r>
          </w:p>
        </w:tc>
      </w:tr>
    </w:tbl>
    <w:p w14:paraId="22A71EF9" w14:textId="77777777" w:rsidR="00FE13A4" w:rsidRDefault="00000000">
      <w:pPr>
        <w:pStyle w:val="Heading2"/>
        <w:spacing w:before="160" w:after="70"/>
      </w:pPr>
      <w:bookmarkStart w:id="4" w:name="__RefHeading___Toc1808_2543505351"/>
      <w:bookmarkEnd w:id="4"/>
      <w:r>
        <w:rPr>
          <w:b/>
          <w:bCs/>
          <w:color w:val="BF9000"/>
          <w:sz w:val="20"/>
          <w:szCs w:val="20"/>
        </w:rPr>
        <w:t>1.2  The Innovation Gap Analysis: what is missing</w:t>
      </w:r>
    </w:p>
    <w:p w14:paraId="005C0210" w14:textId="77777777" w:rsidR="00FE13A4" w:rsidRDefault="00000000">
      <w:pPr>
        <w:spacing w:after="100" w:line="264" w:lineRule="auto"/>
        <w:jc w:val="both"/>
      </w:pPr>
      <w:r>
        <w:rPr>
          <w:color w:val="000000"/>
        </w:rPr>
        <w:t>The Innovation Gap Analysis turned that stock of innovation into a diagnosis. It examined the functions no institution in the region reliably performs, why those absences persist, and where in the chain from warning to action the system fails. This is the analysis every instrument in this Programme was selected against.</w:t>
      </w:r>
    </w:p>
    <w:p w14:paraId="64C7DDDA" w14:textId="77777777" w:rsidR="00FE13A4" w:rsidRDefault="00000000">
      <w:pPr>
        <w:spacing w:before="90" w:after="40"/>
        <w:jc w:val="center"/>
      </w:pPr>
      <w:r>
        <w:rPr>
          <w:noProof/>
        </w:rPr>
        <w:lastRenderedPageBreak/>
        <w:drawing>
          <wp:inline distT="0" distB="0" distL="0" distR="0" wp14:anchorId="00F3ABE3" wp14:editId="1F15E627">
            <wp:extent cx="4762500" cy="2676525"/>
            <wp:effectExtent l="0" t="0" r="0" b="0"/>
            <wp:docPr id="2" name="Picture 26966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9666363"/>
                    <pic:cNvPicPr>
                      <a:picLocks noChangeAspect="1" noChangeArrowheads="1"/>
                    </pic:cNvPicPr>
                  </pic:nvPicPr>
                  <pic:blipFill>
                    <a:blip r:embed="rId7"/>
                    <a:stretch>
                      <a:fillRect/>
                    </a:stretch>
                  </pic:blipFill>
                  <pic:spPr bwMode="auto">
                    <a:xfrm>
                      <a:off x="0" y="0"/>
                      <a:ext cx="4762500" cy="2676525"/>
                    </a:xfrm>
                    <a:prstGeom prst="rect">
                      <a:avLst/>
                    </a:prstGeom>
                  </pic:spPr>
                </pic:pic>
              </a:graphicData>
            </a:graphic>
          </wp:inline>
        </w:drawing>
      </w:r>
    </w:p>
    <w:p w14:paraId="6296DD52" w14:textId="77777777" w:rsidR="00FE13A4" w:rsidRDefault="00000000">
      <w:pPr>
        <w:spacing w:after="110"/>
        <w:jc w:val="center"/>
      </w:pPr>
      <w:r>
        <w:rPr>
          <w:i/>
          <w:iCs/>
          <w:color w:val="595959"/>
          <w:sz w:val="15"/>
          <w:szCs w:val="15"/>
        </w:rPr>
        <w:t>Figure 2  ·  The Innovation Gap Analysis: eight underlying causes, sixteen missing functions, five breaks in the chain</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200"/>
        <w:gridCol w:w="3398"/>
        <w:gridCol w:w="4728"/>
      </w:tblGrid>
      <w:tr w:rsidR="00FE13A4" w14:paraId="295FE941"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50B574F2" w14:textId="77777777" w:rsidR="00FE13A4" w:rsidRDefault="00000000">
            <w:pPr>
              <w:spacing w:after="6"/>
            </w:pPr>
            <w:r>
              <w:rPr>
                <w:b/>
                <w:bCs/>
                <w:color w:val="FFFFFF"/>
                <w:sz w:val="15"/>
                <w:szCs w:val="15"/>
              </w:rPr>
              <w:t>Innovation Gap Analysis finding</w:t>
            </w:r>
          </w:p>
        </w:tc>
        <w:tc>
          <w:tcPr>
            <w:tcW w:w="3398" w:type="dxa"/>
            <w:tcBorders>
              <w:top w:val="single" w:sz="4" w:space="0" w:color="BFBFBF"/>
              <w:left w:val="single" w:sz="4" w:space="0" w:color="BFBFBF"/>
              <w:bottom w:val="single" w:sz="4" w:space="0" w:color="BFBFBF"/>
              <w:right w:val="single" w:sz="4" w:space="0" w:color="BFBFBF"/>
            </w:tcBorders>
            <w:shd w:val="clear" w:color="auto" w:fill="1F3864"/>
          </w:tcPr>
          <w:p w14:paraId="5C543FCE" w14:textId="77777777" w:rsidR="00FE13A4" w:rsidRDefault="00000000">
            <w:pPr>
              <w:spacing w:after="6"/>
            </w:pPr>
            <w:r>
              <w:rPr>
                <w:b/>
                <w:bCs/>
                <w:color w:val="FFFFFF"/>
                <w:sz w:val="15"/>
                <w:szCs w:val="15"/>
              </w:rPr>
              <w:t>Composition</w:t>
            </w:r>
          </w:p>
        </w:tc>
        <w:tc>
          <w:tcPr>
            <w:tcW w:w="4728" w:type="dxa"/>
            <w:tcBorders>
              <w:top w:val="single" w:sz="4" w:space="0" w:color="BFBFBF"/>
              <w:left w:val="single" w:sz="4" w:space="0" w:color="BFBFBF"/>
              <w:bottom w:val="single" w:sz="4" w:space="0" w:color="BFBFBF"/>
              <w:right w:val="single" w:sz="4" w:space="0" w:color="BFBFBF"/>
            </w:tcBorders>
            <w:shd w:val="clear" w:color="auto" w:fill="1F3864"/>
          </w:tcPr>
          <w:p w14:paraId="27209E26" w14:textId="77777777" w:rsidR="00FE13A4" w:rsidRDefault="00000000">
            <w:pPr>
              <w:spacing w:after="6"/>
            </w:pPr>
            <w:r>
              <w:rPr>
                <w:b/>
                <w:bCs/>
                <w:color w:val="FFFFFF"/>
                <w:sz w:val="15"/>
                <w:szCs w:val="15"/>
              </w:rPr>
              <w:t>What follows from it</w:t>
            </w:r>
          </w:p>
        </w:tc>
      </w:tr>
      <w:tr w:rsidR="00FE13A4" w14:paraId="1AA3C014"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5F842719" w14:textId="77777777" w:rsidR="00FE13A4" w:rsidRDefault="00000000">
            <w:pPr>
              <w:spacing w:after="6"/>
            </w:pPr>
            <w:r>
              <w:rPr>
                <w:color w:val="000000"/>
                <w:sz w:val="15"/>
                <w:szCs w:val="15"/>
              </w:rPr>
              <w:t>Sixteen functions exist that no institution in the region reliably performs</w:t>
            </w:r>
          </w:p>
        </w:tc>
        <w:tc>
          <w:tcPr>
            <w:tcW w:w="3398" w:type="dxa"/>
            <w:tcBorders>
              <w:top w:val="single" w:sz="4" w:space="0" w:color="BFBFBF"/>
              <w:left w:val="single" w:sz="4" w:space="0" w:color="BFBFBF"/>
              <w:bottom w:val="single" w:sz="4" w:space="0" w:color="BFBFBF"/>
              <w:right w:val="single" w:sz="4" w:space="0" w:color="BFBFBF"/>
            </w:tcBorders>
          </w:tcPr>
          <w:p w14:paraId="6BDCC4AB" w14:textId="77777777" w:rsidR="00FE13A4" w:rsidRDefault="00000000">
            <w:pPr>
              <w:spacing w:after="6"/>
            </w:pPr>
            <w:r>
              <w:rPr>
                <w:color w:val="000000"/>
                <w:sz w:val="15"/>
                <w:szCs w:val="15"/>
              </w:rPr>
              <w:t>Ten concern authority, agreement and accountability; three concern money; three concern reach</w:t>
            </w:r>
          </w:p>
        </w:tc>
        <w:tc>
          <w:tcPr>
            <w:tcW w:w="4728" w:type="dxa"/>
            <w:tcBorders>
              <w:top w:val="single" w:sz="4" w:space="0" w:color="BFBFBF"/>
              <w:left w:val="single" w:sz="4" w:space="0" w:color="BFBFBF"/>
              <w:bottom w:val="single" w:sz="4" w:space="0" w:color="BFBFBF"/>
              <w:right w:val="single" w:sz="4" w:space="0" w:color="BFBFBF"/>
            </w:tcBorders>
          </w:tcPr>
          <w:p w14:paraId="0F71C51E" w14:textId="77777777" w:rsidR="00FE13A4" w:rsidRDefault="00000000">
            <w:pPr>
              <w:spacing w:after="6"/>
            </w:pPr>
            <w:r>
              <w:rPr>
                <w:color w:val="000000"/>
                <w:sz w:val="15"/>
                <w:szCs w:val="15"/>
              </w:rPr>
              <w:t>No missing function is closed by acquiring a technology the region does not have. This single finding is why the Programme places arrangements ahead of equipment</w:t>
            </w:r>
          </w:p>
        </w:tc>
      </w:tr>
      <w:tr w:rsidR="00FE13A4" w14:paraId="3BFD6BD6"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170C913D" w14:textId="77777777" w:rsidR="00FE13A4" w:rsidRDefault="00000000">
            <w:pPr>
              <w:spacing w:after="6"/>
            </w:pPr>
            <w:r>
              <w:rPr>
                <w:color w:val="000000"/>
                <w:sz w:val="15"/>
                <w:szCs w:val="15"/>
              </w:rPr>
              <w:t>Eight underlying causes</w:t>
            </w:r>
          </w:p>
        </w:tc>
        <w:tc>
          <w:tcPr>
            <w:tcW w:w="3398" w:type="dxa"/>
            <w:tcBorders>
              <w:top w:val="single" w:sz="4" w:space="0" w:color="BFBFBF"/>
              <w:left w:val="single" w:sz="4" w:space="0" w:color="BFBFBF"/>
              <w:bottom w:val="single" w:sz="4" w:space="0" w:color="BFBFBF"/>
              <w:right w:val="single" w:sz="4" w:space="0" w:color="BFBFBF"/>
            </w:tcBorders>
          </w:tcPr>
          <w:p w14:paraId="582CA00F" w14:textId="77777777" w:rsidR="00FE13A4" w:rsidRDefault="00000000">
            <w:pPr>
              <w:spacing w:after="6"/>
            </w:pPr>
            <w:r>
              <w:rPr>
                <w:color w:val="000000"/>
                <w:sz w:val="15"/>
                <w:szCs w:val="15"/>
              </w:rPr>
              <w:t>Structural, needing a change in law, mandate or budget; coordination failures, where nothing obliges anyone to document or to decide who an instrument is for; and features of the wider environment, being how financing is shaped and where technical capability sits</w:t>
            </w:r>
          </w:p>
        </w:tc>
        <w:tc>
          <w:tcPr>
            <w:tcW w:w="4728" w:type="dxa"/>
            <w:tcBorders>
              <w:top w:val="single" w:sz="4" w:space="0" w:color="BFBFBF"/>
              <w:left w:val="single" w:sz="4" w:space="0" w:color="BFBFBF"/>
              <w:bottom w:val="single" w:sz="4" w:space="0" w:color="BFBFBF"/>
              <w:right w:val="single" w:sz="4" w:space="0" w:color="BFBFBF"/>
            </w:tcBorders>
          </w:tcPr>
          <w:p w14:paraId="4305438E" w14:textId="77777777" w:rsidR="00FE13A4" w:rsidRDefault="00000000">
            <w:pPr>
              <w:spacing w:after="6"/>
            </w:pPr>
            <w:r>
              <w:rPr>
                <w:color w:val="000000"/>
                <w:sz w:val="15"/>
                <w:szCs w:val="15"/>
              </w:rPr>
              <w:t>Most of the causes are institutional, which means they are correctable by agreement rather than by expenditure — and correctable at a fraction of the cost of the technology they currently block</w:t>
            </w:r>
          </w:p>
        </w:tc>
      </w:tr>
      <w:tr w:rsidR="00FE13A4" w14:paraId="384A24B2"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041ED500" w14:textId="77777777" w:rsidR="00FE13A4" w:rsidRDefault="00000000">
            <w:pPr>
              <w:spacing w:after="6"/>
            </w:pPr>
            <w:r>
              <w:rPr>
                <w:color w:val="000000"/>
                <w:sz w:val="15"/>
                <w:szCs w:val="15"/>
              </w:rPr>
              <w:t>Five breaks in the chain from warning to action</w:t>
            </w:r>
          </w:p>
        </w:tc>
        <w:tc>
          <w:tcPr>
            <w:tcW w:w="3398" w:type="dxa"/>
            <w:tcBorders>
              <w:top w:val="single" w:sz="4" w:space="0" w:color="BFBFBF"/>
              <w:left w:val="single" w:sz="4" w:space="0" w:color="BFBFBF"/>
              <w:bottom w:val="single" w:sz="4" w:space="0" w:color="BFBFBF"/>
              <w:right w:val="single" w:sz="4" w:space="0" w:color="BFBFBF"/>
            </w:tcBorders>
          </w:tcPr>
          <w:p w14:paraId="2DDE15D3" w14:textId="77777777" w:rsidR="00FE13A4" w:rsidRDefault="00000000">
            <w:pPr>
              <w:spacing w:after="6"/>
            </w:pPr>
            <w:r>
              <w:rPr>
                <w:color w:val="000000"/>
                <w:sz w:val="15"/>
                <w:szCs w:val="15"/>
              </w:rPr>
              <w:t>Risk information becoming a decision; a decision releasing finance; finance reaching a household; delivery becoming learning; and the verification that a warning produced an action</w:t>
            </w:r>
          </w:p>
        </w:tc>
        <w:tc>
          <w:tcPr>
            <w:tcW w:w="4728" w:type="dxa"/>
            <w:tcBorders>
              <w:top w:val="single" w:sz="4" w:space="0" w:color="BFBFBF"/>
              <w:left w:val="single" w:sz="4" w:space="0" w:color="BFBFBF"/>
              <w:bottom w:val="single" w:sz="4" w:space="0" w:color="BFBFBF"/>
              <w:right w:val="single" w:sz="4" w:space="0" w:color="BFBFBF"/>
            </w:tcBorders>
          </w:tcPr>
          <w:p w14:paraId="3BF81BAA" w14:textId="77777777" w:rsidR="00FE13A4" w:rsidRDefault="00000000">
            <w:pPr>
              <w:spacing w:after="6"/>
            </w:pPr>
            <w:r>
              <w:rPr>
                <w:color w:val="000000"/>
                <w:sz w:val="15"/>
                <w:szCs w:val="15"/>
              </w:rPr>
              <w:t>All five are open, and all five stay open for the same reason: the arrangements that would close them reach no household directly and are therefore never prioritised in any ranking</w:t>
            </w:r>
          </w:p>
        </w:tc>
      </w:tr>
    </w:tbl>
    <w:p w14:paraId="19FDAAF1" w14:textId="7BDA0A65" w:rsidR="00FE13A4" w:rsidRPr="00404224" w:rsidRDefault="00000000" w:rsidP="00404224">
      <w:pPr>
        <w:pStyle w:val="Heading2"/>
        <w:spacing w:before="160" w:after="70"/>
        <w:rPr>
          <w:b/>
          <w:bCs/>
          <w:color w:val="BF9000"/>
          <w:sz w:val="20"/>
          <w:szCs w:val="20"/>
        </w:rPr>
      </w:pPr>
      <w:bookmarkStart w:id="5" w:name="__RefHeading___Toc1810_2543505351"/>
      <w:bookmarkEnd w:id="5"/>
      <w:r>
        <w:rPr>
          <w:b/>
          <w:bCs/>
          <w:color w:val="BF9000"/>
          <w:sz w:val="20"/>
          <w:szCs w:val="20"/>
        </w:rPr>
        <w:t>1.3  What the two together establish, and what they do not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3400"/>
        <w:gridCol w:w="6926"/>
      </w:tblGrid>
      <w:tr w:rsidR="00FE13A4" w14:paraId="5BE924CD"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Pr>
          <w:p w14:paraId="3393AA08" w14:textId="77777777" w:rsidR="00FE13A4" w:rsidRDefault="00000000">
            <w:pPr>
              <w:spacing w:after="6"/>
            </w:pPr>
            <w:r>
              <w:rPr>
                <w:b/>
                <w:bCs/>
                <w:color w:val="FFFFFF"/>
                <w:sz w:val="15"/>
                <w:szCs w:val="15"/>
              </w:rPr>
              <w:t>Established by the two deliverables</w:t>
            </w:r>
          </w:p>
        </w:tc>
        <w:tc>
          <w:tcPr>
            <w:tcW w:w="6925" w:type="dxa"/>
            <w:tcBorders>
              <w:top w:val="single" w:sz="4" w:space="0" w:color="BFBFBF"/>
              <w:left w:val="single" w:sz="4" w:space="0" w:color="BFBFBF"/>
              <w:bottom w:val="single" w:sz="4" w:space="0" w:color="BFBFBF"/>
              <w:right w:val="single" w:sz="4" w:space="0" w:color="BFBFBF"/>
            </w:tcBorders>
            <w:shd w:val="clear" w:color="auto" w:fill="1F3864"/>
          </w:tcPr>
          <w:p w14:paraId="42EEBD83" w14:textId="77777777" w:rsidR="00FE13A4" w:rsidRDefault="00000000">
            <w:pPr>
              <w:spacing w:after="6"/>
            </w:pPr>
            <w:r>
              <w:rPr>
                <w:b/>
                <w:bCs/>
                <w:color w:val="FFFFFF"/>
                <w:sz w:val="15"/>
                <w:szCs w:val="15"/>
              </w:rPr>
              <w:t>Not established, and therefore open</w:t>
            </w:r>
          </w:p>
        </w:tc>
      </w:tr>
      <w:tr w:rsidR="00FE13A4" w14:paraId="055872C4"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1A35C0FD" w14:textId="77777777" w:rsidR="00FE13A4" w:rsidRDefault="00000000">
            <w:pPr>
              <w:spacing w:after="6"/>
            </w:pPr>
            <w:r>
              <w:rPr>
                <w:color w:val="000000"/>
                <w:sz w:val="15"/>
                <w:szCs w:val="15"/>
              </w:rPr>
              <w:t>The region has no shortage of innovations. Thirty-four are operating or piloted</w:t>
            </w:r>
          </w:p>
        </w:tc>
        <w:tc>
          <w:tcPr>
            <w:tcW w:w="6925" w:type="dxa"/>
            <w:tcBorders>
              <w:top w:val="single" w:sz="4" w:space="0" w:color="BFBFBF"/>
              <w:left w:val="single" w:sz="4" w:space="0" w:color="BFBFBF"/>
              <w:bottom w:val="single" w:sz="4" w:space="0" w:color="BFBFBF"/>
              <w:right w:val="single" w:sz="4" w:space="0" w:color="BFBFBF"/>
            </w:tcBorders>
          </w:tcPr>
          <w:p w14:paraId="1B396EB2" w14:textId="77777777" w:rsidR="00FE13A4" w:rsidRDefault="00000000">
            <w:pPr>
              <w:spacing w:after="6"/>
            </w:pPr>
            <w:r>
              <w:rPr>
                <w:color w:val="000000"/>
                <w:sz w:val="15"/>
                <w:szCs w:val="15"/>
              </w:rPr>
              <w:t>Whether integrating them under common procedure changes regional performance. That is the hypothesis at section 5, and it is a claim rather than a finding</w:t>
            </w:r>
          </w:p>
        </w:tc>
      </w:tr>
      <w:tr w:rsidR="00FE13A4" w14:paraId="0FBEB7C3"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2D378359" w14:textId="77777777" w:rsidR="00FE13A4" w:rsidRDefault="00000000">
            <w:pPr>
              <w:spacing w:after="6"/>
            </w:pPr>
            <w:r>
              <w:rPr>
                <w:color w:val="000000"/>
                <w:sz w:val="15"/>
                <w:szCs w:val="15"/>
              </w:rPr>
              <w:t>The failures are institutional, at the hand-offs, not technical and not inside the pillars</w:t>
            </w:r>
          </w:p>
        </w:tc>
        <w:tc>
          <w:tcPr>
            <w:tcW w:w="6925" w:type="dxa"/>
            <w:tcBorders>
              <w:top w:val="single" w:sz="4" w:space="0" w:color="BFBFBF"/>
              <w:left w:val="single" w:sz="4" w:space="0" w:color="BFBFBF"/>
              <w:bottom w:val="single" w:sz="4" w:space="0" w:color="BFBFBF"/>
              <w:right w:val="single" w:sz="4" w:space="0" w:color="BFBFBF"/>
            </w:tcBorders>
          </w:tcPr>
          <w:p w14:paraId="45B6C55F" w14:textId="77777777" w:rsidR="00FE13A4" w:rsidRDefault="00000000">
            <w:pPr>
              <w:spacing w:after="6"/>
            </w:pPr>
            <w:r>
              <w:rPr>
                <w:color w:val="000000"/>
                <w:sz w:val="15"/>
                <w:szCs w:val="15"/>
              </w:rPr>
              <w:t>Whether SHOC can absorb integration at the pace proposed. Section 3 assesses its position; the scorecard at section 7.2 measures it</w:t>
            </w:r>
          </w:p>
        </w:tc>
      </w:tr>
      <w:tr w:rsidR="00FE13A4" w14:paraId="111B6CC4"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229C7D0C" w14:textId="77777777" w:rsidR="00FE13A4" w:rsidRDefault="00000000">
            <w:pPr>
              <w:spacing w:after="6"/>
            </w:pPr>
            <w:r>
              <w:rPr>
                <w:color w:val="000000"/>
                <w:sz w:val="15"/>
                <w:szCs w:val="15"/>
              </w:rPr>
              <w:t>No instrument reaches migrants and displaced people</w:t>
            </w:r>
          </w:p>
        </w:tc>
        <w:tc>
          <w:tcPr>
            <w:tcW w:w="6925" w:type="dxa"/>
            <w:tcBorders>
              <w:top w:val="single" w:sz="4" w:space="0" w:color="BFBFBF"/>
              <w:left w:val="single" w:sz="4" w:space="0" w:color="BFBFBF"/>
              <w:bottom w:val="single" w:sz="4" w:space="0" w:color="BFBFBF"/>
              <w:right w:val="single" w:sz="4" w:space="0" w:color="BFBFBF"/>
            </w:tcBorders>
          </w:tcPr>
          <w:p w14:paraId="6875FA97" w14:textId="77777777" w:rsidR="00FE13A4" w:rsidRDefault="00000000">
            <w:pPr>
              <w:spacing w:after="6"/>
            </w:pPr>
            <w:r>
              <w:rPr>
                <w:color w:val="000000"/>
                <w:sz w:val="15"/>
                <w:szCs w:val="15"/>
              </w:rPr>
              <w:t>What provision for that group would cost or require. It is a design task, scheduled before scale-up</w:t>
            </w:r>
          </w:p>
        </w:tc>
      </w:tr>
      <w:tr w:rsidR="00FE13A4" w14:paraId="11ECE1DD"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642862FC" w14:textId="77777777" w:rsidR="00FE13A4" w:rsidRDefault="00000000">
            <w:pPr>
              <w:spacing w:after="6"/>
            </w:pPr>
            <w:r>
              <w:rPr>
                <w:color w:val="000000"/>
                <w:sz w:val="15"/>
                <w:szCs w:val="15"/>
              </w:rPr>
              <w:t>Nothing in the evidence records a cost for any innovation</w:t>
            </w:r>
          </w:p>
        </w:tc>
        <w:tc>
          <w:tcPr>
            <w:tcW w:w="6925" w:type="dxa"/>
            <w:tcBorders>
              <w:top w:val="single" w:sz="4" w:space="0" w:color="BFBFBF"/>
              <w:left w:val="single" w:sz="4" w:space="0" w:color="BFBFBF"/>
              <w:bottom w:val="single" w:sz="4" w:space="0" w:color="BFBFBF"/>
              <w:right w:val="single" w:sz="4" w:space="0" w:color="BFBFBF"/>
            </w:tcBorders>
          </w:tcPr>
          <w:p w14:paraId="7C6A37D5" w14:textId="77777777" w:rsidR="00FE13A4" w:rsidRDefault="00000000">
            <w:pPr>
              <w:spacing w:after="6"/>
            </w:pPr>
            <w:r>
              <w:rPr>
                <w:color w:val="000000"/>
                <w:sz w:val="15"/>
                <w:szCs w:val="15"/>
              </w:rPr>
              <w:t>What the regional programme costs in full. Section 9 states what can be costed today and what cannot</w:t>
            </w:r>
          </w:p>
        </w:tc>
      </w:tr>
    </w:tbl>
    <w:p w14:paraId="47A19BF3" w14:textId="77777777" w:rsidR="00FE13A4" w:rsidRDefault="00000000">
      <w:pPr>
        <w:spacing w:after="100" w:line="264" w:lineRule="auto"/>
        <w:jc w:val="both"/>
      </w:pPr>
      <w:r>
        <w:rPr>
          <w:b/>
          <w:bCs/>
          <w:color w:val="000000"/>
        </w:rPr>
        <w:t xml:space="preserve">The distinction between the two columns is the discipline of this document. </w:t>
      </w:r>
      <w:r>
        <w:rPr>
          <w:color w:val="000000"/>
        </w:rPr>
        <w:t>What the Landscape Assessment and the Innovation Gap Analysis established is reported as finding. What follows from it is argued as proposition and tested by the logic model at section 6. The Programme does not present the second as though it were the first.</w:t>
      </w:r>
    </w:p>
    <w:p w14:paraId="1DE889C1" w14:textId="77777777" w:rsidR="00FE13A4" w:rsidRDefault="00000000">
      <w:pPr>
        <w:pStyle w:val="Heading1"/>
        <w:spacing w:before="210" w:after="90"/>
      </w:pPr>
      <w:bookmarkStart w:id="6" w:name="__RefHeading___Toc1812_2543505351"/>
      <w:bookmarkEnd w:id="6"/>
      <w:r>
        <w:rPr>
          <w:b/>
          <w:bCs/>
          <w:color w:val="1F3864"/>
          <w:sz w:val="24"/>
          <w:szCs w:val="24"/>
        </w:rPr>
        <w:t>2.  The regional mandate, and what it permits</w:t>
      </w:r>
    </w:p>
    <w:p w14:paraId="7CF967BC" w14:textId="77777777" w:rsidR="00FE13A4" w:rsidRDefault="00000000">
      <w:pPr>
        <w:spacing w:after="100" w:line="264" w:lineRule="auto"/>
        <w:jc w:val="both"/>
      </w:pPr>
      <w:r>
        <w:rPr>
          <w:b/>
          <w:bCs/>
          <w:color w:val="000000"/>
        </w:rPr>
        <w:t xml:space="preserve">This section highlights what the Community is actually authorised to do, so the mandate is set out before the proposition rather than after it. </w:t>
      </w:r>
      <w:r>
        <w:rPr>
          <w:color w:val="000000"/>
        </w:rPr>
        <w:t>It is not a formality. The hypothesis in section 5 indicates that integration under common procedure will change how the region performs, and the strength of that claim depends entirely on whether the Community may lawfully integrate it. It may — but not by command, and the distinction shapes the whole Programme.</w:t>
      </w:r>
    </w:p>
    <w:p w14:paraId="070D8119" w14:textId="77777777" w:rsidR="00FE13A4" w:rsidRDefault="00000000">
      <w:pPr>
        <w:spacing w:before="90" w:after="40"/>
        <w:jc w:val="center"/>
      </w:pPr>
      <w:r>
        <w:rPr>
          <w:noProof/>
        </w:rPr>
        <w:lastRenderedPageBreak/>
        <w:drawing>
          <wp:inline distT="0" distB="0" distL="0" distR="0" wp14:anchorId="262B32F9" wp14:editId="624F4067">
            <wp:extent cx="5334000" cy="4533900"/>
            <wp:effectExtent l="0" t="0" r="0" b="0"/>
            <wp:docPr id="3" name="Picture 12916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9169897"/>
                    <pic:cNvPicPr>
                      <a:picLocks noChangeAspect="1" noChangeArrowheads="1"/>
                    </pic:cNvPicPr>
                  </pic:nvPicPr>
                  <pic:blipFill>
                    <a:blip r:embed="rId8"/>
                    <a:stretch>
                      <a:fillRect/>
                    </a:stretch>
                  </pic:blipFill>
                  <pic:spPr bwMode="auto">
                    <a:xfrm>
                      <a:off x="0" y="0"/>
                      <a:ext cx="5334000" cy="4533900"/>
                    </a:xfrm>
                    <a:prstGeom prst="rect">
                      <a:avLst/>
                    </a:prstGeom>
                  </pic:spPr>
                </pic:pic>
              </a:graphicData>
            </a:graphic>
          </wp:inline>
        </w:drawing>
      </w:r>
    </w:p>
    <w:p w14:paraId="1C2B847A" w14:textId="78E1AAC3" w:rsidR="00FE13A4" w:rsidRPr="00404224" w:rsidRDefault="00000000" w:rsidP="00404224">
      <w:pPr>
        <w:spacing w:after="110"/>
        <w:jc w:val="center"/>
      </w:pPr>
      <w:r>
        <w:rPr>
          <w:i/>
          <w:iCs/>
          <w:color w:val="595959"/>
          <w:sz w:val="15"/>
          <w:szCs w:val="15"/>
        </w:rPr>
        <w:t>Figure 3  ·  The regional mandate: what binds, what directs, what acts, and where it stops</w:t>
      </w:r>
    </w:p>
    <w:p w14:paraId="4C85F2DE" w14:textId="77777777" w:rsidR="00FE13A4" w:rsidRDefault="00000000">
      <w:pPr>
        <w:pStyle w:val="Heading2"/>
        <w:spacing w:before="160" w:after="70"/>
      </w:pPr>
      <w:bookmarkStart w:id="7" w:name="__RefHeading___Toc1814_2543505351"/>
      <w:bookmarkEnd w:id="7"/>
      <w:r>
        <w:rPr>
          <w:b/>
          <w:bCs/>
          <w:color w:val="BF9000"/>
          <w:sz w:val="20"/>
          <w:szCs w:val="20"/>
        </w:rPr>
        <w:t>2.1  How the mandate is assembled</w:t>
      </w:r>
    </w:p>
    <w:p w14:paraId="49C3117B" w14:textId="77777777" w:rsidR="00FE13A4" w:rsidRDefault="00000000">
      <w:pPr>
        <w:spacing w:after="100" w:line="264" w:lineRule="auto"/>
        <w:jc w:val="both"/>
      </w:pPr>
      <w:r>
        <w:rPr>
          <w:b/>
          <w:bCs/>
          <w:color w:val="000000"/>
        </w:rPr>
        <w:t xml:space="preserve">There is no protocol on disaster risk management. </w:t>
      </w:r>
      <w:r>
        <w:rPr>
          <w:color w:val="000000"/>
        </w:rPr>
        <w:t>The Community states this itself, and it is the single most important fact about the authority this Programme operates under. Regional authority in this field is assembled from several instruments rather than granted by one, and a programme that implies otherwise is describing an authority that does not exist.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398"/>
        <w:gridCol w:w="4600"/>
        <w:gridCol w:w="3328"/>
      </w:tblGrid>
      <w:tr w:rsidR="00FE13A4" w14:paraId="727D7C06" w14:textId="77777777">
        <w:trPr>
          <w:cantSplit/>
          <w:tblHeader/>
        </w:trPr>
        <w:tc>
          <w:tcPr>
            <w:tcW w:w="2398" w:type="dxa"/>
            <w:tcBorders>
              <w:top w:val="single" w:sz="4" w:space="0" w:color="BFBFBF"/>
              <w:left w:val="single" w:sz="4" w:space="0" w:color="BFBFBF"/>
              <w:bottom w:val="single" w:sz="4" w:space="0" w:color="BFBFBF"/>
              <w:right w:val="single" w:sz="4" w:space="0" w:color="BFBFBF"/>
            </w:tcBorders>
            <w:shd w:val="clear" w:color="auto" w:fill="1F3864"/>
          </w:tcPr>
          <w:p w14:paraId="5B826590" w14:textId="77777777" w:rsidR="00FE13A4" w:rsidRDefault="00000000">
            <w:pPr>
              <w:spacing w:after="6"/>
            </w:pPr>
            <w:r>
              <w:rPr>
                <w:b/>
                <w:bCs/>
                <w:color w:val="FFFFFF"/>
                <w:sz w:val="15"/>
                <w:szCs w:val="15"/>
              </w:rPr>
              <w:t>Layer</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347F22E6" w14:textId="77777777" w:rsidR="00FE13A4" w:rsidRDefault="00000000">
            <w:pPr>
              <w:spacing w:after="6"/>
            </w:pPr>
            <w:r>
              <w:rPr>
                <w:b/>
                <w:bCs/>
                <w:color w:val="FFFFFF"/>
                <w:sz w:val="15"/>
                <w:szCs w:val="15"/>
              </w:rPr>
              <w:t>What it provides</w:t>
            </w:r>
          </w:p>
        </w:tc>
        <w:tc>
          <w:tcPr>
            <w:tcW w:w="3328" w:type="dxa"/>
            <w:tcBorders>
              <w:top w:val="single" w:sz="4" w:space="0" w:color="BFBFBF"/>
              <w:left w:val="single" w:sz="4" w:space="0" w:color="BFBFBF"/>
              <w:bottom w:val="single" w:sz="4" w:space="0" w:color="BFBFBF"/>
              <w:right w:val="single" w:sz="4" w:space="0" w:color="BFBFBF"/>
            </w:tcBorders>
            <w:shd w:val="clear" w:color="auto" w:fill="1F3864"/>
          </w:tcPr>
          <w:p w14:paraId="0C6AA661" w14:textId="77777777" w:rsidR="00FE13A4" w:rsidRDefault="00000000">
            <w:pPr>
              <w:spacing w:after="6"/>
            </w:pPr>
            <w:r>
              <w:rPr>
                <w:b/>
                <w:bCs/>
                <w:color w:val="FFFFFF"/>
                <w:sz w:val="15"/>
                <w:szCs w:val="15"/>
              </w:rPr>
              <w:t>What it means here</w:t>
            </w:r>
          </w:p>
        </w:tc>
      </w:tr>
      <w:tr w:rsidR="00FE13A4" w14:paraId="62DD4AC6"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530BF980" w14:textId="77777777" w:rsidR="00FE13A4" w:rsidRDefault="00000000">
            <w:pPr>
              <w:spacing w:after="6"/>
            </w:pPr>
            <w:r>
              <w:rPr>
                <w:color w:val="000000"/>
                <w:sz w:val="15"/>
                <w:szCs w:val="15"/>
              </w:rPr>
              <w:t>What binds: sectoral protocols</w:t>
            </w:r>
          </w:p>
        </w:tc>
        <w:tc>
          <w:tcPr>
            <w:tcW w:w="4600" w:type="dxa"/>
            <w:tcBorders>
              <w:top w:val="single" w:sz="4" w:space="0" w:color="BFBFBF"/>
              <w:left w:val="single" w:sz="4" w:space="0" w:color="BFBFBF"/>
              <w:bottom w:val="single" w:sz="4" w:space="0" w:color="BFBFBF"/>
              <w:right w:val="single" w:sz="4" w:space="0" w:color="BFBFBF"/>
            </w:tcBorders>
          </w:tcPr>
          <w:p w14:paraId="0D6F7EFE" w14:textId="77777777" w:rsidR="00FE13A4" w:rsidRDefault="00000000">
            <w:pPr>
              <w:spacing w:after="6"/>
            </w:pPr>
            <w:r>
              <w:rPr>
                <w:color w:val="000000"/>
                <w:sz w:val="15"/>
                <w:szCs w:val="15"/>
              </w:rPr>
              <w:t>The Protocol on Health, at Article 25, obliges Parties to cooperate in the coordination and management of disasters and to collaborate on regional awareness, risk reduction, preparedness and management plans. The Protocol on Politics, Defence and Security Cooperation, at Article 2, makes regional capacity in disaster management and the coordination of humanitarian assistance an objective of the Organ. The Protocol on Transport, Communications and Meteorology supports cooperation in the two sectors most of these instruments run on</w:t>
            </w:r>
          </w:p>
        </w:tc>
        <w:tc>
          <w:tcPr>
            <w:tcW w:w="3328" w:type="dxa"/>
            <w:tcBorders>
              <w:top w:val="single" w:sz="4" w:space="0" w:color="BFBFBF"/>
              <w:left w:val="single" w:sz="4" w:space="0" w:color="BFBFBF"/>
              <w:bottom w:val="single" w:sz="4" w:space="0" w:color="BFBFBF"/>
              <w:right w:val="single" w:sz="4" w:space="0" w:color="BFBFBF"/>
            </w:tcBorders>
          </w:tcPr>
          <w:p w14:paraId="09678170" w14:textId="77777777" w:rsidR="00FE13A4" w:rsidRDefault="00000000">
            <w:pPr>
              <w:spacing w:after="6"/>
            </w:pPr>
            <w:r>
              <w:rPr>
                <w:color w:val="000000"/>
                <w:sz w:val="15"/>
                <w:szCs w:val="15"/>
              </w:rPr>
              <w:t>This is the treaty-level obligation. Every preparedness instrument proposed here rests on the Health Protocol, and the alerting instruments rest on the communications and meteorology cooperation the third protocol supports</w:t>
            </w:r>
          </w:p>
        </w:tc>
      </w:tr>
      <w:tr w:rsidR="00FE13A4" w14:paraId="17887924"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5E8A8AC2" w14:textId="77777777" w:rsidR="00FE13A4" w:rsidRDefault="00000000">
            <w:pPr>
              <w:spacing w:after="6"/>
            </w:pPr>
            <w:r>
              <w:rPr>
                <w:color w:val="000000"/>
                <w:sz w:val="15"/>
                <w:szCs w:val="15"/>
              </w:rPr>
              <w:t>What directs: regional policy</w:t>
            </w:r>
          </w:p>
        </w:tc>
        <w:tc>
          <w:tcPr>
            <w:tcW w:w="4600" w:type="dxa"/>
            <w:tcBorders>
              <w:top w:val="single" w:sz="4" w:space="0" w:color="BFBFBF"/>
              <w:left w:val="single" w:sz="4" w:space="0" w:color="BFBFBF"/>
              <w:bottom w:val="single" w:sz="4" w:space="0" w:color="BFBFBF"/>
              <w:right w:val="single" w:sz="4" w:space="0" w:color="BFBFBF"/>
            </w:tcBorders>
          </w:tcPr>
          <w:p w14:paraId="03FA25D9" w14:textId="77777777" w:rsidR="00FE13A4" w:rsidRDefault="00000000">
            <w:pPr>
              <w:spacing w:after="6"/>
            </w:pPr>
            <w:r>
              <w:rPr>
                <w:color w:val="000000"/>
                <w:sz w:val="15"/>
                <w:szCs w:val="15"/>
              </w:rPr>
              <w:t>Vision 2050, the Regional Indicative Strategic Development Plan 2020 to 2030, and the Disaster Risk Management Strategy and Action Plan 2022 to 2030</w:t>
            </w:r>
          </w:p>
        </w:tc>
        <w:tc>
          <w:tcPr>
            <w:tcW w:w="3328" w:type="dxa"/>
            <w:tcBorders>
              <w:top w:val="single" w:sz="4" w:space="0" w:color="BFBFBF"/>
              <w:left w:val="single" w:sz="4" w:space="0" w:color="BFBFBF"/>
              <w:bottom w:val="single" w:sz="4" w:space="0" w:color="BFBFBF"/>
              <w:right w:val="single" w:sz="4" w:space="0" w:color="BFBFBF"/>
            </w:tcBorders>
          </w:tcPr>
          <w:p w14:paraId="2E8AA27E" w14:textId="77777777" w:rsidR="00FE13A4" w:rsidRDefault="00000000">
            <w:pPr>
              <w:spacing w:after="6"/>
            </w:pPr>
            <w:r>
              <w:rPr>
                <w:color w:val="000000"/>
                <w:sz w:val="15"/>
                <w:szCs w:val="15"/>
              </w:rPr>
              <w:t>Policy authority, not legal authority. It directs what the region will do; it does not by itself empower action inside a Member State</w:t>
            </w:r>
          </w:p>
        </w:tc>
      </w:tr>
      <w:tr w:rsidR="00FE13A4" w14:paraId="2E68EEA8"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699C2AD9" w14:textId="77777777" w:rsidR="00FE13A4" w:rsidRDefault="00000000">
            <w:pPr>
              <w:spacing w:after="6"/>
            </w:pPr>
            <w:r>
              <w:rPr>
                <w:color w:val="000000"/>
                <w:sz w:val="15"/>
                <w:szCs w:val="15"/>
              </w:rPr>
              <w:t>What acts: institutional mandates</w:t>
            </w:r>
          </w:p>
        </w:tc>
        <w:tc>
          <w:tcPr>
            <w:tcW w:w="4600" w:type="dxa"/>
            <w:tcBorders>
              <w:top w:val="single" w:sz="4" w:space="0" w:color="BFBFBF"/>
              <w:left w:val="single" w:sz="4" w:space="0" w:color="BFBFBF"/>
              <w:bottom w:val="single" w:sz="4" w:space="0" w:color="BFBFBF"/>
              <w:right w:val="single" w:sz="4" w:space="0" w:color="BFBFBF"/>
            </w:tcBorders>
          </w:tcPr>
          <w:p w14:paraId="2724BFB1" w14:textId="77777777" w:rsidR="00FE13A4" w:rsidRDefault="00000000">
            <w:pPr>
              <w:spacing w:after="6"/>
            </w:pPr>
            <w:r>
              <w:rPr>
                <w:color w:val="000000"/>
                <w:sz w:val="15"/>
                <w:szCs w:val="15"/>
              </w:rPr>
              <w:t>The Disaster Risk Reduction Unit is mandated to develop effective frameworks and programmes that facilitate coordination, implementation, and monitoring and evaluation, and to coordinate regional preparedness for hazards that cross borders. SHOC is mandated to coordinate regional preparedness, response and early recovery, and to facilitate the supply chain for regional responders</w:t>
            </w:r>
          </w:p>
        </w:tc>
        <w:tc>
          <w:tcPr>
            <w:tcW w:w="3328" w:type="dxa"/>
            <w:tcBorders>
              <w:top w:val="single" w:sz="4" w:space="0" w:color="BFBFBF"/>
              <w:left w:val="single" w:sz="4" w:space="0" w:color="BFBFBF"/>
              <w:bottom w:val="single" w:sz="4" w:space="0" w:color="BFBFBF"/>
              <w:right w:val="single" w:sz="4" w:space="0" w:color="BFBFBF"/>
            </w:tcBorders>
          </w:tcPr>
          <w:p w14:paraId="47DAC29D" w14:textId="77777777" w:rsidR="00FE13A4" w:rsidRDefault="00000000">
            <w:pPr>
              <w:spacing w:after="6"/>
            </w:pPr>
            <w:r>
              <w:rPr>
                <w:color w:val="000000"/>
                <w:sz w:val="15"/>
                <w:szCs w:val="15"/>
              </w:rPr>
              <w:t>This is the closest fit of all. The mandate of the Unit describes this Programme almost word for word, and the mandate of SHOC describes the operations the Programme is designed to resource</w:t>
            </w:r>
          </w:p>
        </w:tc>
      </w:tr>
      <w:tr w:rsidR="00FE13A4" w14:paraId="55DD38FD"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0A9872E9" w14:textId="77777777" w:rsidR="00FE13A4" w:rsidRDefault="00000000">
            <w:pPr>
              <w:spacing w:after="6"/>
            </w:pPr>
            <w:r>
              <w:rPr>
                <w:color w:val="000000"/>
                <w:sz w:val="15"/>
                <w:szCs w:val="15"/>
              </w:rPr>
              <w:t>Where it stops: Member State law</w:t>
            </w:r>
          </w:p>
        </w:tc>
        <w:tc>
          <w:tcPr>
            <w:tcW w:w="4600" w:type="dxa"/>
            <w:tcBorders>
              <w:top w:val="single" w:sz="4" w:space="0" w:color="BFBFBF"/>
              <w:left w:val="single" w:sz="4" w:space="0" w:color="BFBFBF"/>
              <w:bottom w:val="single" w:sz="4" w:space="0" w:color="BFBFBF"/>
              <w:right w:val="single" w:sz="4" w:space="0" w:color="BFBFBF"/>
            </w:tcBorders>
          </w:tcPr>
          <w:p w14:paraId="157CF9E3" w14:textId="77777777" w:rsidR="00FE13A4" w:rsidRDefault="00000000">
            <w:pPr>
              <w:spacing w:after="6"/>
            </w:pPr>
            <w:r>
              <w:rPr>
                <w:color w:val="000000"/>
                <w:sz w:val="15"/>
                <w:szCs w:val="15"/>
              </w:rPr>
              <w:t>Every instrument is operated by a national institution under national law. Designating who may lawfully issue a public warning is a national act. So is carrying the recurrent cost</w:t>
            </w:r>
          </w:p>
        </w:tc>
        <w:tc>
          <w:tcPr>
            <w:tcW w:w="3328" w:type="dxa"/>
            <w:tcBorders>
              <w:top w:val="single" w:sz="4" w:space="0" w:color="BFBFBF"/>
              <w:left w:val="single" w:sz="4" w:space="0" w:color="BFBFBF"/>
              <w:bottom w:val="single" w:sz="4" w:space="0" w:color="BFBFBF"/>
              <w:right w:val="single" w:sz="4" w:space="0" w:color="BFBFBF"/>
            </w:tcBorders>
          </w:tcPr>
          <w:p w14:paraId="768B3781" w14:textId="77777777" w:rsidR="00FE13A4" w:rsidRDefault="00000000">
            <w:pPr>
              <w:spacing w:after="6"/>
            </w:pPr>
            <w:r>
              <w:rPr>
                <w:color w:val="000000"/>
                <w:sz w:val="15"/>
                <w:szCs w:val="15"/>
              </w:rPr>
              <w:t>The Community supplies; the Member State adopts. No regional instrument can substitute for either decision</w:t>
            </w:r>
          </w:p>
        </w:tc>
      </w:tr>
    </w:tbl>
    <w:p w14:paraId="6BB0E57C" w14:textId="77777777" w:rsidR="00404224" w:rsidRDefault="00404224">
      <w:pPr>
        <w:pStyle w:val="Heading2"/>
        <w:spacing w:before="160" w:after="70"/>
        <w:rPr>
          <w:b/>
          <w:bCs/>
          <w:color w:val="BF9000"/>
          <w:sz w:val="20"/>
          <w:szCs w:val="20"/>
        </w:rPr>
      </w:pPr>
      <w:bookmarkStart w:id="8" w:name="__RefHeading___Toc1816_2543505351"/>
      <w:bookmarkEnd w:id="8"/>
    </w:p>
    <w:p w14:paraId="22E015C2" w14:textId="235AC128" w:rsidR="00FE13A4" w:rsidRDefault="00000000">
      <w:pPr>
        <w:pStyle w:val="Heading2"/>
        <w:spacing w:before="160" w:after="70"/>
      </w:pPr>
      <w:r>
        <w:rPr>
          <w:b/>
          <w:bCs/>
          <w:color w:val="BF9000"/>
          <w:sz w:val="20"/>
          <w:szCs w:val="20"/>
        </w:rPr>
        <w:lastRenderedPageBreak/>
        <w:t>2.2  What the Community may and may not do</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4600"/>
        <w:gridCol w:w="5726"/>
      </w:tblGrid>
      <w:tr w:rsidR="00FE13A4" w14:paraId="71A2B620" w14:textId="77777777">
        <w:trPr>
          <w:cantSplit/>
          <w:tblHeader/>
        </w:trPr>
        <w:tc>
          <w:tcPr>
            <w:tcW w:w="4600" w:type="dxa"/>
            <w:tcBorders>
              <w:top w:val="single" w:sz="4" w:space="0" w:color="BFBFBF"/>
              <w:left w:val="single" w:sz="4" w:space="0" w:color="BFBFBF"/>
              <w:bottom w:val="single" w:sz="4" w:space="0" w:color="BFBFBF"/>
              <w:right w:val="single" w:sz="4" w:space="0" w:color="BFBFBF"/>
            </w:tcBorders>
            <w:shd w:val="clear" w:color="auto" w:fill="1F3864"/>
          </w:tcPr>
          <w:p w14:paraId="09AF70C6" w14:textId="77777777" w:rsidR="00FE13A4" w:rsidRDefault="00000000">
            <w:pPr>
              <w:spacing w:after="6"/>
            </w:pPr>
            <w:r>
              <w:rPr>
                <w:b/>
                <w:bCs/>
                <w:color w:val="FFFFFF"/>
                <w:sz w:val="15"/>
                <w:szCs w:val="15"/>
              </w:rPr>
              <w:t>The Community may</w:t>
            </w:r>
          </w:p>
        </w:tc>
        <w:tc>
          <w:tcPr>
            <w:tcW w:w="5725" w:type="dxa"/>
            <w:tcBorders>
              <w:top w:val="single" w:sz="4" w:space="0" w:color="BFBFBF"/>
              <w:left w:val="single" w:sz="4" w:space="0" w:color="BFBFBF"/>
              <w:bottom w:val="single" w:sz="4" w:space="0" w:color="BFBFBF"/>
              <w:right w:val="single" w:sz="4" w:space="0" w:color="BFBFBF"/>
            </w:tcBorders>
            <w:shd w:val="clear" w:color="auto" w:fill="1F3864"/>
          </w:tcPr>
          <w:p w14:paraId="2A85FF5F" w14:textId="77777777" w:rsidR="00FE13A4" w:rsidRDefault="00000000">
            <w:pPr>
              <w:spacing w:after="6"/>
            </w:pPr>
            <w:r>
              <w:rPr>
                <w:b/>
                <w:bCs/>
                <w:color w:val="FFFFFF"/>
                <w:sz w:val="15"/>
                <w:szCs w:val="15"/>
              </w:rPr>
              <w:t>The Community may not</w:t>
            </w:r>
          </w:p>
        </w:tc>
      </w:tr>
      <w:tr w:rsidR="00FE13A4" w14:paraId="1E889183" w14:textId="77777777">
        <w:trPr>
          <w:cantSplit/>
        </w:trPr>
        <w:tc>
          <w:tcPr>
            <w:tcW w:w="4600" w:type="dxa"/>
            <w:tcBorders>
              <w:top w:val="single" w:sz="4" w:space="0" w:color="BFBFBF"/>
              <w:left w:val="single" w:sz="4" w:space="0" w:color="BFBFBF"/>
              <w:bottom w:val="single" w:sz="4" w:space="0" w:color="BFBFBF"/>
              <w:right w:val="single" w:sz="4" w:space="0" w:color="BFBFBF"/>
            </w:tcBorders>
          </w:tcPr>
          <w:p w14:paraId="0A31E8EF" w14:textId="77777777" w:rsidR="00FE13A4" w:rsidRDefault="00000000">
            <w:pPr>
              <w:spacing w:after="6"/>
            </w:pPr>
            <w:r>
              <w:rPr>
                <w:color w:val="000000"/>
                <w:sz w:val="15"/>
                <w:szCs w:val="15"/>
              </w:rPr>
              <w:t>Develop frameworks, standards, protocols and programmes for disaster risk management</w:t>
            </w:r>
          </w:p>
        </w:tc>
        <w:tc>
          <w:tcPr>
            <w:tcW w:w="5725" w:type="dxa"/>
            <w:tcBorders>
              <w:top w:val="single" w:sz="4" w:space="0" w:color="BFBFBF"/>
              <w:left w:val="single" w:sz="4" w:space="0" w:color="BFBFBF"/>
              <w:bottom w:val="single" w:sz="4" w:space="0" w:color="BFBFBF"/>
              <w:right w:val="single" w:sz="4" w:space="0" w:color="BFBFBF"/>
            </w:tcBorders>
          </w:tcPr>
          <w:p w14:paraId="37C1BD51" w14:textId="77777777" w:rsidR="00FE13A4" w:rsidRDefault="00000000">
            <w:pPr>
              <w:spacing w:after="6"/>
            </w:pPr>
            <w:r>
              <w:rPr>
                <w:color w:val="000000"/>
                <w:sz w:val="15"/>
                <w:szCs w:val="15"/>
              </w:rPr>
              <w:t>Operate a disaster instrument inside a Member State</w:t>
            </w:r>
          </w:p>
        </w:tc>
      </w:tr>
      <w:tr w:rsidR="00FE13A4" w14:paraId="5936D2C3" w14:textId="77777777">
        <w:trPr>
          <w:cantSplit/>
        </w:trPr>
        <w:tc>
          <w:tcPr>
            <w:tcW w:w="4600" w:type="dxa"/>
            <w:tcBorders>
              <w:top w:val="single" w:sz="4" w:space="0" w:color="BFBFBF"/>
              <w:left w:val="single" w:sz="4" w:space="0" w:color="BFBFBF"/>
              <w:bottom w:val="single" w:sz="4" w:space="0" w:color="BFBFBF"/>
              <w:right w:val="single" w:sz="4" w:space="0" w:color="BFBFBF"/>
            </w:tcBorders>
          </w:tcPr>
          <w:p w14:paraId="78431432" w14:textId="77777777" w:rsidR="00FE13A4" w:rsidRDefault="00000000">
            <w:pPr>
              <w:spacing w:after="6"/>
            </w:pPr>
            <w:r>
              <w:rPr>
                <w:color w:val="000000"/>
                <w:sz w:val="15"/>
                <w:szCs w:val="15"/>
              </w:rPr>
              <w:t>Coordinate regional preparedness and response, particularly for hazards that cross borders</w:t>
            </w:r>
          </w:p>
        </w:tc>
        <w:tc>
          <w:tcPr>
            <w:tcW w:w="5725" w:type="dxa"/>
            <w:tcBorders>
              <w:top w:val="single" w:sz="4" w:space="0" w:color="BFBFBF"/>
              <w:left w:val="single" w:sz="4" w:space="0" w:color="BFBFBF"/>
              <w:bottom w:val="single" w:sz="4" w:space="0" w:color="BFBFBF"/>
              <w:right w:val="single" w:sz="4" w:space="0" w:color="BFBFBF"/>
            </w:tcBorders>
          </w:tcPr>
          <w:p w14:paraId="406AB88D" w14:textId="77777777" w:rsidR="00FE13A4" w:rsidRDefault="00000000">
            <w:pPr>
              <w:spacing w:after="6"/>
            </w:pPr>
            <w:r>
              <w:rPr>
                <w:color w:val="000000"/>
                <w:sz w:val="15"/>
                <w:szCs w:val="15"/>
              </w:rPr>
              <w:t>Direct a national disaster management authority</w:t>
            </w:r>
          </w:p>
        </w:tc>
      </w:tr>
      <w:tr w:rsidR="00FE13A4" w14:paraId="12229A1B" w14:textId="77777777">
        <w:trPr>
          <w:cantSplit/>
        </w:trPr>
        <w:tc>
          <w:tcPr>
            <w:tcW w:w="4600" w:type="dxa"/>
            <w:tcBorders>
              <w:top w:val="single" w:sz="4" w:space="0" w:color="BFBFBF"/>
              <w:left w:val="single" w:sz="4" w:space="0" w:color="BFBFBF"/>
              <w:bottom w:val="single" w:sz="4" w:space="0" w:color="BFBFBF"/>
              <w:right w:val="single" w:sz="4" w:space="0" w:color="BFBFBF"/>
            </w:tcBorders>
          </w:tcPr>
          <w:p w14:paraId="27405F01" w14:textId="77777777" w:rsidR="00FE13A4" w:rsidRDefault="00000000">
            <w:pPr>
              <w:spacing w:after="6"/>
            </w:pPr>
            <w:r>
              <w:rPr>
                <w:color w:val="000000"/>
                <w:sz w:val="15"/>
                <w:szCs w:val="15"/>
              </w:rPr>
              <w:t>Monitor and evaluate practice against regional, continental and global targets</w:t>
            </w:r>
          </w:p>
        </w:tc>
        <w:tc>
          <w:tcPr>
            <w:tcW w:w="5725" w:type="dxa"/>
            <w:tcBorders>
              <w:top w:val="single" w:sz="4" w:space="0" w:color="BFBFBF"/>
              <w:left w:val="single" w:sz="4" w:space="0" w:color="BFBFBF"/>
              <w:bottom w:val="single" w:sz="4" w:space="0" w:color="BFBFBF"/>
              <w:right w:val="single" w:sz="4" w:space="0" w:color="BFBFBF"/>
            </w:tcBorders>
          </w:tcPr>
          <w:p w14:paraId="6B896CDF" w14:textId="77777777" w:rsidR="00FE13A4" w:rsidRDefault="00000000">
            <w:pPr>
              <w:spacing w:after="6"/>
            </w:pPr>
            <w:r>
              <w:rPr>
                <w:color w:val="000000"/>
                <w:sz w:val="15"/>
                <w:szCs w:val="15"/>
              </w:rPr>
              <w:t>Compel a Member State to report</w:t>
            </w:r>
          </w:p>
        </w:tc>
      </w:tr>
      <w:tr w:rsidR="00FE13A4" w14:paraId="68A7A430" w14:textId="77777777">
        <w:trPr>
          <w:cantSplit/>
        </w:trPr>
        <w:tc>
          <w:tcPr>
            <w:tcW w:w="4600" w:type="dxa"/>
            <w:tcBorders>
              <w:top w:val="single" w:sz="4" w:space="0" w:color="BFBFBF"/>
              <w:left w:val="single" w:sz="4" w:space="0" w:color="BFBFBF"/>
              <w:bottom w:val="single" w:sz="4" w:space="0" w:color="BFBFBF"/>
              <w:right w:val="single" w:sz="4" w:space="0" w:color="BFBFBF"/>
            </w:tcBorders>
          </w:tcPr>
          <w:p w14:paraId="547EB149" w14:textId="77777777" w:rsidR="00FE13A4" w:rsidRDefault="00000000">
            <w:pPr>
              <w:spacing w:after="6"/>
            </w:pPr>
            <w:r>
              <w:rPr>
                <w:color w:val="000000"/>
                <w:sz w:val="15"/>
                <w:szCs w:val="15"/>
              </w:rPr>
              <w:t>Coordinate international humanitarian assistance</w:t>
            </w:r>
          </w:p>
        </w:tc>
        <w:tc>
          <w:tcPr>
            <w:tcW w:w="5725" w:type="dxa"/>
            <w:tcBorders>
              <w:top w:val="single" w:sz="4" w:space="0" w:color="BFBFBF"/>
              <w:left w:val="single" w:sz="4" w:space="0" w:color="BFBFBF"/>
              <w:bottom w:val="single" w:sz="4" w:space="0" w:color="BFBFBF"/>
              <w:right w:val="single" w:sz="4" w:space="0" w:color="BFBFBF"/>
            </w:tcBorders>
          </w:tcPr>
          <w:p w14:paraId="1B640F32" w14:textId="77777777" w:rsidR="00FE13A4" w:rsidRDefault="00000000">
            <w:pPr>
              <w:spacing w:after="6"/>
            </w:pPr>
            <w:r>
              <w:rPr>
                <w:color w:val="000000"/>
                <w:sz w:val="15"/>
                <w:szCs w:val="15"/>
              </w:rPr>
              <w:t>Bind a Member State in the absence of a ratified instrument</w:t>
            </w:r>
          </w:p>
        </w:tc>
      </w:tr>
    </w:tbl>
    <w:p w14:paraId="0252BA08" w14:textId="77777777" w:rsidR="00FE13A4" w:rsidRDefault="00000000">
      <w:pPr>
        <w:pStyle w:val="Heading2"/>
        <w:spacing w:before="160" w:after="70"/>
      </w:pPr>
      <w:bookmarkStart w:id="9" w:name="__RefHeading___Toc1818_2543505351"/>
      <w:bookmarkEnd w:id="9"/>
      <w:r>
        <w:rPr>
          <w:b/>
          <w:bCs/>
          <w:color w:val="BF9000"/>
          <w:sz w:val="20"/>
          <w:szCs w:val="20"/>
        </w:rPr>
        <w:t>2.3  Why this complements the hypothesis rather than constraining it</w:t>
      </w:r>
    </w:p>
    <w:p w14:paraId="3AB76A4C" w14:textId="77777777" w:rsidR="00FE13A4" w:rsidRDefault="00000000">
      <w:pPr>
        <w:spacing w:after="100" w:line="264" w:lineRule="auto"/>
        <w:jc w:val="both"/>
      </w:pPr>
      <w:r>
        <w:rPr>
          <w:b/>
          <w:bCs/>
          <w:color w:val="000000"/>
        </w:rPr>
        <w:t xml:space="preserve">The mandate permits exactly the thing the hypothesis proposes, and withholds exactly the thing it does not need. </w:t>
      </w:r>
      <w:r>
        <w:rPr>
          <w:color w:val="000000"/>
        </w:rPr>
        <w:t>The hypothesis at section 5 is that integrating instruments under one set of procedures will shorten the interval between hazard signal and protective action. Integration of that kind is framework, standard and coordination work, which is what the Unit is mandated to do and what SHOC exists to carry out. It requires no authority to operate anything inside a Member State, and it asks for none.</w:t>
      </w:r>
    </w:p>
    <w:p w14:paraId="2975B197" w14:textId="77777777" w:rsidR="00FE13A4" w:rsidRDefault="00000000">
      <w:pPr>
        <w:spacing w:after="100" w:line="264" w:lineRule="auto"/>
        <w:jc w:val="both"/>
      </w:pPr>
      <w:r>
        <w:rPr>
          <w:b/>
          <w:bCs/>
          <w:color w:val="000000"/>
        </w:rPr>
        <w:t xml:space="preserve">That is also why the hypothesis is testable. </w:t>
      </w:r>
      <w:r>
        <w:rPr>
          <w:color w:val="000000"/>
        </w:rPr>
        <w:t>A proposition that depended on the Community directing national authorities could never be tested, because the Community cannot do it and the test would never run. A proposition that depends on supplying a standard and coordinating its adoption can be tested as soon as the standard is issued and a Member State adopts it. The mandate is therefore not a limitation on the argument of this Programme; it is the reason the argument can be put to the evidence at all.</w:t>
      </w:r>
    </w:p>
    <w:p w14:paraId="232ABF61" w14:textId="77777777" w:rsidR="00FE13A4" w:rsidRDefault="00000000">
      <w:pPr>
        <w:spacing w:after="100" w:line="264" w:lineRule="auto"/>
        <w:jc w:val="both"/>
      </w:pPr>
      <w:r>
        <w:rPr>
          <w:b/>
          <w:bCs/>
          <w:color w:val="000000"/>
        </w:rPr>
        <w:t xml:space="preserve">One boundary carries directly into the investment sequence. </w:t>
      </w:r>
      <w:r>
        <w:rPr>
          <w:color w:val="000000"/>
        </w:rPr>
        <w:t>The instruments that reach a household are blocked by a national regulatory decision on who may issue a public warning. No regional instrument can take that decision, and no amount of investment at SHOC can substitute for it. That is why the request at section 11 puts the designation of alerting authority ahead of the technology it would authorise.</w:t>
      </w:r>
    </w:p>
    <w:p w14:paraId="2F1FD7C5" w14:textId="4A6502D2" w:rsidR="00FE13A4" w:rsidRPr="00874BEB" w:rsidRDefault="00000000">
      <w:pPr>
        <w:spacing w:after="100" w:line="264" w:lineRule="auto"/>
        <w:jc w:val="both"/>
        <w:rPr>
          <w:color w:val="000000"/>
        </w:rPr>
      </w:pPr>
      <w:r>
        <w:rPr>
          <w:color w:val="000000"/>
        </w:rPr>
        <w:t>Programme accountability remains with the Secretariat’s Disaster Risk Reduction Unit, supported by a Programme Steering Committee under delegated authority. SHOC defines operational requirements and tests whether outputs strengthen its mandate. National authorities approve and operate national instruments. The Steering Committee reviews delivery, risks and recurrent-cost commitments quarterly; national authorities provide implementation returns, while SHOC supplies the activation evidence needed to assess operational results.</w:t>
      </w:r>
    </w:p>
    <w:p w14:paraId="73A56B91" w14:textId="77777777" w:rsidR="00FE13A4" w:rsidRDefault="00000000">
      <w:pPr>
        <w:pStyle w:val="Heading1"/>
        <w:spacing w:before="210" w:after="90"/>
      </w:pPr>
      <w:bookmarkStart w:id="10" w:name="__RefHeading___Toc1820_2543505351"/>
      <w:bookmarkEnd w:id="10"/>
      <w:r>
        <w:rPr>
          <w:b/>
          <w:bCs/>
          <w:color w:val="1F3864"/>
          <w:sz w:val="24"/>
          <w:szCs w:val="24"/>
        </w:rPr>
        <w:t>3.  SHOC: position and what it uses today</w:t>
      </w:r>
    </w:p>
    <w:p w14:paraId="2C1C9310" w14:textId="77777777" w:rsidR="00FE13A4" w:rsidRDefault="00000000">
      <w:pPr>
        <w:spacing w:after="100" w:line="264" w:lineRule="auto"/>
        <w:jc w:val="both"/>
      </w:pPr>
      <w:r>
        <w:rPr>
          <w:color w:val="000000"/>
        </w:rPr>
        <w:t>SHOC is established as an autonomous, self-accounting institution of the Community, located in Nacala, Nampula Province, Mozambique, under an intergovernmental memorandum of agreement that requires two-thirds of the sixteen Member States to sign for it to come into force. Within the mandate set out in section 2, it coordinates; it does not operate instruments inside a Member State, and its mandate does not extend to rehabilitation and reconstruction. Every innovation proposed here was tested against that boundary.</w:t>
      </w:r>
    </w:p>
    <w:p w14:paraId="5F428A2D" w14:textId="77777777" w:rsidR="00FE13A4" w:rsidRDefault="00000000">
      <w:pPr>
        <w:pStyle w:val="Heading2"/>
        <w:spacing w:before="160" w:after="70"/>
      </w:pPr>
      <w:bookmarkStart w:id="11" w:name="__RefHeading___Toc1822_2543505351"/>
      <w:bookmarkEnd w:id="11"/>
      <w:r>
        <w:rPr>
          <w:b/>
          <w:bCs/>
          <w:color w:val="BF9000"/>
          <w:sz w:val="20"/>
          <w:szCs w:val="20"/>
        </w:rPr>
        <w:t>3.1  What SHOC is already using</w:t>
      </w:r>
    </w:p>
    <w:p w14:paraId="16BBD77D" w14:textId="77777777" w:rsidR="00FE13A4" w:rsidRDefault="00000000">
      <w:pPr>
        <w:spacing w:after="100" w:line="264" w:lineRule="auto"/>
        <w:jc w:val="both"/>
      </w:pPr>
      <w:r>
        <w:rPr>
          <w:color w:val="000000"/>
        </w:rPr>
        <w:t>The answer to whether SHOC uses innovations today is yes, in five areas, at different stages of maturity. The table states the extent rather than the intention.</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201"/>
        <w:gridCol w:w="4300"/>
        <w:gridCol w:w="1599"/>
        <w:gridCol w:w="2226"/>
      </w:tblGrid>
      <w:tr w:rsidR="00FE13A4" w14:paraId="16B2C3DD"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3F46828B" w14:textId="77777777" w:rsidR="00FE13A4" w:rsidRDefault="00000000">
            <w:pPr>
              <w:spacing w:after="6"/>
            </w:pPr>
            <w:r>
              <w:rPr>
                <w:b/>
                <w:bCs/>
                <w:color w:val="FFFFFF"/>
                <w:sz w:val="15"/>
                <w:szCs w:val="15"/>
              </w:rPr>
              <w:t>Area</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Pr>
          <w:p w14:paraId="0F0AE7D0" w14:textId="77777777" w:rsidR="00FE13A4" w:rsidRDefault="00000000">
            <w:pPr>
              <w:spacing w:after="6"/>
            </w:pPr>
            <w:r>
              <w:rPr>
                <w:b/>
                <w:bCs/>
                <w:color w:val="FFFFFF"/>
                <w:sz w:val="15"/>
                <w:szCs w:val="15"/>
              </w:rPr>
              <w:t>What is in use</w:t>
            </w:r>
          </w:p>
        </w:tc>
        <w:tc>
          <w:tcPr>
            <w:tcW w:w="1599" w:type="dxa"/>
            <w:tcBorders>
              <w:top w:val="single" w:sz="4" w:space="0" w:color="BFBFBF"/>
              <w:left w:val="single" w:sz="4" w:space="0" w:color="BFBFBF"/>
              <w:bottom w:val="single" w:sz="4" w:space="0" w:color="BFBFBF"/>
              <w:right w:val="single" w:sz="4" w:space="0" w:color="BFBFBF"/>
            </w:tcBorders>
            <w:shd w:val="clear" w:color="auto" w:fill="1F3864"/>
          </w:tcPr>
          <w:p w14:paraId="306BDDD2" w14:textId="77777777" w:rsidR="00FE13A4" w:rsidRDefault="00000000">
            <w:pPr>
              <w:spacing w:after="6"/>
            </w:pPr>
            <w:r>
              <w:rPr>
                <w:b/>
                <w:bCs/>
                <w:color w:val="FFFFFF"/>
                <w:sz w:val="15"/>
                <w:szCs w:val="15"/>
              </w:rPr>
              <w:t>Extent</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Pr>
          <w:p w14:paraId="3529912A" w14:textId="77777777" w:rsidR="00FE13A4" w:rsidRDefault="00000000">
            <w:pPr>
              <w:spacing w:after="6"/>
            </w:pPr>
            <w:r>
              <w:rPr>
                <w:b/>
                <w:bCs/>
                <w:color w:val="FFFFFF"/>
                <w:sz w:val="15"/>
                <w:szCs w:val="15"/>
              </w:rPr>
              <w:t>What limits it</w:t>
            </w:r>
          </w:p>
        </w:tc>
      </w:tr>
      <w:tr w:rsidR="00FE13A4" w14:paraId="1D4B29EE"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6310B353" w14:textId="77777777" w:rsidR="00FE13A4" w:rsidRDefault="00000000">
            <w:pPr>
              <w:spacing w:after="6"/>
            </w:pPr>
            <w:r>
              <w:rPr>
                <w:color w:val="000000"/>
                <w:sz w:val="15"/>
                <w:szCs w:val="15"/>
              </w:rPr>
              <w:t>Situation awareness</w:t>
            </w:r>
          </w:p>
        </w:tc>
        <w:tc>
          <w:tcPr>
            <w:tcW w:w="4300" w:type="dxa"/>
            <w:tcBorders>
              <w:top w:val="single" w:sz="4" w:space="0" w:color="BFBFBF"/>
              <w:left w:val="single" w:sz="4" w:space="0" w:color="BFBFBF"/>
              <w:bottom w:val="single" w:sz="4" w:space="0" w:color="BFBFBF"/>
              <w:right w:val="single" w:sz="4" w:space="0" w:color="BFBFBF"/>
            </w:tcBorders>
          </w:tcPr>
          <w:p w14:paraId="12BC6048" w14:textId="77777777" w:rsidR="00FE13A4" w:rsidRDefault="00000000">
            <w:pPr>
              <w:spacing w:after="6"/>
            </w:pPr>
            <w:r>
              <w:rPr>
                <w:color w:val="000000"/>
                <w:sz w:val="15"/>
                <w:szCs w:val="15"/>
              </w:rPr>
              <w:t>Multi-Hazard Situation Room, operating as the regional nerve centre for monitoring, early warning and decision support. Three situation rooms now exist in the region: at SHOC, in Mozambique and in the United Republic of Tanzania</w:t>
            </w:r>
          </w:p>
        </w:tc>
        <w:tc>
          <w:tcPr>
            <w:tcW w:w="1599" w:type="dxa"/>
            <w:tcBorders>
              <w:top w:val="single" w:sz="4" w:space="0" w:color="BFBFBF"/>
              <w:left w:val="single" w:sz="4" w:space="0" w:color="BFBFBF"/>
              <w:bottom w:val="single" w:sz="4" w:space="0" w:color="BFBFBF"/>
              <w:right w:val="single" w:sz="4" w:space="0" w:color="BFBFBF"/>
            </w:tcBorders>
          </w:tcPr>
          <w:p w14:paraId="5FC65790" w14:textId="77777777" w:rsidR="00FE13A4" w:rsidRDefault="00000000">
            <w:pPr>
              <w:spacing w:after="6"/>
            </w:pPr>
            <w:r>
              <w:rPr>
                <w:color w:val="000000"/>
                <w:sz w:val="15"/>
                <w:szCs w:val="15"/>
              </w:rPr>
              <w:t>Established</w:t>
            </w:r>
          </w:p>
        </w:tc>
        <w:tc>
          <w:tcPr>
            <w:tcW w:w="2226" w:type="dxa"/>
            <w:tcBorders>
              <w:top w:val="single" w:sz="4" w:space="0" w:color="BFBFBF"/>
              <w:left w:val="single" w:sz="4" w:space="0" w:color="BFBFBF"/>
              <w:bottom w:val="single" w:sz="4" w:space="0" w:color="BFBFBF"/>
              <w:right w:val="single" w:sz="4" w:space="0" w:color="BFBFBF"/>
            </w:tcBorders>
          </w:tcPr>
          <w:p w14:paraId="571A0BFF" w14:textId="77777777" w:rsidR="00FE13A4" w:rsidRDefault="00000000">
            <w:pPr>
              <w:spacing w:after="6"/>
            </w:pPr>
            <w:r>
              <w:rPr>
                <w:color w:val="000000"/>
                <w:sz w:val="15"/>
                <w:szCs w:val="15"/>
              </w:rPr>
              <w:t>Interoperability with national situation rooms is being built rather than complete</w:t>
            </w:r>
          </w:p>
        </w:tc>
      </w:tr>
      <w:tr w:rsidR="00FE13A4" w14:paraId="6F2522EC"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67943F57" w14:textId="77777777" w:rsidR="00FE13A4" w:rsidRDefault="00000000">
            <w:pPr>
              <w:spacing w:after="6"/>
            </w:pPr>
            <w:r>
              <w:rPr>
                <w:color w:val="000000"/>
                <w:sz w:val="15"/>
                <w:szCs w:val="15"/>
              </w:rPr>
              <w:t>Impact-based advisory</w:t>
            </w:r>
          </w:p>
        </w:tc>
        <w:tc>
          <w:tcPr>
            <w:tcW w:w="4300" w:type="dxa"/>
            <w:tcBorders>
              <w:top w:val="single" w:sz="4" w:space="0" w:color="BFBFBF"/>
              <w:left w:val="single" w:sz="4" w:space="0" w:color="BFBFBF"/>
              <w:bottom w:val="single" w:sz="4" w:space="0" w:color="BFBFBF"/>
              <w:right w:val="single" w:sz="4" w:space="0" w:color="BFBFBF"/>
            </w:tcBorders>
          </w:tcPr>
          <w:p w14:paraId="3D4EC911" w14:textId="77777777" w:rsidR="00FE13A4" w:rsidRDefault="00000000">
            <w:pPr>
              <w:spacing w:after="6"/>
            </w:pPr>
            <w:r>
              <w:rPr>
                <w:color w:val="000000"/>
                <w:sz w:val="15"/>
                <w:szCs w:val="15"/>
              </w:rPr>
              <w:t>SHOC already issues impact-based advisories on hazards affecting the region, with work under way to extend them to earthquakes, lightning and wildfire</w:t>
            </w:r>
          </w:p>
        </w:tc>
        <w:tc>
          <w:tcPr>
            <w:tcW w:w="1599" w:type="dxa"/>
            <w:tcBorders>
              <w:top w:val="single" w:sz="4" w:space="0" w:color="BFBFBF"/>
              <w:left w:val="single" w:sz="4" w:space="0" w:color="BFBFBF"/>
              <w:bottom w:val="single" w:sz="4" w:space="0" w:color="BFBFBF"/>
              <w:right w:val="single" w:sz="4" w:space="0" w:color="BFBFBF"/>
            </w:tcBorders>
          </w:tcPr>
          <w:p w14:paraId="12847090" w14:textId="77777777" w:rsidR="00FE13A4" w:rsidRDefault="00000000">
            <w:pPr>
              <w:spacing w:after="6"/>
            </w:pPr>
            <w:r>
              <w:rPr>
                <w:color w:val="000000"/>
                <w:sz w:val="15"/>
                <w:szCs w:val="15"/>
              </w:rPr>
              <w:t>Established and extending</w:t>
            </w:r>
          </w:p>
        </w:tc>
        <w:tc>
          <w:tcPr>
            <w:tcW w:w="2226" w:type="dxa"/>
            <w:tcBorders>
              <w:top w:val="single" w:sz="4" w:space="0" w:color="BFBFBF"/>
              <w:left w:val="single" w:sz="4" w:space="0" w:color="BFBFBF"/>
              <w:bottom w:val="single" w:sz="4" w:space="0" w:color="BFBFBF"/>
              <w:right w:val="single" w:sz="4" w:space="0" w:color="BFBFBF"/>
            </w:tcBorders>
          </w:tcPr>
          <w:p w14:paraId="7DDF008D" w14:textId="77777777" w:rsidR="00FE13A4" w:rsidRDefault="00000000">
            <w:pPr>
              <w:spacing w:after="6"/>
            </w:pPr>
            <w:r>
              <w:rPr>
                <w:color w:val="000000"/>
                <w:sz w:val="15"/>
                <w:szCs w:val="15"/>
              </w:rPr>
              <w:t>Coverage is hazard by hazard; the advisory does not yet carry to the household</w:t>
            </w:r>
          </w:p>
        </w:tc>
      </w:tr>
      <w:tr w:rsidR="00FE13A4" w14:paraId="0C8EBE82"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7EB9A1C1" w14:textId="77777777" w:rsidR="00FE13A4" w:rsidRDefault="00000000">
            <w:pPr>
              <w:spacing w:after="6"/>
            </w:pPr>
            <w:r>
              <w:rPr>
                <w:color w:val="000000"/>
                <w:sz w:val="15"/>
                <w:szCs w:val="15"/>
              </w:rPr>
              <w:t>Regional risk information</w:t>
            </w:r>
          </w:p>
        </w:tc>
        <w:tc>
          <w:tcPr>
            <w:tcW w:w="4300" w:type="dxa"/>
            <w:tcBorders>
              <w:top w:val="single" w:sz="4" w:space="0" w:color="BFBFBF"/>
              <w:left w:val="single" w:sz="4" w:space="0" w:color="BFBFBF"/>
              <w:bottom w:val="single" w:sz="4" w:space="0" w:color="BFBFBF"/>
              <w:right w:val="single" w:sz="4" w:space="0" w:color="BFBFBF"/>
            </w:tcBorders>
          </w:tcPr>
          <w:p w14:paraId="327F6A37" w14:textId="77777777" w:rsidR="00FE13A4" w:rsidRDefault="00000000">
            <w:pPr>
              <w:spacing w:after="6"/>
            </w:pPr>
            <w:r>
              <w:rPr>
                <w:color w:val="000000"/>
                <w:sz w:val="15"/>
                <w:szCs w:val="15"/>
              </w:rPr>
              <w:t>The subnational risk model developed for the entire region, assessed at SHOC in February 2026 for hosting as a sustainable regional platform for risk information management and multi-hazard early warning</w:t>
            </w:r>
          </w:p>
        </w:tc>
        <w:tc>
          <w:tcPr>
            <w:tcW w:w="1599" w:type="dxa"/>
            <w:tcBorders>
              <w:top w:val="single" w:sz="4" w:space="0" w:color="BFBFBF"/>
              <w:left w:val="single" w:sz="4" w:space="0" w:color="BFBFBF"/>
              <w:bottom w:val="single" w:sz="4" w:space="0" w:color="BFBFBF"/>
              <w:right w:val="single" w:sz="4" w:space="0" w:color="BFBFBF"/>
            </w:tcBorders>
          </w:tcPr>
          <w:p w14:paraId="5D1A989F" w14:textId="77777777" w:rsidR="00FE13A4" w:rsidRDefault="00000000">
            <w:pPr>
              <w:spacing w:after="6"/>
            </w:pPr>
            <w:r>
              <w:rPr>
                <w:color w:val="000000"/>
                <w:sz w:val="15"/>
                <w:szCs w:val="15"/>
              </w:rPr>
              <w:t>Emerging</w:t>
            </w:r>
          </w:p>
        </w:tc>
        <w:tc>
          <w:tcPr>
            <w:tcW w:w="2226" w:type="dxa"/>
            <w:tcBorders>
              <w:top w:val="single" w:sz="4" w:space="0" w:color="BFBFBF"/>
              <w:left w:val="single" w:sz="4" w:space="0" w:color="BFBFBF"/>
              <w:bottom w:val="single" w:sz="4" w:space="0" w:color="BFBFBF"/>
              <w:right w:val="single" w:sz="4" w:space="0" w:color="BFBFBF"/>
            </w:tcBorders>
          </w:tcPr>
          <w:p w14:paraId="605DE107" w14:textId="77777777" w:rsidR="00FE13A4" w:rsidRDefault="00000000">
            <w:pPr>
              <w:spacing w:after="6"/>
            </w:pPr>
            <w:r>
              <w:rPr>
                <w:color w:val="000000"/>
                <w:sz w:val="15"/>
                <w:szCs w:val="15"/>
              </w:rPr>
              <w:t>Hosting decision, recurrent cost and staffing</w:t>
            </w:r>
          </w:p>
        </w:tc>
      </w:tr>
      <w:tr w:rsidR="00FE13A4" w14:paraId="0C9BCAF1"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5B2F4975" w14:textId="77777777" w:rsidR="00FE13A4" w:rsidRDefault="00000000">
            <w:pPr>
              <w:spacing w:after="6"/>
            </w:pPr>
            <w:r>
              <w:rPr>
                <w:color w:val="000000"/>
                <w:sz w:val="15"/>
                <w:szCs w:val="15"/>
              </w:rPr>
              <w:lastRenderedPageBreak/>
              <w:t>Response coordination</w:t>
            </w:r>
          </w:p>
        </w:tc>
        <w:tc>
          <w:tcPr>
            <w:tcW w:w="4300" w:type="dxa"/>
            <w:tcBorders>
              <w:top w:val="single" w:sz="4" w:space="0" w:color="BFBFBF"/>
              <w:left w:val="single" w:sz="4" w:space="0" w:color="BFBFBF"/>
              <w:bottom w:val="single" w:sz="4" w:space="0" w:color="BFBFBF"/>
              <w:right w:val="single" w:sz="4" w:space="0" w:color="BFBFBF"/>
            </w:tcBorders>
          </w:tcPr>
          <w:p w14:paraId="4021EB3D" w14:textId="77777777" w:rsidR="00FE13A4" w:rsidRDefault="00000000">
            <w:pPr>
              <w:spacing w:after="6"/>
            </w:pPr>
            <w:r>
              <w:rPr>
                <w:color w:val="000000"/>
                <w:sz w:val="15"/>
                <w:szCs w:val="15"/>
              </w:rPr>
              <w:t>Emergency response team mechanism, trained with international partners and interoperable with United Nations coordination systems; regional simulation exercise conducted at Nacala in July 2026 to test readiness</w:t>
            </w:r>
          </w:p>
        </w:tc>
        <w:tc>
          <w:tcPr>
            <w:tcW w:w="1599" w:type="dxa"/>
            <w:tcBorders>
              <w:top w:val="single" w:sz="4" w:space="0" w:color="BFBFBF"/>
              <w:left w:val="single" w:sz="4" w:space="0" w:color="BFBFBF"/>
              <w:bottom w:val="single" w:sz="4" w:space="0" w:color="BFBFBF"/>
              <w:right w:val="single" w:sz="4" w:space="0" w:color="BFBFBF"/>
            </w:tcBorders>
          </w:tcPr>
          <w:p w14:paraId="704A65EA" w14:textId="77777777" w:rsidR="00FE13A4" w:rsidRDefault="00000000">
            <w:pPr>
              <w:spacing w:after="6"/>
            </w:pPr>
            <w:r>
              <w:rPr>
                <w:color w:val="000000"/>
                <w:sz w:val="15"/>
                <w:szCs w:val="15"/>
              </w:rPr>
              <w:t>Established</w:t>
            </w:r>
          </w:p>
        </w:tc>
        <w:tc>
          <w:tcPr>
            <w:tcW w:w="2226" w:type="dxa"/>
            <w:tcBorders>
              <w:top w:val="single" w:sz="4" w:space="0" w:color="BFBFBF"/>
              <w:left w:val="single" w:sz="4" w:space="0" w:color="BFBFBF"/>
              <w:bottom w:val="single" w:sz="4" w:space="0" w:color="BFBFBF"/>
              <w:right w:val="single" w:sz="4" w:space="0" w:color="BFBFBF"/>
            </w:tcBorders>
          </w:tcPr>
          <w:p w14:paraId="7134AB48" w14:textId="77777777" w:rsidR="00FE13A4" w:rsidRDefault="00000000">
            <w:pPr>
              <w:spacing w:after="6"/>
            </w:pPr>
            <w:r>
              <w:rPr>
                <w:color w:val="000000"/>
                <w:sz w:val="15"/>
                <w:szCs w:val="15"/>
              </w:rPr>
              <w:t>Deployment depends on standing arrangements that are still being documented</w:t>
            </w:r>
          </w:p>
        </w:tc>
      </w:tr>
      <w:tr w:rsidR="00FE13A4" w14:paraId="360D4A88"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4FC534AD" w14:textId="77777777" w:rsidR="00FE13A4" w:rsidRDefault="00000000">
            <w:pPr>
              <w:spacing w:after="6"/>
            </w:pPr>
            <w:r>
              <w:rPr>
                <w:color w:val="000000"/>
                <w:sz w:val="15"/>
                <w:szCs w:val="15"/>
              </w:rPr>
              <w:t>Emergency telecommunications</w:t>
            </w:r>
          </w:p>
        </w:tc>
        <w:tc>
          <w:tcPr>
            <w:tcW w:w="4300" w:type="dxa"/>
            <w:tcBorders>
              <w:top w:val="single" w:sz="4" w:space="0" w:color="BFBFBF"/>
              <w:left w:val="single" w:sz="4" w:space="0" w:color="BFBFBF"/>
              <w:bottom w:val="single" w:sz="4" w:space="0" w:color="BFBFBF"/>
              <w:right w:val="single" w:sz="4" w:space="0" w:color="BFBFBF"/>
            </w:tcBorders>
          </w:tcPr>
          <w:p w14:paraId="5B82A25E" w14:textId="77777777" w:rsidR="00FE13A4" w:rsidRDefault="00000000">
            <w:pPr>
              <w:spacing w:after="6"/>
            </w:pPr>
            <w:r>
              <w:rPr>
                <w:color w:val="000000"/>
                <w:sz w:val="15"/>
                <w:szCs w:val="15"/>
              </w:rPr>
              <w:t xml:space="preserve">Very high frequency and </w:t>
            </w:r>
            <w:proofErr w:type="spellStart"/>
            <w:r>
              <w:rPr>
                <w:color w:val="000000"/>
                <w:sz w:val="15"/>
                <w:szCs w:val="15"/>
              </w:rPr>
              <w:t>ultra high</w:t>
            </w:r>
            <w:proofErr w:type="spellEnd"/>
            <w:r>
              <w:rPr>
                <w:color w:val="000000"/>
                <w:sz w:val="15"/>
                <w:szCs w:val="15"/>
              </w:rPr>
              <w:t xml:space="preserve"> frequency systems and emergency alert systems for operational coordination</w:t>
            </w:r>
          </w:p>
        </w:tc>
        <w:tc>
          <w:tcPr>
            <w:tcW w:w="1599" w:type="dxa"/>
            <w:tcBorders>
              <w:top w:val="single" w:sz="4" w:space="0" w:color="BFBFBF"/>
              <w:left w:val="single" w:sz="4" w:space="0" w:color="BFBFBF"/>
              <w:bottom w:val="single" w:sz="4" w:space="0" w:color="BFBFBF"/>
              <w:right w:val="single" w:sz="4" w:space="0" w:color="BFBFBF"/>
            </w:tcBorders>
          </w:tcPr>
          <w:p w14:paraId="3D9BE1F7" w14:textId="77777777" w:rsidR="00FE13A4" w:rsidRDefault="00000000">
            <w:pPr>
              <w:spacing w:after="6"/>
            </w:pPr>
            <w:r>
              <w:rPr>
                <w:color w:val="000000"/>
                <w:sz w:val="15"/>
                <w:szCs w:val="15"/>
              </w:rPr>
              <w:t>Emerging</w:t>
            </w:r>
          </w:p>
        </w:tc>
        <w:tc>
          <w:tcPr>
            <w:tcW w:w="2226" w:type="dxa"/>
            <w:tcBorders>
              <w:top w:val="single" w:sz="4" w:space="0" w:color="BFBFBF"/>
              <w:left w:val="single" w:sz="4" w:space="0" w:color="BFBFBF"/>
              <w:bottom w:val="single" w:sz="4" w:space="0" w:color="BFBFBF"/>
              <w:right w:val="single" w:sz="4" w:space="0" w:color="BFBFBF"/>
            </w:tcBorders>
          </w:tcPr>
          <w:p w14:paraId="20389733" w14:textId="77777777" w:rsidR="00FE13A4" w:rsidRDefault="00000000">
            <w:pPr>
              <w:spacing w:after="6"/>
            </w:pPr>
            <w:r>
              <w:rPr>
                <w:color w:val="000000"/>
                <w:sz w:val="15"/>
                <w:szCs w:val="15"/>
              </w:rPr>
              <w:t>Standard operating procedures for emergency telecommunications are under development</w:t>
            </w:r>
          </w:p>
        </w:tc>
      </w:tr>
    </w:tbl>
    <w:p w14:paraId="09455279" w14:textId="77777777" w:rsidR="00874BEB" w:rsidRDefault="00874BEB">
      <w:pPr>
        <w:spacing w:after="100" w:line="264" w:lineRule="auto"/>
        <w:jc w:val="both"/>
        <w:rPr>
          <w:b/>
          <w:bCs/>
          <w:color w:val="000000"/>
        </w:rPr>
      </w:pPr>
    </w:p>
    <w:p w14:paraId="36F1166D" w14:textId="202A13C6" w:rsidR="00FE13A4" w:rsidRDefault="00000000">
      <w:pPr>
        <w:spacing w:after="100" w:line="264" w:lineRule="auto"/>
        <w:jc w:val="both"/>
      </w:pPr>
      <w:r>
        <w:rPr>
          <w:b/>
          <w:bCs/>
          <w:color w:val="000000"/>
        </w:rPr>
        <w:t xml:space="preserve">What is not yet in place is the operating architecture rather than the technology. </w:t>
      </w:r>
      <w:r>
        <w:rPr>
          <w:color w:val="000000"/>
        </w:rPr>
        <w:t>Several key standard operating procedures remain under development, including early warning and monitoring, emergency telecommunications, emergency response teams, information and communications technology security and access, and supply chain. Until those are issued, each innovation SHOC adopts has to be operated by arrangement rather than by procedure, which is the single largest constraint on absorbing anything new.</w:t>
      </w:r>
    </w:p>
    <w:p w14:paraId="59F63753" w14:textId="77777777" w:rsidR="00FE13A4" w:rsidRDefault="00000000">
      <w:pPr>
        <w:spacing w:after="100" w:line="264" w:lineRule="auto"/>
        <w:jc w:val="both"/>
      </w:pPr>
      <w:r>
        <w:rPr>
          <w:color w:val="000000"/>
        </w:rPr>
        <w:t>Before adoption, SHOC and the relevant national institution should confirm an operational owner, staff and training needs, interoperability and data-sharing arrangements, service continuity, and the budget required to maintain the capability. An exercise should test the complete chain before routine use. Where these conditions are incomplete, the implementation plan should identify the responsible institution and the corrective action, and pace deployment to demonstrated absorptive capacity.</w:t>
      </w:r>
    </w:p>
    <w:p w14:paraId="55B5624A" w14:textId="77777777" w:rsidR="00FE13A4" w:rsidRDefault="00000000">
      <w:pPr>
        <w:pStyle w:val="Heading2"/>
        <w:spacing w:before="160" w:after="70"/>
      </w:pPr>
      <w:bookmarkStart w:id="12" w:name="__RefHeading___Toc1824_2543505351"/>
      <w:bookmarkEnd w:id="12"/>
      <w:r>
        <w:rPr>
          <w:b/>
          <w:bCs/>
          <w:color w:val="BF9000"/>
          <w:sz w:val="20"/>
          <w:szCs w:val="20"/>
        </w:rPr>
        <w:t>3.2  How well positioned SHOC is to absorb more</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600"/>
        <w:gridCol w:w="3698"/>
        <w:gridCol w:w="4028"/>
      </w:tblGrid>
      <w:tr w:rsidR="00FE13A4" w14:paraId="167CC558"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2A888361" w14:textId="77777777" w:rsidR="00FE13A4" w:rsidRDefault="00000000">
            <w:pPr>
              <w:spacing w:after="6"/>
            </w:pPr>
            <w:r>
              <w:rPr>
                <w:b/>
                <w:bCs/>
                <w:color w:val="FFFFFF"/>
                <w:sz w:val="15"/>
                <w:szCs w:val="15"/>
              </w:rPr>
              <w:t>Dimension</w:t>
            </w:r>
          </w:p>
        </w:tc>
        <w:tc>
          <w:tcPr>
            <w:tcW w:w="3698" w:type="dxa"/>
            <w:tcBorders>
              <w:top w:val="single" w:sz="4" w:space="0" w:color="BFBFBF"/>
              <w:left w:val="single" w:sz="4" w:space="0" w:color="BFBFBF"/>
              <w:bottom w:val="single" w:sz="4" w:space="0" w:color="BFBFBF"/>
              <w:right w:val="single" w:sz="4" w:space="0" w:color="BFBFBF"/>
            </w:tcBorders>
            <w:shd w:val="clear" w:color="auto" w:fill="1F3864"/>
          </w:tcPr>
          <w:p w14:paraId="5224F98D" w14:textId="77777777" w:rsidR="00FE13A4" w:rsidRDefault="00000000">
            <w:pPr>
              <w:spacing w:after="6"/>
            </w:pPr>
            <w:r>
              <w:rPr>
                <w:b/>
                <w:bCs/>
                <w:color w:val="FFFFFF"/>
                <w:sz w:val="15"/>
                <w:szCs w:val="15"/>
              </w:rPr>
              <w:t>Position</w:t>
            </w:r>
          </w:p>
        </w:tc>
        <w:tc>
          <w:tcPr>
            <w:tcW w:w="4028" w:type="dxa"/>
            <w:tcBorders>
              <w:top w:val="single" w:sz="4" w:space="0" w:color="BFBFBF"/>
              <w:left w:val="single" w:sz="4" w:space="0" w:color="BFBFBF"/>
              <w:bottom w:val="single" w:sz="4" w:space="0" w:color="BFBFBF"/>
              <w:right w:val="single" w:sz="4" w:space="0" w:color="BFBFBF"/>
            </w:tcBorders>
            <w:shd w:val="clear" w:color="auto" w:fill="1F3864"/>
          </w:tcPr>
          <w:p w14:paraId="6F8683D7" w14:textId="77777777" w:rsidR="00FE13A4" w:rsidRDefault="00000000">
            <w:pPr>
              <w:spacing w:after="6"/>
            </w:pPr>
            <w:r>
              <w:rPr>
                <w:b/>
                <w:bCs/>
                <w:color w:val="FFFFFF"/>
                <w:sz w:val="15"/>
                <w:szCs w:val="15"/>
              </w:rPr>
              <w:t>Consequence for this Programme</w:t>
            </w:r>
          </w:p>
        </w:tc>
      </w:tr>
      <w:tr w:rsidR="00FE13A4" w14:paraId="3B72731E"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4BAB8C92" w14:textId="77777777" w:rsidR="00FE13A4" w:rsidRDefault="00000000">
            <w:pPr>
              <w:spacing w:after="6"/>
            </w:pPr>
            <w:r>
              <w:rPr>
                <w:color w:val="000000"/>
                <w:sz w:val="15"/>
                <w:szCs w:val="15"/>
              </w:rPr>
              <w:t>Institutional home</w:t>
            </w:r>
          </w:p>
        </w:tc>
        <w:tc>
          <w:tcPr>
            <w:tcW w:w="3698" w:type="dxa"/>
            <w:tcBorders>
              <w:top w:val="single" w:sz="4" w:space="0" w:color="BFBFBF"/>
              <w:left w:val="single" w:sz="4" w:space="0" w:color="BFBFBF"/>
              <w:bottom w:val="single" w:sz="4" w:space="0" w:color="BFBFBF"/>
              <w:right w:val="single" w:sz="4" w:space="0" w:color="BFBFBF"/>
            </w:tcBorders>
          </w:tcPr>
          <w:p w14:paraId="0F3CA172" w14:textId="77777777" w:rsidR="00FE13A4" w:rsidRDefault="00000000">
            <w:pPr>
              <w:spacing w:after="6"/>
            </w:pPr>
            <w:r>
              <w:rPr>
                <w:color w:val="000000"/>
                <w:sz w:val="15"/>
                <w:szCs w:val="15"/>
              </w:rPr>
              <w:t>An operating situation room, a director, a trained response team mechanism and an established partner network</w:t>
            </w:r>
          </w:p>
        </w:tc>
        <w:tc>
          <w:tcPr>
            <w:tcW w:w="4028" w:type="dxa"/>
            <w:tcBorders>
              <w:top w:val="single" w:sz="4" w:space="0" w:color="BFBFBF"/>
              <w:left w:val="single" w:sz="4" w:space="0" w:color="BFBFBF"/>
              <w:bottom w:val="single" w:sz="4" w:space="0" w:color="BFBFBF"/>
              <w:right w:val="single" w:sz="4" w:space="0" w:color="BFBFBF"/>
            </w:tcBorders>
          </w:tcPr>
          <w:p w14:paraId="240A552D" w14:textId="77777777" w:rsidR="00FE13A4" w:rsidRDefault="00000000">
            <w:pPr>
              <w:spacing w:after="6"/>
            </w:pPr>
            <w:r>
              <w:rPr>
                <w:color w:val="000000"/>
                <w:sz w:val="15"/>
                <w:szCs w:val="15"/>
              </w:rPr>
              <w:t>SHOC can absorb instruments that feed a situation room. It is less able to absorb instruments that require field operations it does not staff</w:t>
            </w:r>
          </w:p>
        </w:tc>
      </w:tr>
      <w:tr w:rsidR="00FE13A4" w14:paraId="5CA76A12"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30B72296" w14:textId="77777777" w:rsidR="00FE13A4" w:rsidRDefault="00000000">
            <w:pPr>
              <w:spacing w:after="6"/>
            </w:pPr>
            <w:r>
              <w:rPr>
                <w:color w:val="000000"/>
                <w:sz w:val="15"/>
                <w:szCs w:val="15"/>
              </w:rPr>
              <w:t>Legal standing</w:t>
            </w:r>
          </w:p>
        </w:tc>
        <w:tc>
          <w:tcPr>
            <w:tcW w:w="3698" w:type="dxa"/>
            <w:tcBorders>
              <w:top w:val="single" w:sz="4" w:space="0" w:color="BFBFBF"/>
              <w:left w:val="single" w:sz="4" w:space="0" w:color="BFBFBF"/>
              <w:bottom w:val="single" w:sz="4" w:space="0" w:color="BFBFBF"/>
              <w:right w:val="single" w:sz="4" w:space="0" w:color="BFBFBF"/>
            </w:tcBorders>
          </w:tcPr>
          <w:p w14:paraId="7CB6A26A" w14:textId="77777777" w:rsidR="00FE13A4" w:rsidRDefault="00000000">
            <w:pPr>
              <w:spacing w:after="6"/>
            </w:pPr>
            <w:r>
              <w:rPr>
                <w:color w:val="000000"/>
                <w:sz w:val="15"/>
                <w:szCs w:val="15"/>
              </w:rPr>
              <w:t>Established under an intergovernmental agreement requiring two-thirds of Member States</w:t>
            </w:r>
          </w:p>
        </w:tc>
        <w:tc>
          <w:tcPr>
            <w:tcW w:w="4028" w:type="dxa"/>
            <w:tcBorders>
              <w:top w:val="single" w:sz="4" w:space="0" w:color="BFBFBF"/>
              <w:left w:val="single" w:sz="4" w:space="0" w:color="BFBFBF"/>
              <w:bottom w:val="single" w:sz="4" w:space="0" w:color="BFBFBF"/>
              <w:right w:val="single" w:sz="4" w:space="0" w:color="BFBFBF"/>
            </w:tcBorders>
          </w:tcPr>
          <w:p w14:paraId="0581B91E" w14:textId="77777777" w:rsidR="00FE13A4" w:rsidRDefault="00000000">
            <w:pPr>
              <w:spacing w:after="6"/>
            </w:pPr>
            <w:r>
              <w:rPr>
                <w:color w:val="000000"/>
                <w:sz w:val="15"/>
                <w:szCs w:val="15"/>
              </w:rPr>
              <w:t>Investment that depends on the instrument being fully in force should be sequenced behind investment that does not</w:t>
            </w:r>
          </w:p>
        </w:tc>
      </w:tr>
      <w:tr w:rsidR="00FE13A4" w14:paraId="2A359D5C"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1D9D1AE5" w14:textId="77777777" w:rsidR="00FE13A4" w:rsidRDefault="00000000">
            <w:pPr>
              <w:spacing w:after="6"/>
            </w:pPr>
            <w:r>
              <w:rPr>
                <w:color w:val="000000"/>
                <w:sz w:val="15"/>
                <w:szCs w:val="15"/>
              </w:rPr>
              <w:t>Procedures</w:t>
            </w:r>
          </w:p>
        </w:tc>
        <w:tc>
          <w:tcPr>
            <w:tcW w:w="3698" w:type="dxa"/>
            <w:tcBorders>
              <w:top w:val="single" w:sz="4" w:space="0" w:color="BFBFBF"/>
              <w:left w:val="single" w:sz="4" w:space="0" w:color="BFBFBF"/>
              <w:bottom w:val="single" w:sz="4" w:space="0" w:color="BFBFBF"/>
              <w:right w:val="single" w:sz="4" w:space="0" w:color="BFBFBF"/>
            </w:tcBorders>
          </w:tcPr>
          <w:p w14:paraId="2F1D7B50" w14:textId="77777777" w:rsidR="00FE13A4" w:rsidRDefault="00000000">
            <w:pPr>
              <w:spacing w:after="6"/>
            </w:pPr>
            <w:r>
              <w:rPr>
                <w:color w:val="000000"/>
                <w:sz w:val="15"/>
                <w:szCs w:val="15"/>
              </w:rPr>
              <w:t>Several core standard operating procedures under development</w:t>
            </w:r>
          </w:p>
        </w:tc>
        <w:tc>
          <w:tcPr>
            <w:tcW w:w="4028" w:type="dxa"/>
            <w:tcBorders>
              <w:top w:val="single" w:sz="4" w:space="0" w:color="BFBFBF"/>
              <w:left w:val="single" w:sz="4" w:space="0" w:color="BFBFBF"/>
              <w:bottom w:val="single" w:sz="4" w:space="0" w:color="BFBFBF"/>
              <w:right w:val="single" w:sz="4" w:space="0" w:color="BFBFBF"/>
            </w:tcBorders>
          </w:tcPr>
          <w:p w14:paraId="191087C7" w14:textId="77777777" w:rsidR="00FE13A4" w:rsidRDefault="00000000">
            <w:pPr>
              <w:spacing w:after="6"/>
            </w:pPr>
            <w:r>
              <w:rPr>
                <w:color w:val="000000"/>
                <w:sz w:val="15"/>
                <w:szCs w:val="15"/>
              </w:rPr>
              <w:t>Procedure should be financed alongside technology, not after it. An instrument without a procedure is not an operating capability</w:t>
            </w:r>
          </w:p>
        </w:tc>
      </w:tr>
      <w:tr w:rsidR="00FE13A4" w14:paraId="6FFC1885"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65E29182" w14:textId="77777777" w:rsidR="00FE13A4" w:rsidRDefault="00000000">
            <w:pPr>
              <w:spacing w:after="6"/>
            </w:pPr>
            <w:r>
              <w:rPr>
                <w:color w:val="000000"/>
                <w:sz w:val="15"/>
                <w:szCs w:val="15"/>
              </w:rPr>
              <w:t>Recurrent cost</w:t>
            </w:r>
          </w:p>
        </w:tc>
        <w:tc>
          <w:tcPr>
            <w:tcW w:w="3698" w:type="dxa"/>
            <w:tcBorders>
              <w:top w:val="single" w:sz="4" w:space="0" w:color="BFBFBF"/>
              <w:left w:val="single" w:sz="4" w:space="0" w:color="BFBFBF"/>
              <w:bottom w:val="single" w:sz="4" w:space="0" w:color="BFBFBF"/>
              <w:right w:val="single" w:sz="4" w:space="0" w:color="BFBFBF"/>
            </w:tcBorders>
          </w:tcPr>
          <w:p w14:paraId="3FF5262E" w14:textId="77777777" w:rsidR="00FE13A4" w:rsidRDefault="00000000">
            <w:pPr>
              <w:spacing w:after="6"/>
            </w:pPr>
            <w:r>
              <w:rPr>
                <w:color w:val="000000"/>
                <w:sz w:val="15"/>
                <w:szCs w:val="15"/>
              </w:rPr>
              <w:t>Sustainability planning under way, including a business continuity model</w:t>
            </w:r>
          </w:p>
        </w:tc>
        <w:tc>
          <w:tcPr>
            <w:tcW w:w="4028" w:type="dxa"/>
            <w:tcBorders>
              <w:top w:val="single" w:sz="4" w:space="0" w:color="BFBFBF"/>
              <w:left w:val="single" w:sz="4" w:space="0" w:color="BFBFBF"/>
              <w:bottom w:val="single" w:sz="4" w:space="0" w:color="BFBFBF"/>
              <w:right w:val="single" w:sz="4" w:space="0" w:color="BFBFBF"/>
            </w:tcBorders>
          </w:tcPr>
          <w:p w14:paraId="3AC69983" w14:textId="77777777" w:rsidR="00FE13A4" w:rsidRDefault="00000000">
            <w:pPr>
              <w:spacing w:after="6"/>
            </w:pPr>
            <w:r>
              <w:rPr>
                <w:color w:val="000000"/>
                <w:sz w:val="15"/>
                <w:szCs w:val="15"/>
              </w:rPr>
              <w:t>Every instrument proposed here carries a stated annual running cost and a named accountable post before it is accepted</w:t>
            </w:r>
          </w:p>
        </w:tc>
      </w:tr>
      <w:tr w:rsidR="00FE13A4" w14:paraId="5854D65A" w14:textId="77777777">
        <w:trPr>
          <w:cantSplit/>
        </w:trPr>
        <w:tc>
          <w:tcPr>
            <w:tcW w:w="2600" w:type="dxa"/>
            <w:tcBorders>
              <w:top w:val="single" w:sz="4" w:space="0" w:color="BFBFBF"/>
              <w:left w:val="single" w:sz="4" w:space="0" w:color="BFBFBF"/>
              <w:bottom w:val="single" w:sz="4" w:space="0" w:color="BFBFBF"/>
              <w:right w:val="single" w:sz="4" w:space="0" w:color="BFBFBF"/>
            </w:tcBorders>
          </w:tcPr>
          <w:p w14:paraId="35458FAB" w14:textId="77777777" w:rsidR="00FE13A4" w:rsidRDefault="00000000">
            <w:pPr>
              <w:spacing w:after="6"/>
            </w:pPr>
            <w:r>
              <w:rPr>
                <w:color w:val="000000"/>
                <w:sz w:val="15"/>
                <w:szCs w:val="15"/>
              </w:rPr>
              <w:t>Partnerships</w:t>
            </w:r>
          </w:p>
        </w:tc>
        <w:tc>
          <w:tcPr>
            <w:tcW w:w="3698" w:type="dxa"/>
            <w:tcBorders>
              <w:top w:val="single" w:sz="4" w:space="0" w:color="BFBFBF"/>
              <w:left w:val="single" w:sz="4" w:space="0" w:color="BFBFBF"/>
              <w:bottom w:val="single" w:sz="4" w:space="0" w:color="BFBFBF"/>
              <w:right w:val="single" w:sz="4" w:space="0" w:color="BFBFBF"/>
            </w:tcBorders>
          </w:tcPr>
          <w:p w14:paraId="48A5556F" w14:textId="77777777" w:rsidR="00FE13A4" w:rsidRDefault="00000000">
            <w:pPr>
              <w:spacing w:after="6"/>
            </w:pPr>
            <w:r>
              <w:rPr>
                <w:color w:val="000000"/>
                <w:sz w:val="15"/>
                <w:szCs w:val="15"/>
              </w:rPr>
              <w:t>Active relationships with continental, United Nations and movement partners, and a record of co-delivered equipping</w:t>
            </w:r>
          </w:p>
        </w:tc>
        <w:tc>
          <w:tcPr>
            <w:tcW w:w="4028" w:type="dxa"/>
            <w:tcBorders>
              <w:top w:val="single" w:sz="4" w:space="0" w:color="BFBFBF"/>
              <w:left w:val="single" w:sz="4" w:space="0" w:color="BFBFBF"/>
              <w:bottom w:val="single" w:sz="4" w:space="0" w:color="BFBFBF"/>
              <w:right w:val="single" w:sz="4" w:space="0" w:color="BFBFBF"/>
            </w:tcBorders>
          </w:tcPr>
          <w:p w14:paraId="09CB53A7" w14:textId="77777777" w:rsidR="00FE13A4" w:rsidRDefault="00000000">
            <w:pPr>
              <w:spacing w:after="6"/>
            </w:pPr>
            <w:r>
              <w:rPr>
                <w:color w:val="000000"/>
                <w:sz w:val="15"/>
                <w:szCs w:val="15"/>
              </w:rPr>
              <w:t>Much of the capability can be reached through partnership rather than purchase</w:t>
            </w:r>
          </w:p>
        </w:tc>
      </w:tr>
    </w:tbl>
    <w:p w14:paraId="49B02CBC" w14:textId="77777777" w:rsidR="00FE13A4" w:rsidRDefault="00000000">
      <w:pPr>
        <w:pStyle w:val="Heading1"/>
        <w:spacing w:before="210" w:after="90"/>
      </w:pPr>
      <w:bookmarkStart w:id="13" w:name="__RefHeading___Toc1826_2543505351"/>
      <w:bookmarkEnd w:id="13"/>
      <w:r>
        <w:rPr>
          <w:b/>
          <w:bCs/>
          <w:color w:val="1F3864"/>
          <w:sz w:val="24"/>
          <w:szCs w:val="24"/>
        </w:rPr>
        <w:t>4.  Which innovations fit the mandate, and what they add</w:t>
      </w:r>
    </w:p>
    <w:p w14:paraId="06B113AC" w14:textId="77777777" w:rsidR="00FE13A4" w:rsidRDefault="00000000">
      <w:pPr>
        <w:spacing w:after="100" w:line="264" w:lineRule="auto"/>
        <w:jc w:val="both"/>
      </w:pPr>
      <w:r>
        <w:rPr>
          <w:color w:val="000000"/>
        </w:rPr>
        <w:t>Twenty-six candidate tools were assessed on one instrument against eight weighted criteria: measurable impact on disaster risk reduction, strategic alignment, inclusion responsiveness, technical feasibility, institutional feasibility, cost-effectiveness, scalability and sustainability. Each weight was then perturbed in turn and the full set recomputed sixteen times. The membership of the leading group did not change under any perturbation, so a disagreement about the weights should be resolved by asking which tools belong in the leading group, not by arguing about their order within it.</w:t>
      </w:r>
    </w:p>
    <w:p w14:paraId="524C6C20" w14:textId="77777777" w:rsidR="00FE13A4" w:rsidRDefault="00000000">
      <w:pPr>
        <w:pStyle w:val="Heading2"/>
        <w:spacing w:before="160" w:after="70"/>
      </w:pPr>
      <w:bookmarkStart w:id="14" w:name="__RefHeading___Toc1828_2543505351"/>
      <w:bookmarkEnd w:id="14"/>
      <w:r>
        <w:rPr>
          <w:b/>
          <w:bCs/>
          <w:color w:val="BF9000"/>
          <w:sz w:val="20"/>
          <w:szCs w:val="20"/>
        </w:rPr>
        <w:t>4.1  Three findings that should shape the investment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398"/>
        <w:gridCol w:w="7928"/>
      </w:tblGrid>
      <w:tr w:rsidR="00FE13A4" w14:paraId="7B97FE9D" w14:textId="77777777">
        <w:trPr>
          <w:cantSplit/>
          <w:tblHeader/>
        </w:trPr>
        <w:tc>
          <w:tcPr>
            <w:tcW w:w="2398" w:type="dxa"/>
            <w:tcBorders>
              <w:top w:val="single" w:sz="4" w:space="0" w:color="BFBFBF"/>
              <w:left w:val="single" w:sz="4" w:space="0" w:color="BFBFBF"/>
              <w:bottom w:val="single" w:sz="4" w:space="0" w:color="BFBFBF"/>
              <w:right w:val="single" w:sz="4" w:space="0" w:color="BFBFBF"/>
            </w:tcBorders>
            <w:shd w:val="clear" w:color="auto" w:fill="1F3864"/>
          </w:tcPr>
          <w:p w14:paraId="58DCDBC5" w14:textId="77777777" w:rsidR="00FE13A4" w:rsidRDefault="00000000">
            <w:pPr>
              <w:spacing w:after="6"/>
            </w:pPr>
            <w:r>
              <w:rPr>
                <w:b/>
                <w:bCs/>
                <w:color w:val="FFFFFF"/>
                <w:sz w:val="16"/>
                <w:szCs w:val="16"/>
              </w:rPr>
              <w:t>Finding</w:t>
            </w:r>
          </w:p>
        </w:tc>
        <w:tc>
          <w:tcPr>
            <w:tcW w:w="7927" w:type="dxa"/>
            <w:tcBorders>
              <w:top w:val="single" w:sz="4" w:space="0" w:color="BFBFBF"/>
              <w:left w:val="single" w:sz="4" w:space="0" w:color="BFBFBF"/>
              <w:bottom w:val="single" w:sz="4" w:space="0" w:color="BFBFBF"/>
              <w:right w:val="single" w:sz="4" w:space="0" w:color="BFBFBF"/>
            </w:tcBorders>
            <w:shd w:val="clear" w:color="auto" w:fill="1F3864"/>
          </w:tcPr>
          <w:p w14:paraId="2BE7EDBC" w14:textId="77777777" w:rsidR="00FE13A4" w:rsidRDefault="00000000">
            <w:pPr>
              <w:spacing w:after="6"/>
            </w:pPr>
            <w:r>
              <w:rPr>
                <w:b/>
                <w:bCs/>
                <w:color w:val="FFFFFF"/>
                <w:sz w:val="16"/>
                <w:szCs w:val="16"/>
              </w:rPr>
              <w:t>What follows from it</w:t>
            </w:r>
          </w:p>
        </w:tc>
      </w:tr>
      <w:tr w:rsidR="00FE13A4" w14:paraId="4EF23748"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110FCB84" w14:textId="77777777" w:rsidR="00FE13A4" w:rsidRDefault="00000000">
            <w:pPr>
              <w:spacing w:after="6"/>
            </w:pPr>
            <w:r>
              <w:rPr>
                <w:color w:val="000000"/>
                <w:sz w:val="16"/>
                <w:szCs w:val="16"/>
              </w:rPr>
              <w:t>The ranking measures reach, not capability</w:t>
            </w:r>
          </w:p>
        </w:tc>
        <w:tc>
          <w:tcPr>
            <w:tcW w:w="7927" w:type="dxa"/>
            <w:tcBorders>
              <w:top w:val="single" w:sz="4" w:space="0" w:color="BFBFBF"/>
              <w:left w:val="single" w:sz="4" w:space="0" w:color="BFBFBF"/>
              <w:bottom w:val="single" w:sz="4" w:space="0" w:color="BFBFBF"/>
              <w:right w:val="single" w:sz="4" w:space="0" w:color="BFBFBF"/>
            </w:tcBorders>
          </w:tcPr>
          <w:p w14:paraId="25FF51CF" w14:textId="77777777" w:rsidR="00FE13A4" w:rsidRDefault="00000000">
            <w:pPr>
              <w:spacing w:after="6"/>
            </w:pPr>
            <w:r>
              <w:rPr>
                <w:color w:val="000000"/>
                <w:sz w:val="16"/>
                <w:szCs w:val="16"/>
              </w:rPr>
              <w:t>Five of the six highest-ranked tools reach the household with no institutional transfer in between, and all five are alerting or public-information instruments. Field capabilities that need an institution to convert their output into action — aerial survey, logistics, platforms, surveillance — cluster lower irrespective of technical merit. The ranking should not be read as a statement of operational value to SHOC</w:t>
            </w:r>
          </w:p>
        </w:tc>
      </w:tr>
      <w:tr w:rsidR="00FE13A4" w14:paraId="3EFBBFA1"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3D3FB121" w14:textId="77777777" w:rsidR="00FE13A4" w:rsidRDefault="00000000">
            <w:pPr>
              <w:spacing w:after="6"/>
            </w:pPr>
            <w:r>
              <w:rPr>
                <w:color w:val="000000"/>
                <w:sz w:val="16"/>
                <w:szCs w:val="16"/>
              </w:rPr>
              <w:t>Institutional feasibility is the binding constraint at the top</w:t>
            </w:r>
          </w:p>
        </w:tc>
        <w:tc>
          <w:tcPr>
            <w:tcW w:w="7927" w:type="dxa"/>
            <w:tcBorders>
              <w:top w:val="single" w:sz="4" w:space="0" w:color="BFBFBF"/>
              <w:left w:val="single" w:sz="4" w:space="0" w:color="BFBFBF"/>
              <w:bottom w:val="single" w:sz="4" w:space="0" w:color="BFBFBF"/>
              <w:right w:val="single" w:sz="4" w:space="0" w:color="BFBFBF"/>
            </w:tcBorders>
          </w:tcPr>
          <w:p w14:paraId="4F7B0F03" w14:textId="77777777" w:rsidR="00FE13A4" w:rsidRDefault="00000000">
            <w:pPr>
              <w:spacing w:after="6"/>
            </w:pPr>
            <w:r>
              <w:rPr>
                <w:color w:val="000000"/>
                <w:sz w:val="16"/>
                <w:szCs w:val="16"/>
              </w:rPr>
              <w:t>The two highest-scoring alerting instruments carry the two lowest institutional feasibility scores in the leading group, both because cellular alerting requires a regulatory authorisation that does not exist. The tools most able to reach households are the ones least able to be switched on</w:t>
            </w:r>
          </w:p>
        </w:tc>
      </w:tr>
      <w:tr w:rsidR="00FE13A4" w14:paraId="0B02AA71" w14:textId="77777777">
        <w:trPr>
          <w:cantSplit/>
        </w:trPr>
        <w:tc>
          <w:tcPr>
            <w:tcW w:w="2398" w:type="dxa"/>
            <w:tcBorders>
              <w:top w:val="single" w:sz="4" w:space="0" w:color="BFBFBF"/>
              <w:left w:val="single" w:sz="4" w:space="0" w:color="BFBFBF"/>
              <w:bottom w:val="single" w:sz="4" w:space="0" w:color="BFBFBF"/>
              <w:right w:val="single" w:sz="4" w:space="0" w:color="BFBFBF"/>
            </w:tcBorders>
          </w:tcPr>
          <w:p w14:paraId="5AF35FA6" w14:textId="77777777" w:rsidR="00FE13A4" w:rsidRDefault="00000000">
            <w:pPr>
              <w:spacing w:after="6"/>
            </w:pPr>
            <w:r>
              <w:rPr>
                <w:color w:val="000000"/>
                <w:sz w:val="16"/>
                <w:szCs w:val="16"/>
              </w:rPr>
              <w:t>Inclusion is the weakest criterion across the set</w:t>
            </w:r>
          </w:p>
        </w:tc>
        <w:tc>
          <w:tcPr>
            <w:tcW w:w="7927" w:type="dxa"/>
            <w:tcBorders>
              <w:top w:val="single" w:sz="4" w:space="0" w:color="BFBFBF"/>
              <w:left w:val="single" w:sz="4" w:space="0" w:color="BFBFBF"/>
              <w:bottom w:val="single" w:sz="4" w:space="0" w:color="BFBFBF"/>
              <w:right w:val="single" w:sz="4" w:space="0" w:color="BFBFBF"/>
            </w:tcBorders>
          </w:tcPr>
          <w:p w14:paraId="45A94D2E" w14:textId="77777777" w:rsidR="00FE13A4" w:rsidRDefault="00000000">
            <w:pPr>
              <w:spacing w:after="6"/>
            </w:pPr>
            <w:r>
              <w:rPr>
                <w:color w:val="000000"/>
                <w:sz w:val="16"/>
                <w:szCs w:val="16"/>
              </w:rPr>
              <w:t>Eleven of the twenty-six score three or below on inclusion responsiveness and seven score one. In every case this reflects an absent inclusion design rather than absent evidence, which means it is correctable at design stage rather than inherent</w:t>
            </w:r>
          </w:p>
        </w:tc>
      </w:tr>
    </w:tbl>
    <w:p w14:paraId="237DA6A5" w14:textId="77777777" w:rsidR="00404224" w:rsidRDefault="00404224">
      <w:pPr>
        <w:pStyle w:val="Heading2"/>
        <w:spacing w:before="160" w:after="70"/>
        <w:rPr>
          <w:b/>
          <w:bCs/>
          <w:color w:val="BF9000"/>
          <w:sz w:val="20"/>
          <w:szCs w:val="20"/>
        </w:rPr>
      </w:pPr>
      <w:bookmarkStart w:id="15" w:name="__RefHeading___Toc1830_2543505351"/>
      <w:bookmarkEnd w:id="15"/>
    </w:p>
    <w:p w14:paraId="00516488" w14:textId="7C60AA99" w:rsidR="00FE13A4" w:rsidRDefault="00000000">
      <w:pPr>
        <w:pStyle w:val="Heading2"/>
        <w:spacing w:before="160" w:after="70"/>
      </w:pPr>
      <w:r>
        <w:rPr>
          <w:b/>
          <w:bCs/>
          <w:color w:val="BF9000"/>
          <w:sz w:val="20"/>
          <w:szCs w:val="20"/>
        </w:rPr>
        <w:t>4.2  What fits each part of the mandate</w:t>
      </w:r>
    </w:p>
    <w:p w14:paraId="4D8A60B7" w14:textId="77777777" w:rsidR="00FE13A4" w:rsidRDefault="00000000">
      <w:pPr>
        <w:spacing w:after="100" w:line="264" w:lineRule="auto"/>
        <w:jc w:val="both"/>
      </w:pPr>
      <w:r>
        <w:rPr>
          <w:color w:val="000000"/>
        </w:rPr>
        <w:t>The SHOC’s mandate focuses on readiness, coordination, preparedness and response, and logistics of the SADC region. Grouping the assessed tools against those functions is more useful than ranking them against each other, because SHOC adopts by function.</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1899"/>
        <w:gridCol w:w="3402"/>
        <w:gridCol w:w="2600"/>
        <w:gridCol w:w="2425"/>
      </w:tblGrid>
      <w:tr w:rsidR="00FE13A4" w14:paraId="1CD2B05D" w14:textId="77777777">
        <w:trPr>
          <w:cantSplit/>
          <w:tblHeader/>
        </w:trPr>
        <w:tc>
          <w:tcPr>
            <w:tcW w:w="1898" w:type="dxa"/>
            <w:tcBorders>
              <w:top w:val="single" w:sz="4" w:space="0" w:color="BFBFBF"/>
              <w:left w:val="single" w:sz="4" w:space="0" w:color="BFBFBF"/>
              <w:bottom w:val="single" w:sz="4" w:space="0" w:color="BFBFBF"/>
              <w:right w:val="single" w:sz="4" w:space="0" w:color="BFBFBF"/>
            </w:tcBorders>
            <w:shd w:val="clear" w:color="auto" w:fill="1F3864"/>
          </w:tcPr>
          <w:p w14:paraId="50AD25DF" w14:textId="77777777" w:rsidR="00FE13A4" w:rsidRDefault="00000000">
            <w:pPr>
              <w:spacing w:after="6"/>
            </w:pPr>
            <w:r>
              <w:rPr>
                <w:b/>
                <w:bCs/>
                <w:color w:val="FFFFFF"/>
                <w:sz w:val="15"/>
                <w:szCs w:val="15"/>
              </w:rPr>
              <w:t>Mandate function</w:t>
            </w:r>
          </w:p>
        </w:tc>
        <w:tc>
          <w:tcPr>
            <w:tcW w:w="3402" w:type="dxa"/>
            <w:tcBorders>
              <w:top w:val="single" w:sz="4" w:space="0" w:color="BFBFBF"/>
              <w:left w:val="single" w:sz="4" w:space="0" w:color="BFBFBF"/>
              <w:bottom w:val="single" w:sz="4" w:space="0" w:color="BFBFBF"/>
              <w:right w:val="single" w:sz="4" w:space="0" w:color="BFBFBF"/>
            </w:tcBorders>
            <w:shd w:val="clear" w:color="auto" w:fill="1F3864"/>
          </w:tcPr>
          <w:p w14:paraId="1D92B8A0" w14:textId="77777777" w:rsidR="00FE13A4" w:rsidRDefault="00000000">
            <w:pPr>
              <w:spacing w:after="6"/>
            </w:pPr>
            <w:r>
              <w:rPr>
                <w:b/>
                <w:bCs/>
                <w:color w:val="FFFFFF"/>
                <w:sz w:val="15"/>
                <w:szCs w:val="15"/>
              </w:rPr>
              <w:t>Instruments that fit</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20C19916" w14:textId="77777777" w:rsidR="00FE13A4" w:rsidRDefault="00000000">
            <w:pPr>
              <w:spacing w:after="6"/>
            </w:pPr>
            <w:r>
              <w:rPr>
                <w:b/>
                <w:bCs/>
                <w:color w:val="FFFFFF"/>
                <w:sz w:val="15"/>
                <w:szCs w:val="15"/>
              </w:rPr>
              <w:t>What they add</w:t>
            </w:r>
          </w:p>
        </w:tc>
        <w:tc>
          <w:tcPr>
            <w:tcW w:w="2425" w:type="dxa"/>
            <w:tcBorders>
              <w:top w:val="single" w:sz="4" w:space="0" w:color="BFBFBF"/>
              <w:left w:val="single" w:sz="4" w:space="0" w:color="BFBFBF"/>
              <w:bottom w:val="single" w:sz="4" w:space="0" w:color="BFBFBF"/>
              <w:right w:val="single" w:sz="4" w:space="0" w:color="BFBFBF"/>
            </w:tcBorders>
            <w:shd w:val="clear" w:color="auto" w:fill="1F3864"/>
          </w:tcPr>
          <w:p w14:paraId="3E1A94FE" w14:textId="77777777" w:rsidR="00FE13A4" w:rsidRDefault="00000000">
            <w:pPr>
              <w:spacing w:after="6"/>
            </w:pPr>
            <w:r>
              <w:rPr>
                <w:b/>
                <w:bCs/>
                <w:color w:val="FFFFFF"/>
                <w:sz w:val="15"/>
                <w:szCs w:val="15"/>
              </w:rPr>
              <w:t>Position</w:t>
            </w:r>
          </w:p>
        </w:tc>
      </w:tr>
      <w:tr w:rsidR="00FE13A4" w14:paraId="74F6490B"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59C49C53" w14:textId="77777777" w:rsidR="00FE13A4" w:rsidRDefault="00000000">
            <w:pPr>
              <w:spacing w:after="6"/>
            </w:pPr>
            <w:r>
              <w:rPr>
                <w:color w:val="000000"/>
                <w:sz w:val="15"/>
                <w:szCs w:val="15"/>
              </w:rPr>
              <w:t>Regional readiness and risk information</w:t>
            </w:r>
          </w:p>
        </w:tc>
        <w:tc>
          <w:tcPr>
            <w:tcW w:w="3402" w:type="dxa"/>
            <w:tcBorders>
              <w:top w:val="single" w:sz="4" w:space="0" w:color="BFBFBF"/>
              <w:left w:val="single" w:sz="4" w:space="0" w:color="BFBFBF"/>
              <w:bottom w:val="single" w:sz="4" w:space="0" w:color="BFBFBF"/>
              <w:right w:val="single" w:sz="4" w:space="0" w:color="BFBFBF"/>
            </w:tcBorders>
          </w:tcPr>
          <w:p w14:paraId="66AE135C" w14:textId="77777777" w:rsidR="00FE13A4" w:rsidRDefault="00000000">
            <w:pPr>
              <w:spacing w:after="6"/>
            </w:pPr>
            <w:r>
              <w:rPr>
                <w:color w:val="000000"/>
                <w:sz w:val="15"/>
                <w:szCs w:val="15"/>
              </w:rPr>
              <w:t>Subnational risk model; regional hazard watch platform; flood forecasting and soil-moisture products; fire information systems and satellite burn-scar products</w:t>
            </w:r>
          </w:p>
        </w:tc>
        <w:tc>
          <w:tcPr>
            <w:tcW w:w="2600" w:type="dxa"/>
            <w:tcBorders>
              <w:top w:val="single" w:sz="4" w:space="0" w:color="BFBFBF"/>
              <w:left w:val="single" w:sz="4" w:space="0" w:color="BFBFBF"/>
              <w:bottom w:val="single" w:sz="4" w:space="0" w:color="BFBFBF"/>
              <w:right w:val="single" w:sz="4" w:space="0" w:color="BFBFBF"/>
            </w:tcBorders>
          </w:tcPr>
          <w:p w14:paraId="3F29B040" w14:textId="77777777" w:rsidR="00FE13A4" w:rsidRDefault="00000000">
            <w:pPr>
              <w:spacing w:after="6"/>
            </w:pPr>
            <w:r>
              <w:rPr>
                <w:color w:val="000000"/>
                <w:sz w:val="15"/>
                <w:szCs w:val="15"/>
              </w:rPr>
              <w:t>A single regional risk picture, refreshed continuously, that the situation room can act on without assembling it by hand each time</w:t>
            </w:r>
          </w:p>
        </w:tc>
        <w:tc>
          <w:tcPr>
            <w:tcW w:w="2425" w:type="dxa"/>
            <w:tcBorders>
              <w:top w:val="single" w:sz="4" w:space="0" w:color="BFBFBF"/>
              <w:left w:val="single" w:sz="4" w:space="0" w:color="BFBFBF"/>
              <w:bottom w:val="single" w:sz="4" w:space="0" w:color="BFBFBF"/>
              <w:right w:val="single" w:sz="4" w:space="0" w:color="BFBFBF"/>
            </w:tcBorders>
          </w:tcPr>
          <w:p w14:paraId="3D5B5C72" w14:textId="77777777" w:rsidR="00FE13A4" w:rsidRDefault="00000000">
            <w:pPr>
              <w:spacing w:after="6"/>
            </w:pPr>
            <w:r>
              <w:rPr>
                <w:color w:val="000000"/>
                <w:sz w:val="15"/>
                <w:szCs w:val="15"/>
              </w:rPr>
              <w:t>Partly in use; the risk model is the anchor investment</w:t>
            </w:r>
          </w:p>
        </w:tc>
      </w:tr>
      <w:tr w:rsidR="00FE13A4" w14:paraId="61DAFA1E"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275D1DB7" w14:textId="77777777" w:rsidR="00FE13A4" w:rsidRDefault="00000000">
            <w:pPr>
              <w:spacing w:after="6"/>
            </w:pPr>
            <w:r>
              <w:rPr>
                <w:color w:val="000000"/>
                <w:sz w:val="15"/>
                <w:szCs w:val="15"/>
              </w:rPr>
              <w:t>Early warning and advisory</w:t>
            </w:r>
          </w:p>
        </w:tc>
        <w:tc>
          <w:tcPr>
            <w:tcW w:w="3402" w:type="dxa"/>
            <w:tcBorders>
              <w:top w:val="single" w:sz="4" w:space="0" w:color="BFBFBF"/>
              <w:left w:val="single" w:sz="4" w:space="0" w:color="BFBFBF"/>
              <w:bottom w:val="single" w:sz="4" w:space="0" w:color="BFBFBF"/>
              <w:right w:val="single" w:sz="4" w:space="0" w:color="BFBFBF"/>
            </w:tcBorders>
          </w:tcPr>
          <w:p w14:paraId="3A49AC8E" w14:textId="77777777" w:rsidR="00FE13A4" w:rsidRDefault="00000000">
            <w:pPr>
              <w:spacing w:after="6"/>
            </w:pPr>
            <w:r>
              <w:rPr>
                <w:color w:val="000000"/>
                <w:sz w:val="15"/>
                <w:szCs w:val="15"/>
              </w:rPr>
              <w:t>Impact-based forecasting; common alerting protocol with last-mile integration; localised action guidance</w:t>
            </w:r>
          </w:p>
        </w:tc>
        <w:tc>
          <w:tcPr>
            <w:tcW w:w="2600" w:type="dxa"/>
            <w:tcBorders>
              <w:top w:val="single" w:sz="4" w:space="0" w:color="BFBFBF"/>
              <w:left w:val="single" w:sz="4" w:space="0" w:color="BFBFBF"/>
              <w:bottom w:val="single" w:sz="4" w:space="0" w:color="BFBFBF"/>
              <w:right w:val="single" w:sz="4" w:space="0" w:color="BFBFBF"/>
            </w:tcBorders>
          </w:tcPr>
          <w:p w14:paraId="376D8A78" w14:textId="77777777" w:rsidR="00FE13A4" w:rsidRDefault="00000000">
            <w:pPr>
              <w:spacing w:after="6"/>
            </w:pPr>
            <w:r>
              <w:rPr>
                <w:color w:val="000000"/>
                <w:sz w:val="15"/>
                <w:szCs w:val="15"/>
              </w:rPr>
              <w:t>Converts a hazard forecast into an impact statement and a protective instruction, in a form every channel can carry without re-keying</w:t>
            </w:r>
          </w:p>
        </w:tc>
        <w:tc>
          <w:tcPr>
            <w:tcW w:w="2425" w:type="dxa"/>
            <w:tcBorders>
              <w:top w:val="single" w:sz="4" w:space="0" w:color="BFBFBF"/>
              <w:left w:val="single" w:sz="4" w:space="0" w:color="BFBFBF"/>
              <w:bottom w:val="single" w:sz="4" w:space="0" w:color="BFBFBF"/>
              <w:right w:val="single" w:sz="4" w:space="0" w:color="BFBFBF"/>
            </w:tcBorders>
          </w:tcPr>
          <w:p w14:paraId="0065F0FE" w14:textId="77777777" w:rsidR="00FE13A4" w:rsidRDefault="00000000">
            <w:pPr>
              <w:spacing w:after="6"/>
            </w:pPr>
            <w:r>
              <w:rPr>
                <w:color w:val="000000"/>
                <w:sz w:val="15"/>
                <w:szCs w:val="15"/>
              </w:rPr>
              <w:t>Impact-based advisory established; alerting protocol not yet adopted</w:t>
            </w:r>
          </w:p>
        </w:tc>
      </w:tr>
      <w:tr w:rsidR="00FE13A4" w14:paraId="2FC0FBBC"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28BA336F" w14:textId="77777777" w:rsidR="00FE13A4" w:rsidRDefault="00000000">
            <w:pPr>
              <w:spacing w:after="6"/>
            </w:pPr>
            <w:r>
              <w:rPr>
                <w:color w:val="000000"/>
                <w:sz w:val="15"/>
                <w:szCs w:val="15"/>
              </w:rPr>
              <w:t>Reaching the household</w:t>
            </w:r>
          </w:p>
        </w:tc>
        <w:tc>
          <w:tcPr>
            <w:tcW w:w="3402" w:type="dxa"/>
            <w:tcBorders>
              <w:top w:val="single" w:sz="4" w:space="0" w:color="BFBFBF"/>
              <w:left w:val="single" w:sz="4" w:space="0" w:color="BFBFBF"/>
              <w:bottom w:val="single" w:sz="4" w:space="0" w:color="BFBFBF"/>
              <w:right w:val="single" w:sz="4" w:space="0" w:color="BFBFBF"/>
            </w:tcBorders>
          </w:tcPr>
          <w:p w14:paraId="0A53E5B8" w14:textId="77777777" w:rsidR="00FE13A4" w:rsidRDefault="00000000">
            <w:pPr>
              <w:spacing w:after="6"/>
            </w:pPr>
            <w:r>
              <w:rPr>
                <w:color w:val="000000"/>
                <w:sz w:val="15"/>
                <w:szCs w:val="15"/>
              </w:rPr>
              <w:t>Cell broadcasting with local-language voice; short message alerting; ring-back tone warnings</w:t>
            </w:r>
          </w:p>
        </w:tc>
        <w:tc>
          <w:tcPr>
            <w:tcW w:w="2600" w:type="dxa"/>
            <w:tcBorders>
              <w:top w:val="single" w:sz="4" w:space="0" w:color="BFBFBF"/>
              <w:left w:val="single" w:sz="4" w:space="0" w:color="BFBFBF"/>
              <w:bottom w:val="single" w:sz="4" w:space="0" w:color="BFBFBF"/>
              <w:right w:val="single" w:sz="4" w:space="0" w:color="BFBFBF"/>
            </w:tcBorders>
          </w:tcPr>
          <w:p w14:paraId="4FA086C1" w14:textId="77777777" w:rsidR="00FE13A4" w:rsidRDefault="00000000">
            <w:pPr>
              <w:spacing w:after="6"/>
            </w:pPr>
            <w:r>
              <w:rPr>
                <w:color w:val="000000"/>
                <w:sz w:val="15"/>
                <w:szCs w:val="15"/>
              </w:rPr>
              <w:t>The last mile. These are the only instruments in the set that reach a household with no institutional transfer in between</w:t>
            </w:r>
          </w:p>
        </w:tc>
        <w:tc>
          <w:tcPr>
            <w:tcW w:w="2425" w:type="dxa"/>
            <w:tcBorders>
              <w:top w:val="single" w:sz="4" w:space="0" w:color="BFBFBF"/>
              <w:left w:val="single" w:sz="4" w:space="0" w:color="BFBFBF"/>
              <w:bottom w:val="single" w:sz="4" w:space="0" w:color="BFBFBF"/>
              <w:right w:val="single" w:sz="4" w:space="0" w:color="BFBFBF"/>
            </w:tcBorders>
          </w:tcPr>
          <w:p w14:paraId="5C5E7BD2" w14:textId="77777777" w:rsidR="00FE13A4" w:rsidRDefault="00000000">
            <w:pPr>
              <w:spacing w:after="6"/>
            </w:pPr>
            <w:r>
              <w:rPr>
                <w:color w:val="000000"/>
                <w:sz w:val="15"/>
                <w:szCs w:val="15"/>
              </w:rPr>
              <w:t>Not in use. Blocked by alerting authority rather than by cost or technology</w:t>
            </w:r>
          </w:p>
        </w:tc>
      </w:tr>
      <w:tr w:rsidR="00FE13A4" w14:paraId="18896B4B"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198629F9" w14:textId="77777777" w:rsidR="00FE13A4" w:rsidRDefault="00000000">
            <w:pPr>
              <w:spacing w:after="6"/>
            </w:pPr>
            <w:r>
              <w:rPr>
                <w:color w:val="000000"/>
                <w:sz w:val="15"/>
                <w:szCs w:val="15"/>
              </w:rPr>
              <w:t>Coordination and situational awareness</w:t>
            </w:r>
          </w:p>
        </w:tc>
        <w:tc>
          <w:tcPr>
            <w:tcW w:w="3402" w:type="dxa"/>
            <w:tcBorders>
              <w:top w:val="single" w:sz="4" w:space="0" w:color="BFBFBF"/>
              <w:left w:val="single" w:sz="4" w:space="0" w:color="BFBFBF"/>
              <w:bottom w:val="single" w:sz="4" w:space="0" w:color="BFBFBF"/>
              <w:right w:val="single" w:sz="4" w:space="0" w:color="BFBFBF"/>
            </w:tcBorders>
          </w:tcPr>
          <w:p w14:paraId="4B0504A8" w14:textId="77777777" w:rsidR="00FE13A4" w:rsidRDefault="00000000">
            <w:pPr>
              <w:spacing w:after="6"/>
            </w:pPr>
            <w:r>
              <w:rPr>
                <w:color w:val="000000"/>
                <w:sz w:val="15"/>
                <w:szCs w:val="15"/>
              </w:rPr>
              <w:t>Situation room integration with national rooms; expert pooling and surge roster; loss and damage dashboards</w:t>
            </w:r>
          </w:p>
        </w:tc>
        <w:tc>
          <w:tcPr>
            <w:tcW w:w="2600" w:type="dxa"/>
            <w:tcBorders>
              <w:top w:val="single" w:sz="4" w:space="0" w:color="BFBFBF"/>
              <w:left w:val="single" w:sz="4" w:space="0" w:color="BFBFBF"/>
              <w:bottom w:val="single" w:sz="4" w:space="0" w:color="BFBFBF"/>
              <w:right w:val="single" w:sz="4" w:space="0" w:color="BFBFBF"/>
            </w:tcBorders>
          </w:tcPr>
          <w:p w14:paraId="1A907AA6" w14:textId="77777777" w:rsidR="00FE13A4" w:rsidRDefault="00000000">
            <w:pPr>
              <w:spacing w:after="6"/>
            </w:pPr>
            <w:r>
              <w:rPr>
                <w:color w:val="000000"/>
                <w:sz w:val="15"/>
                <w:szCs w:val="15"/>
              </w:rPr>
              <w:t>Turns a regional picture into an allocation of people and resources, and records what was done</w:t>
            </w:r>
          </w:p>
        </w:tc>
        <w:tc>
          <w:tcPr>
            <w:tcW w:w="2425" w:type="dxa"/>
            <w:tcBorders>
              <w:top w:val="single" w:sz="4" w:space="0" w:color="BFBFBF"/>
              <w:left w:val="single" w:sz="4" w:space="0" w:color="BFBFBF"/>
              <w:bottom w:val="single" w:sz="4" w:space="0" w:color="BFBFBF"/>
              <w:right w:val="single" w:sz="4" w:space="0" w:color="BFBFBF"/>
            </w:tcBorders>
          </w:tcPr>
          <w:p w14:paraId="33BDEF13" w14:textId="77777777" w:rsidR="00FE13A4" w:rsidRDefault="00000000">
            <w:pPr>
              <w:spacing w:after="6"/>
            </w:pPr>
            <w:r>
              <w:rPr>
                <w:color w:val="000000"/>
                <w:sz w:val="15"/>
                <w:szCs w:val="15"/>
              </w:rPr>
              <w:t>Situation room established; roster and dashboards not yet</w:t>
            </w:r>
          </w:p>
        </w:tc>
      </w:tr>
      <w:tr w:rsidR="00FE13A4" w14:paraId="63060BED"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6AE5E958" w14:textId="77777777" w:rsidR="00FE13A4" w:rsidRDefault="00000000">
            <w:pPr>
              <w:spacing w:after="6"/>
            </w:pPr>
            <w:r>
              <w:rPr>
                <w:color w:val="000000"/>
                <w:sz w:val="15"/>
                <w:szCs w:val="15"/>
              </w:rPr>
              <w:t>Response and regional logistics</w:t>
            </w:r>
          </w:p>
        </w:tc>
        <w:tc>
          <w:tcPr>
            <w:tcW w:w="3402" w:type="dxa"/>
            <w:tcBorders>
              <w:top w:val="single" w:sz="4" w:space="0" w:color="BFBFBF"/>
              <w:left w:val="single" w:sz="4" w:space="0" w:color="BFBFBF"/>
              <w:bottom w:val="single" w:sz="4" w:space="0" w:color="BFBFBF"/>
              <w:right w:val="single" w:sz="4" w:space="0" w:color="BFBFBF"/>
            </w:tcBorders>
          </w:tcPr>
          <w:p w14:paraId="1135D1A7" w14:textId="77777777" w:rsidR="00FE13A4" w:rsidRDefault="00000000">
            <w:pPr>
              <w:spacing w:after="6"/>
            </w:pPr>
            <w:r>
              <w:rPr>
                <w:color w:val="000000"/>
                <w:sz w:val="15"/>
                <w:szCs w:val="15"/>
              </w:rPr>
              <w:t>Humanitarian logistics platform; drone-based rapid mapping; aerial systems competence centre; cargo drones for last-mile delivery</w:t>
            </w:r>
          </w:p>
        </w:tc>
        <w:tc>
          <w:tcPr>
            <w:tcW w:w="2600" w:type="dxa"/>
            <w:tcBorders>
              <w:top w:val="single" w:sz="4" w:space="0" w:color="BFBFBF"/>
              <w:left w:val="single" w:sz="4" w:space="0" w:color="BFBFBF"/>
              <w:bottom w:val="single" w:sz="4" w:space="0" w:color="BFBFBF"/>
              <w:right w:val="single" w:sz="4" w:space="0" w:color="BFBFBF"/>
            </w:tcBorders>
          </w:tcPr>
          <w:p w14:paraId="58B8B0BC" w14:textId="77777777" w:rsidR="00FE13A4" w:rsidRDefault="00000000">
            <w:pPr>
              <w:spacing w:after="6"/>
            </w:pPr>
            <w:r>
              <w:rPr>
                <w:color w:val="000000"/>
                <w:sz w:val="15"/>
                <w:szCs w:val="15"/>
              </w:rPr>
              <w:t>Compresses the time between an event and an informed deployment, and moves relief where roads do not</w:t>
            </w:r>
          </w:p>
        </w:tc>
        <w:tc>
          <w:tcPr>
            <w:tcW w:w="2425" w:type="dxa"/>
            <w:tcBorders>
              <w:top w:val="single" w:sz="4" w:space="0" w:color="BFBFBF"/>
              <w:left w:val="single" w:sz="4" w:space="0" w:color="BFBFBF"/>
              <w:bottom w:val="single" w:sz="4" w:space="0" w:color="BFBFBF"/>
              <w:right w:val="single" w:sz="4" w:space="0" w:color="BFBFBF"/>
            </w:tcBorders>
          </w:tcPr>
          <w:p w14:paraId="4060F78F" w14:textId="77777777" w:rsidR="00FE13A4" w:rsidRDefault="00000000">
            <w:pPr>
              <w:spacing w:after="6"/>
            </w:pPr>
            <w:r>
              <w:rPr>
                <w:color w:val="000000"/>
                <w:sz w:val="15"/>
                <w:szCs w:val="15"/>
              </w:rPr>
              <w:t>Partner capability exists regionally; not yet integrated into SHOC’s operating procedure</w:t>
            </w:r>
          </w:p>
        </w:tc>
      </w:tr>
      <w:tr w:rsidR="00FE13A4" w14:paraId="12472E7E" w14:textId="77777777">
        <w:trPr>
          <w:cantSplit/>
        </w:trPr>
        <w:tc>
          <w:tcPr>
            <w:tcW w:w="1898" w:type="dxa"/>
            <w:tcBorders>
              <w:top w:val="single" w:sz="4" w:space="0" w:color="BFBFBF"/>
              <w:left w:val="single" w:sz="4" w:space="0" w:color="BFBFBF"/>
              <w:bottom w:val="single" w:sz="4" w:space="0" w:color="BFBFBF"/>
              <w:right w:val="single" w:sz="4" w:space="0" w:color="BFBFBF"/>
            </w:tcBorders>
          </w:tcPr>
          <w:p w14:paraId="7A048146" w14:textId="77777777" w:rsidR="00FE13A4" w:rsidRDefault="00000000">
            <w:pPr>
              <w:spacing w:after="6"/>
            </w:pPr>
            <w:r>
              <w:rPr>
                <w:color w:val="000000"/>
                <w:sz w:val="15"/>
                <w:szCs w:val="15"/>
              </w:rPr>
              <w:t>Learning and replication</w:t>
            </w:r>
          </w:p>
        </w:tc>
        <w:tc>
          <w:tcPr>
            <w:tcW w:w="3402" w:type="dxa"/>
            <w:tcBorders>
              <w:top w:val="single" w:sz="4" w:space="0" w:color="BFBFBF"/>
              <w:left w:val="single" w:sz="4" w:space="0" w:color="BFBFBF"/>
              <w:bottom w:val="single" w:sz="4" w:space="0" w:color="BFBFBF"/>
              <w:right w:val="single" w:sz="4" w:space="0" w:color="BFBFBF"/>
            </w:tcBorders>
          </w:tcPr>
          <w:p w14:paraId="19E05624" w14:textId="77777777" w:rsidR="00FE13A4" w:rsidRDefault="00000000">
            <w:pPr>
              <w:spacing w:after="6"/>
            </w:pPr>
            <w:r>
              <w:rPr>
                <w:color w:val="000000"/>
                <w:sz w:val="15"/>
                <w:szCs w:val="15"/>
              </w:rPr>
              <w:t>Weekly community reporting protocol; documentation standard</w:t>
            </w:r>
          </w:p>
        </w:tc>
        <w:tc>
          <w:tcPr>
            <w:tcW w:w="2600" w:type="dxa"/>
            <w:tcBorders>
              <w:top w:val="single" w:sz="4" w:space="0" w:color="BFBFBF"/>
              <w:left w:val="single" w:sz="4" w:space="0" w:color="BFBFBF"/>
              <w:bottom w:val="single" w:sz="4" w:space="0" w:color="BFBFBF"/>
              <w:right w:val="single" w:sz="4" w:space="0" w:color="BFBFBF"/>
            </w:tcBorders>
          </w:tcPr>
          <w:p w14:paraId="4E55525B" w14:textId="77777777" w:rsidR="00FE13A4" w:rsidRDefault="00000000">
            <w:pPr>
              <w:spacing w:after="6"/>
            </w:pPr>
            <w:r>
              <w:rPr>
                <w:color w:val="000000"/>
                <w:sz w:val="15"/>
                <w:szCs w:val="15"/>
              </w:rPr>
              <w:t>Makes each activation an entry in a regional record, so that what one Member State proves another can adopt</w:t>
            </w:r>
          </w:p>
        </w:tc>
        <w:tc>
          <w:tcPr>
            <w:tcW w:w="2425" w:type="dxa"/>
            <w:tcBorders>
              <w:top w:val="single" w:sz="4" w:space="0" w:color="BFBFBF"/>
              <w:left w:val="single" w:sz="4" w:space="0" w:color="BFBFBF"/>
              <w:bottom w:val="single" w:sz="4" w:space="0" w:color="BFBFBF"/>
              <w:right w:val="single" w:sz="4" w:space="0" w:color="BFBFBF"/>
            </w:tcBorders>
          </w:tcPr>
          <w:p w14:paraId="3A455E80" w14:textId="77777777" w:rsidR="00FE13A4" w:rsidRDefault="00000000">
            <w:pPr>
              <w:spacing w:after="6"/>
            </w:pPr>
            <w:r>
              <w:rPr>
                <w:color w:val="000000"/>
                <w:sz w:val="15"/>
                <w:szCs w:val="15"/>
              </w:rPr>
              <w:t>Not in use. The cheapest instrument in the set and the one that makes all the others transferable</w:t>
            </w:r>
          </w:p>
        </w:tc>
      </w:tr>
    </w:tbl>
    <w:p w14:paraId="4FCF5105" w14:textId="77777777" w:rsidR="00FE13A4" w:rsidRDefault="00000000">
      <w:pPr>
        <w:spacing w:before="90" w:after="40"/>
        <w:jc w:val="center"/>
      </w:pPr>
      <w:r>
        <w:rPr>
          <w:noProof/>
        </w:rPr>
        <w:drawing>
          <wp:inline distT="0" distB="0" distL="0" distR="0" wp14:anchorId="15668B9F" wp14:editId="523328F8">
            <wp:extent cx="6385157" cy="3594226"/>
            <wp:effectExtent l="0" t="0" r="3175" b="0"/>
            <wp:docPr id="4" name="Picture 78274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82747354"/>
                    <pic:cNvPicPr>
                      <a:picLocks noChangeAspect="1" noChangeArrowheads="1"/>
                    </pic:cNvPicPr>
                  </pic:nvPicPr>
                  <pic:blipFill>
                    <a:blip r:embed="rId9"/>
                    <a:stretch>
                      <a:fillRect/>
                    </a:stretch>
                  </pic:blipFill>
                  <pic:spPr bwMode="auto">
                    <a:xfrm>
                      <a:off x="0" y="0"/>
                      <a:ext cx="6533740" cy="3677864"/>
                    </a:xfrm>
                    <a:prstGeom prst="rect">
                      <a:avLst/>
                    </a:prstGeom>
                  </pic:spPr>
                </pic:pic>
              </a:graphicData>
            </a:graphic>
          </wp:inline>
        </w:drawing>
      </w:r>
    </w:p>
    <w:p w14:paraId="5F63FDF6" w14:textId="77777777" w:rsidR="00FE13A4" w:rsidRDefault="00000000">
      <w:pPr>
        <w:spacing w:after="110"/>
        <w:jc w:val="center"/>
      </w:pPr>
      <w:r>
        <w:rPr>
          <w:i/>
          <w:iCs/>
          <w:color w:val="595959"/>
          <w:sz w:val="15"/>
          <w:szCs w:val="15"/>
        </w:rPr>
        <w:t>Figure 4  ·  Ten worked examples placed on the chain from hazard signal to protective action</w:t>
      </w:r>
    </w:p>
    <w:p w14:paraId="1A12BBB5" w14:textId="77777777" w:rsidR="00FE13A4" w:rsidRDefault="00000000">
      <w:pPr>
        <w:spacing w:after="100" w:line="264" w:lineRule="auto"/>
        <w:jc w:val="both"/>
      </w:pPr>
      <w:r>
        <w:rPr>
          <w:b/>
          <w:bCs/>
          <w:color w:val="000000"/>
        </w:rPr>
        <w:t xml:space="preserve">The ten listed are examples and they are not the programme. </w:t>
      </w:r>
      <w:r>
        <w:rPr>
          <w:color w:val="000000"/>
        </w:rPr>
        <w:t>They are presented because each closes a hand-off that no other instrument closes, and because together they demonstrate the integration this Programme argues for. The larger scheme is the chain itself: any instrument that occupies one of these five positions and can be operated under SHOC’s procedures belongs in the Programme, whether or not it appears in this document.</w:t>
      </w:r>
    </w:p>
    <w:p w14:paraId="5BB7D376" w14:textId="77777777" w:rsidR="00FE13A4" w:rsidRDefault="00000000">
      <w:pPr>
        <w:spacing w:after="100" w:line="264" w:lineRule="auto"/>
        <w:jc w:val="both"/>
      </w:pPr>
      <w:r>
        <w:rPr>
          <w:color w:val="000000"/>
        </w:rPr>
        <w:lastRenderedPageBreak/>
        <w:t>The examples remain open to replacement or extension as evidence improves. Admission requires a documented gap within SHOC’s functions, demonstrated operating evidence, national legal clearance where needed, a delivery counterpart, inclusive design and a costed sustainability plan. Partnerships with national authorities, research institutions, civil society and private operators provide the delivery routes; regional standards and documented adoption pathways provide the means to scale.</w:t>
      </w:r>
    </w:p>
    <w:p w14:paraId="3638455D" w14:textId="77777777" w:rsidR="00FE13A4" w:rsidRDefault="00000000">
      <w:pPr>
        <w:pStyle w:val="Heading1"/>
        <w:spacing w:before="210" w:after="90"/>
      </w:pPr>
      <w:bookmarkStart w:id="16" w:name="__RefHeading___Toc1832_2543505351"/>
      <w:bookmarkEnd w:id="16"/>
      <w:r>
        <w:rPr>
          <w:b/>
          <w:bCs/>
          <w:color w:val="1F3864"/>
          <w:sz w:val="24"/>
          <w:szCs w:val="24"/>
        </w:rPr>
        <w:t>5.  Theory of change and the core hypothesis</w:t>
      </w:r>
    </w:p>
    <w:p w14:paraId="27C9BF0D" w14:textId="77777777" w:rsidR="00FE13A4" w:rsidRDefault="00000000">
      <w:pPr>
        <w:pStyle w:val="Heading2"/>
        <w:spacing w:before="160" w:after="70"/>
      </w:pPr>
      <w:bookmarkStart w:id="17" w:name="__RefHeading___Toc1834_2543505351"/>
      <w:bookmarkEnd w:id="17"/>
      <w:r>
        <w:rPr>
          <w:b/>
          <w:bCs/>
          <w:color w:val="BF9000"/>
          <w:sz w:val="20"/>
          <w:szCs w:val="20"/>
        </w:rPr>
        <w:t>5.1  The core hypothesis</w:t>
      </w:r>
    </w:p>
    <w:p w14:paraId="01B32D65" w14:textId="77777777" w:rsidR="00FE13A4" w:rsidRDefault="00000000">
      <w:pPr>
        <w:spacing w:after="100" w:line="264" w:lineRule="auto"/>
        <w:jc w:val="both"/>
      </w:pPr>
      <w:r>
        <w:rPr>
          <w:color w:val="000000"/>
        </w:rPr>
        <w:t>The mandate at section 2 establishes that the Community may develop frameworks, standards and programmes and may coordinate their adoption, but may not operate anything inside a Member State. The hypothesis is framed to sit inside that, which is what makes it testable.</w:t>
      </w:r>
    </w:p>
    <w:p w14:paraId="51E11CBC" w14:textId="77777777" w:rsidR="00FE13A4" w:rsidRDefault="00000000">
      <w:pPr>
        <w:spacing w:after="100" w:line="264" w:lineRule="auto"/>
        <w:jc w:val="both"/>
      </w:pPr>
      <w:r>
        <w:rPr>
          <w:b/>
          <w:bCs/>
          <w:color w:val="000000"/>
        </w:rPr>
        <w:t>If SHOC operates risk information, authorised alerting, pre-arranged financing triggers and a documented delivery record as a single chain under one set of procedures, rather than as separate tools under separate arrangements, then regional coordination shifts from reactive to anticipatory and the interval between hazard signal and protective action falls materially — because the binding constraint on that interval is the institutional hand-off between instruments, not the technical performance of any one of them.</w:t>
      </w:r>
    </w:p>
    <w:p w14:paraId="4418361C" w14:textId="77777777" w:rsidR="00FE13A4" w:rsidRDefault="00000000">
      <w:pPr>
        <w:spacing w:after="100" w:line="264" w:lineRule="auto"/>
        <w:jc w:val="both"/>
      </w:pPr>
      <w:r>
        <w:rPr>
          <w:b/>
          <w:bCs/>
          <w:color w:val="000000"/>
        </w:rPr>
        <w:t xml:space="preserve">What would falsify it. </w:t>
      </w:r>
      <w:r>
        <w:rPr>
          <w:color w:val="000000"/>
        </w:rPr>
        <w:t>If instruments were integrated under common procedure and the interval between signal and action did not fall, the hypothesis would be wrong and the constraint would lie elsewhere — most plausibly in national absorption rather than regional coordination. The logic model at section 6 is built to detect that, because a theory of change that cannot be disproved is not a theory.</w:t>
      </w:r>
    </w:p>
    <w:p w14:paraId="6FE0AA88" w14:textId="77777777" w:rsidR="00FE13A4" w:rsidRDefault="00000000">
      <w:pPr>
        <w:spacing w:before="90" w:after="40"/>
        <w:jc w:val="center"/>
      </w:pPr>
      <w:r>
        <w:rPr>
          <w:noProof/>
        </w:rPr>
        <w:drawing>
          <wp:inline distT="0" distB="0" distL="0" distR="0" wp14:anchorId="1A958330" wp14:editId="74D68D38">
            <wp:extent cx="5905500" cy="3324225"/>
            <wp:effectExtent l="0" t="0" r="0" b="0"/>
            <wp:docPr id="5" name="Picture 17726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7268740"/>
                    <pic:cNvPicPr>
                      <a:picLocks noChangeAspect="1" noChangeArrowheads="1"/>
                    </pic:cNvPicPr>
                  </pic:nvPicPr>
                  <pic:blipFill>
                    <a:blip r:embed="rId10"/>
                    <a:stretch>
                      <a:fillRect/>
                    </a:stretch>
                  </pic:blipFill>
                  <pic:spPr bwMode="auto">
                    <a:xfrm>
                      <a:off x="0" y="0"/>
                      <a:ext cx="5905500" cy="3324225"/>
                    </a:xfrm>
                    <a:prstGeom prst="rect">
                      <a:avLst/>
                    </a:prstGeom>
                  </pic:spPr>
                </pic:pic>
              </a:graphicData>
            </a:graphic>
          </wp:inline>
        </w:drawing>
      </w:r>
    </w:p>
    <w:p w14:paraId="18FB25DC" w14:textId="77777777" w:rsidR="00FE13A4" w:rsidRDefault="00000000">
      <w:pPr>
        <w:spacing w:after="110"/>
        <w:jc w:val="center"/>
      </w:pPr>
      <w:r>
        <w:rPr>
          <w:i/>
          <w:iCs/>
          <w:color w:val="595959"/>
          <w:sz w:val="15"/>
          <w:szCs w:val="15"/>
        </w:rPr>
        <w:t>Figure 5  ·  Theory of change: inputs, four pathways, outcomes and impact</w:t>
      </w:r>
    </w:p>
    <w:p w14:paraId="75E82589" w14:textId="77777777" w:rsidR="00FE13A4" w:rsidRDefault="00000000">
      <w:pPr>
        <w:pStyle w:val="Heading2"/>
        <w:spacing w:before="160" w:after="70"/>
      </w:pPr>
      <w:bookmarkStart w:id="18" w:name="__RefHeading___Toc1836_2543505351"/>
      <w:bookmarkEnd w:id="18"/>
      <w:r>
        <w:rPr>
          <w:b/>
          <w:bCs/>
          <w:color w:val="BF9000"/>
          <w:sz w:val="20"/>
          <w:szCs w:val="20"/>
        </w:rPr>
        <w:t>5.2  The four pathways</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000"/>
        <w:gridCol w:w="3598"/>
        <w:gridCol w:w="4728"/>
      </w:tblGrid>
      <w:tr w:rsidR="00FE13A4" w14:paraId="3EA72AFE"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65F4F6F2" w14:textId="77777777" w:rsidR="00FE13A4" w:rsidRDefault="00000000">
            <w:pPr>
              <w:spacing w:after="6"/>
            </w:pPr>
            <w:r>
              <w:rPr>
                <w:b/>
                <w:bCs/>
                <w:color w:val="FFFFFF"/>
                <w:sz w:val="16"/>
                <w:szCs w:val="16"/>
              </w:rPr>
              <w:t>Pathway</w:t>
            </w:r>
          </w:p>
        </w:tc>
        <w:tc>
          <w:tcPr>
            <w:tcW w:w="3598" w:type="dxa"/>
            <w:tcBorders>
              <w:top w:val="single" w:sz="4" w:space="0" w:color="BFBFBF"/>
              <w:left w:val="single" w:sz="4" w:space="0" w:color="BFBFBF"/>
              <w:bottom w:val="single" w:sz="4" w:space="0" w:color="BFBFBF"/>
              <w:right w:val="single" w:sz="4" w:space="0" w:color="BFBFBF"/>
            </w:tcBorders>
            <w:shd w:val="clear" w:color="auto" w:fill="1F3864"/>
          </w:tcPr>
          <w:p w14:paraId="01B29DA0" w14:textId="77777777" w:rsidR="00FE13A4" w:rsidRDefault="00000000">
            <w:pPr>
              <w:spacing w:after="6"/>
            </w:pPr>
            <w:r>
              <w:rPr>
                <w:b/>
                <w:bCs/>
                <w:color w:val="FFFFFF"/>
                <w:sz w:val="16"/>
                <w:szCs w:val="16"/>
              </w:rPr>
              <w:t>What changes</w:t>
            </w:r>
          </w:p>
        </w:tc>
        <w:tc>
          <w:tcPr>
            <w:tcW w:w="4728" w:type="dxa"/>
            <w:tcBorders>
              <w:top w:val="single" w:sz="4" w:space="0" w:color="BFBFBF"/>
              <w:left w:val="single" w:sz="4" w:space="0" w:color="BFBFBF"/>
              <w:bottom w:val="single" w:sz="4" w:space="0" w:color="BFBFBF"/>
              <w:right w:val="single" w:sz="4" w:space="0" w:color="BFBFBF"/>
            </w:tcBorders>
            <w:shd w:val="clear" w:color="auto" w:fill="1F3864"/>
          </w:tcPr>
          <w:p w14:paraId="3C55B255" w14:textId="77777777" w:rsidR="00FE13A4" w:rsidRDefault="00000000">
            <w:pPr>
              <w:spacing w:after="6"/>
            </w:pPr>
            <w:r>
              <w:rPr>
                <w:b/>
                <w:bCs/>
                <w:color w:val="FFFFFF"/>
                <w:sz w:val="16"/>
                <w:szCs w:val="16"/>
              </w:rPr>
              <w:t>What SHOC contributes</w:t>
            </w:r>
          </w:p>
        </w:tc>
      </w:tr>
      <w:tr w:rsidR="00FE13A4" w14:paraId="373A623C"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2E292106" w14:textId="77777777" w:rsidR="00FE13A4" w:rsidRDefault="00000000">
            <w:pPr>
              <w:spacing w:after="6"/>
            </w:pPr>
            <w:r>
              <w:rPr>
                <w:color w:val="000000"/>
                <w:sz w:val="16"/>
                <w:szCs w:val="16"/>
              </w:rPr>
              <w:t>Impact-based warning and anticipatory action</w:t>
            </w:r>
          </w:p>
        </w:tc>
        <w:tc>
          <w:tcPr>
            <w:tcW w:w="3598" w:type="dxa"/>
            <w:tcBorders>
              <w:top w:val="single" w:sz="4" w:space="0" w:color="BFBFBF"/>
              <w:left w:val="single" w:sz="4" w:space="0" w:color="BFBFBF"/>
              <w:bottom w:val="single" w:sz="4" w:space="0" w:color="BFBFBF"/>
              <w:right w:val="single" w:sz="4" w:space="0" w:color="BFBFBF"/>
            </w:tcBorders>
          </w:tcPr>
          <w:p w14:paraId="7AE4B958" w14:textId="77777777" w:rsidR="00FE13A4" w:rsidRDefault="00000000">
            <w:pPr>
              <w:spacing w:after="6"/>
            </w:pPr>
            <w:r>
              <w:rPr>
                <w:color w:val="000000"/>
                <w:sz w:val="16"/>
                <w:szCs w:val="16"/>
              </w:rPr>
              <w:t>Warnings state the expected impact and trigger pre-arranged action</w:t>
            </w:r>
          </w:p>
        </w:tc>
        <w:tc>
          <w:tcPr>
            <w:tcW w:w="4728" w:type="dxa"/>
            <w:tcBorders>
              <w:top w:val="single" w:sz="4" w:space="0" w:color="BFBFBF"/>
              <w:left w:val="single" w:sz="4" w:space="0" w:color="BFBFBF"/>
              <w:bottom w:val="single" w:sz="4" w:space="0" w:color="BFBFBF"/>
              <w:right w:val="single" w:sz="4" w:space="0" w:color="BFBFBF"/>
            </w:tcBorders>
          </w:tcPr>
          <w:p w14:paraId="33A760D4" w14:textId="77777777" w:rsidR="00FE13A4" w:rsidRDefault="00000000">
            <w:pPr>
              <w:spacing w:after="6"/>
            </w:pPr>
            <w:r>
              <w:rPr>
                <w:color w:val="000000"/>
                <w:sz w:val="16"/>
                <w:szCs w:val="16"/>
              </w:rPr>
              <w:t>The regional advisory and the trigger standard that Member States adopt</w:t>
            </w:r>
          </w:p>
        </w:tc>
      </w:tr>
      <w:tr w:rsidR="00FE13A4" w14:paraId="2CFE9D89"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55D75AA2" w14:textId="77777777" w:rsidR="00FE13A4" w:rsidRDefault="00000000">
            <w:pPr>
              <w:spacing w:after="6"/>
            </w:pPr>
            <w:r>
              <w:rPr>
                <w:color w:val="000000"/>
                <w:sz w:val="16"/>
                <w:szCs w:val="16"/>
              </w:rPr>
              <w:t>Authority designated and exercised</w:t>
            </w:r>
          </w:p>
        </w:tc>
        <w:tc>
          <w:tcPr>
            <w:tcW w:w="3598" w:type="dxa"/>
            <w:tcBorders>
              <w:top w:val="single" w:sz="4" w:space="0" w:color="BFBFBF"/>
              <w:left w:val="single" w:sz="4" w:space="0" w:color="BFBFBF"/>
              <w:bottom w:val="single" w:sz="4" w:space="0" w:color="BFBFBF"/>
              <w:right w:val="single" w:sz="4" w:space="0" w:color="BFBFBF"/>
            </w:tcBorders>
          </w:tcPr>
          <w:p w14:paraId="41BCD397" w14:textId="77777777" w:rsidR="00FE13A4" w:rsidRDefault="00000000">
            <w:pPr>
              <w:spacing w:after="6"/>
            </w:pPr>
            <w:r>
              <w:rPr>
                <w:color w:val="000000"/>
                <w:sz w:val="16"/>
                <w:szCs w:val="16"/>
              </w:rPr>
              <w:t>Someone is lawfully able to issue a public warning, and does</w:t>
            </w:r>
          </w:p>
        </w:tc>
        <w:tc>
          <w:tcPr>
            <w:tcW w:w="4728" w:type="dxa"/>
            <w:tcBorders>
              <w:top w:val="single" w:sz="4" w:space="0" w:color="BFBFBF"/>
              <w:left w:val="single" w:sz="4" w:space="0" w:color="BFBFBF"/>
              <w:bottom w:val="single" w:sz="4" w:space="0" w:color="BFBFBF"/>
              <w:right w:val="single" w:sz="4" w:space="0" w:color="BFBFBF"/>
            </w:tcBorders>
          </w:tcPr>
          <w:p w14:paraId="040E206D" w14:textId="77777777" w:rsidR="00FE13A4" w:rsidRDefault="00000000">
            <w:pPr>
              <w:spacing w:after="6"/>
            </w:pPr>
            <w:r>
              <w:rPr>
                <w:color w:val="000000"/>
                <w:sz w:val="16"/>
                <w:szCs w:val="16"/>
              </w:rPr>
              <w:t>Convening the regulators and operators; supplying the alerting standard</w:t>
            </w:r>
          </w:p>
        </w:tc>
      </w:tr>
      <w:tr w:rsidR="00FE13A4" w14:paraId="49616D62"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3EEE637E" w14:textId="77777777" w:rsidR="00FE13A4" w:rsidRDefault="00000000">
            <w:pPr>
              <w:spacing w:after="6"/>
            </w:pPr>
            <w:r>
              <w:rPr>
                <w:color w:val="000000"/>
                <w:sz w:val="16"/>
                <w:szCs w:val="16"/>
              </w:rPr>
              <w:t>Documented and replicated</w:t>
            </w:r>
          </w:p>
        </w:tc>
        <w:tc>
          <w:tcPr>
            <w:tcW w:w="3598" w:type="dxa"/>
            <w:tcBorders>
              <w:top w:val="single" w:sz="4" w:space="0" w:color="BFBFBF"/>
              <w:left w:val="single" w:sz="4" w:space="0" w:color="BFBFBF"/>
              <w:bottom w:val="single" w:sz="4" w:space="0" w:color="BFBFBF"/>
              <w:right w:val="single" w:sz="4" w:space="0" w:color="BFBFBF"/>
            </w:tcBorders>
          </w:tcPr>
          <w:p w14:paraId="5A6BA0A1" w14:textId="77777777" w:rsidR="00FE13A4" w:rsidRDefault="00000000">
            <w:pPr>
              <w:spacing w:after="6"/>
            </w:pPr>
            <w:r>
              <w:rPr>
                <w:color w:val="000000"/>
                <w:sz w:val="16"/>
                <w:szCs w:val="16"/>
              </w:rPr>
              <w:t>What works in one Member State is recorded and offered to the others</w:t>
            </w:r>
          </w:p>
        </w:tc>
        <w:tc>
          <w:tcPr>
            <w:tcW w:w="4728" w:type="dxa"/>
            <w:tcBorders>
              <w:top w:val="single" w:sz="4" w:space="0" w:color="BFBFBF"/>
              <w:left w:val="single" w:sz="4" w:space="0" w:color="BFBFBF"/>
              <w:bottom w:val="single" w:sz="4" w:space="0" w:color="BFBFBF"/>
              <w:right w:val="single" w:sz="4" w:space="0" w:color="BFBFBF"/>
            </w:tcBorders>
          </w:tcPr>
          <w:p w14:paraId="6DFE21BE" w14:textId="77777777" w:rsidR="00FE13A4" w:rsidRDefault="00000000">
            <w:pPr>
              <w:spacing w:after="6"/>
            </w:pPr>
            <w:r>
              <w:rPr>
                <w:color w:val="000000"/>
                <w:sz w:val="16"/>
                <w:szCs w:val="16"/>
              </w:rPr>
              <w:t>The regional record, which only SHOC is positioned to hold</w:t>
            </w:r>
          </w:p>
        </w:tc>
      </w:tr>
      <w:tr w:rsidR="00FE13A4" w14:paraId="08E034B7"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39AE3014" w14:textId="77777777" w:rsidR="00FE13A4" w:rsidRDefault="00000000">
            <w:pPr>
              <w:spacing w:after="6"/>
            </w:pPr>
            <w:r>
              <w:rPr>
                <w:color w:val="000000"/>
                <w:sz w:val="16"/>
                <w:szCs w:val="16"/>
              </w:rPr>
              <w:t>Warnings reach and move households</w:t>
            </w:r>
          </w:p>
        </w:tc>
        <w:tc>
          <w:tcPr>
            <w:tcW w:w="3598" w:type="dxa"/>
            <w:tcBorders>
              <w:top w:val="single" w:sz="4" w:space="0" w:color="BFBFBF"/>
              <w:left w:val="single" w:sz="4" w:space="0" w:color="BFBFBF"/>
              <w:bottom w:val="single" w:sz="4" w:space="0" w:color="BFBFBF"/>
              <w:right w:val="single" w:sz="4" w:space="0" w:color="BFBFBF"/>
            </w:tcBorders>
          </w:tcPr>
          <w:p w14:paraId="6A77432F" w14:textId="77777777" w:rsidR="00FE13A4" w:rsidRDefault="00000000">
            <w:pPr>
              <w:spacing w:after="6"/>
            </w:pPr>
            <w:r>
              <w:rPr>
                <w:color w:val="000000"/>
                <w:sz w:val="16"/>
                <w:szCs w:val="16"/>
              </w:rPr>
              <w:t>A warning arrives in a language and channel people trust, and produces an action</w:t>
            </w:r>
          </w:p>
        </w:tc>
        <w:tc>
          <w:tcPr>
            <w:tcW w:w="4728" w:type="dxa"/>
            <w:tcBorders>
              <w:top w:val="single" w:sz="4" w:space="0" w:color="BFBFBF"/>
              <w:left w:val="single" w:sz="4" w:space="0" w:color="BFBFBF"/>
              <w:bottom w:val="single" w:sz="4" w:space="0" w:color="BFBFBF"/>
              <w:right w:val="single" w:sz="4" w:space="0" w:color="BFBFBF"/>
            </w:tcBorders>
          </w:tcPr>
          <w:p w14:paraId="7C594CB2" w14:textId="77777777" w:rsidR="00FE13A4" w:rsidRDefault="00000000">
            <w:pPr>
              <w:spacing w:after="6"/>
            </w:pPr>
            <w:r>
              <w:rPr>
                <w:color w:val="000000"/>
                <w:sz w:val="16"/>
                <w:szCs w:val="16"/>
              </w:rPr>
              <w:t>The message standard and the verification that action followed</w:t>
            </w:r>
          </w:p>
        </w:tc>
      </w:tr>
    </w:tbl>
    <w:p w14:paraId="109F9491" w14:textId="77777777" w:rsidR="00404224" w:rsidRDefault="00404224">
      <w:pPr>
        <w:pStyle w:val="Heading2"/>
        <w:spacing w:before="160" w:after="70"/>
        <w:rPr>
          <w:b/>
          <w:bCs/>
          <w:color w:val="BF9000"/>
          <w:sz w:val="20"/>
          <w:szCs w:val="20"/>
        </w:rPr>
      </w:pPr>
      <w:bookmarkStart w:id="19" w:name="__RefHeading___Toc1838_2543505351"/>
      <w:bookmarkEnd w:id="19"/>
    </w:p>
    <w:p w14:paraId="5DE2038B" w14:textId="77777777" w:rsidR="00404224" w:rsidRDefault="00404224">
      <w:pPr>
        <w:pStyle w:val="Heading2"/>
        <w:spacing w:before="160" w:after="70"/>
        <w:rPr>
          <w:b/>
          <w:bCs/>
          <w:color w:val="BF9000"/>
          <w:sz w:val="20"/>
          <w:szCs w:val="20"/>
        </w:rPr>
      </w:pPr>
    </w:p>
    <w:p w14:paraId="1C53011D" w14:textId="55133B97" w:rsidR="00FE13A4" w:rsidRDefault="00000000">
      <w:pPr>
        <w:pStyle w:val="Heading2"/>
        <w:spacing w:before="160" w:after="70"/>
      </w:pPr>
      <w:r>
        <w:rPr>
          <w:b/>
          <w:bCs/>
          <w:color w:val="BF9000"/>
          <w:sz w:val="20"/>
          <w:szCs w:val="20"/>
        </w:rPr>
        <w:t>5.3  The assumptions that carry the most weight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998"/>
        <w:gridCol w:w="3602"/>
        <w:gridCol w:w="3726"/>
      </w:tblGrid>
      <w:tr w:rsidR="00FE13A4" w14:paraId="1BF224B3" w14:textId="77777777">
        <w:trPr>
          <w:cantSplit/>
          <w:tblHeader/>
        </w:trPr>
        <w:tc>
          <w:tcPr>
            <w:tcW w:w="2998" w:type="dxa"/>
            <w:tcBorders>
              <w:top w:val="single" w:sz="4" w:space="0" w:color="BFBFBF"/>
              <w:left w:val="single" w:sz="4" w:space="0" w:color="BFBFBF"/>
              <w:bottom w:val="single" w:sz="4" w:space="0" w:color="BFBFBF"/>
              <w:right w:val="single" w:sz="4" w:space="0" w:color="BFBFBF"/>
            </w:tcBorders>
            <w:shd w:val="clear" w:color="auto" w:fill="1F3864"/>
          </w:tcPr>
          <w:p w14:paraId="375E6497" w14:textId="77777777" w:rsidR="00FE13A4" w:rsidRDefault="00000000">
            <w:pPr>
              <w:spacing w:after="6"/>
            </w:pPr>
            <w:r>
              <w:rPr>
                <w:b/>
                <w:bCs/>
                <w:color w:val="FFFFFF"/>
                <w:sz w:val="16"/>
                <w:szCs w:val="16"/>
              </w:rPr>
              <w:t>Assumption</w:t>
            </w:r>
          </w:p>
        </w:tc>
        <w:tc>
          <w:tcPr>
            <w:tcW w:w="3602" w:type="dxa"/>
            <w:tcBorders>
              <w:top w:val="single" w:sz="4" w:space="0" w:color="BFBFBF"/>
              <w:left w:val="single" w:sz="4" w:space="0" w:color="BFBFBF"/>
              <w:bottom w:val="single" w:sz="4" w:space="0" w:color="BFBFBF"/>
              <w:right w:val="single" w:sz="4" w:space="0" w:color="BFBFBF"/>
            </w:tcBorders>
            <w:shd w:val="clear" w:color="auto" w:fill="1F3864"/>
          </w:tcPr>
          <w:p w14:paraId="3B45D164" w14:textId="77777777" w:rsidR="00FE13A4" w:rsidRDefault="00000000">
            <w:pPr>
              <w:spacing w:after="6"/>
            </w:pPr>
            <w:r>
              <w:rPr>
                <w:b/>
                <w:bCs/>
                <w:color w:val="FFFFFF"/>
                <w:sz w:val="16"/>
                <w:szCs w:val="16"/>
              </w:rPr>
              <w:t>If it fails</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Pr>
          <w:p w14:paraId="007ECFAF" w14:textId="77777777" w:rsidR="00FE13A4" w:rsidRDefault="00000000">
            <w:pPr>
              <w:spacing w:after="6"/>
            </w:pPr>
            <w:r>
              <w:rPr>
                <w:b/>
                <w:bCs/>
                <w:color w:val="FFFFFF"/>
                <w:sz w:val="16"/>
                <w:szCs w:val="16"/>
              </w:rPr>
              <w:t>How it is managed</w:t>
            </w:r>
          </w:p>
        </w:tc>
      </w:tr>
      <w:tr w:rsidR="00FE13A4" w14:paraId="56325B71" w14:textId="77777777">
        <w:trPr>
          <w:cantSplit/>
        </w:trPr>
        <w:tc>
          <w:tcPr>
            <w:tcW w:w="2998" w:type="dxa"/>
            <w:tcBorders>
              <w:top w:val="single" w:sz="4" w:space="0" w:color="BFBFBF"/>
              <w:left w:val="single" w:sz="4" w:space="0" w:color="BFBFBF"/>
              <w:bottom w:val="single" w:sz="4" w:space="0" w:color="BFBFBF"/>
              <w:right w:val="single" w:sz="4" w:space="0" w:color="BFBFBF"/>
            </w:tcBorders>
          </w:tcPr>
          <w:p w14:paraId="33769C61" w14:textId="77777777" w:rsidR="00FE13A4" w:rsidRDefault="00000000">
            <w:pPr>
              <w:spacing w:after="6"/>
            </w:pPr>
            <w:r>
              <w:rPr>
                <w:color w:val="000000"/>
                <w:sz w:val="16"/>
                <w:szCs w:val="16"/>
              </w:rPr>
              <w:t>Member States designate who may lawfully issue a public warning</w:t>
            </w:r>
          </w:p>
        </w:tc>
        <w:tc>
          <w:tcPr>
            <w:tcW w:w="3602" w:type="dxa"/>
            <w:tcBorders>
              <w:top w:val="single" w:sz="4" w:space="0" w:color="BFBFBF"/>
              <w:left w:val="single" w:sz="4" w:space="0" w:color="BFBFBF"/>
              <w:bottom w:val="single" w:sz="4" w:space="0" w:color="BFBFBF"/>
              <w:right w:val="single" w:sz="4" w:space="0" w:color="BFBFBF"/>
            </w:tcBorders>
          </w:tcPr>
          <w:p w14:paraId="685A00CD" w14:textId="77777777" w:rsidR="00FE13A4" w:rsidRDefault="00000000">
            <w:pPr>
              <w:spacing w:after="6"/>
            </w:pPr>
            <w:r>
              <w:rPr>
                <w:color w:val="000000"/>
                <w:sz w:val="16"/>
                <w:szCs w:val="16"/>
              </w:rPr>
              <w:t>The last-mile instruments cannot be switched on and the chain stops one step short of the household</w:t>
            </w:r>
          </w:p>
        </w:tc>
        <w:tc>
          <w:tcPr>
            <w:tcW w:w="3726" w:type="dxa"/>
            <w:tcBorders>
              <w:top w:val="single" w:sz="4" w:space="0" w:color="BFBFBF"/>
              <w:left w:val="single" w:sz="4" w:space="0" w:color="BFBFBF"/>
              <w:bottom w:val="single" w:sz="4" w:space="0" w:color="BFBFBF"/>
              <w:right w:val="single" w:sz="4" w:space="0" w:color="BFBFBF"/>
            </w:tcBorders>
          </w:tcPr>
          <w:p w14:paraId="5FDDAC93" w14:textId="77777777" w:rsidR="00FE13A4" w:rsidRDefault="00000000">
            <w:pPr>
              <w:spacing w:after="6"/>
            </w:pPr>
            <w:r>
              <w:rPr>
                <w:color w:val="000000"/>
                <w:sz w:val="16"/>
                <w:szCs w:val="16"/>
              </w:rPr>
              <w:t>Sequenced first. Regulatory convening precedes investment in alerting technology</w:t>
            </w:r>
          </w:p>
        </w:tc>
      </w:tr>
      <w:tr w:rsidR="00FE13A4" w14:paraId="3AA22F76" w14:textId="77777777">
        <w:trPr>
          <w:cantSplit/>
        </w:trPr>
        <w:tc>
          <w:tcPr>
            <w:tcW w:w="2998" w:type="dxa"/>
            <w:tcBorders>
              <w:top w:val="single" w:sz="4" w:space="0" w:color="BFBFBF"/>
              <w:left w:val="single" w:sz="4" w:space="0" w:color="BFBFBF"/>
              <w:bottom w:val="single" w:sz="4" w:space="0" w:color="BFBFBF"/>
              <w:right w:val="single" w:sz="4" w:space="0" w:color="BFBFBF"/>
            </w:tcBorders>
          </w:tcPr>
          <w:p w14:paraId="64EAE84C" w14:textId="77777777" w:rsidR="00FE13A4" w:rsidRDefault="00000000">
            <w:pPr>
              <w:spacing w:after="6"/>
            </w:pPr>
            <w:r>
              <w:rPr>
                <w:color w:val="000000"/>
                <w:sz w:val="16"/>
                <w:szCs w:val="16"/>
              </w:rPr>
              <w:t>Operating institutions document what happened to a common standard</w:t>
            </w:r>
          </w:p>
        </w:tc>
        <w:tc>
          <w:tcPr>
            <w:tcW w:w="3602" w:type="dxa"/>
            <w:tcBorders>
              <w:top w:val="single" w:sz="4" w:space="0" w:color="BFBFBF"/>
              <w:left w:val="single" w:sz="4" w:space="0" w:color="BFBFBF"/>
              <w:bottom w:val="single" w:sz="4" w:space="0" w:color="BFBFBF"/>
              <w:right w:val="single" w:sz="4" w:space="0" w:color="BFBFBF"/>
            </w:tcBorders>
          </w:tcPr>
          <w:p w14:paraId="22DE9B2E" w14:textId="77777777" w:rsidR="00FE13A4" w:rsidRDefault="00000000">
            <w:pPr>
              <w:spacing w:after="6"/>
            </w:pPr>
            <w:r>
              <w:rPr>
                <w:color w:val="000000"/>
                <w:sz w:val="16"/>
                <w:szCs w:val="16"/>
              </w:rPr>
              <w:t xml:space="preserve">Instruments work where they are and remain </w:t>
            </w:r>
            <w:proofErr w:type="spellStart"/>
            <w:r>
              <w:rPr>
                <w:color w:val="000000"/>
                <w:sz w:val="16"/>
                <w:szCs w:val="16"/>
              </w:rPr>
              <w:t>unreplicable</w:t>
            </w:r>
            <w:proofErr w:type="spellEnd"/>
            <w:r>
              <w:rPr>
                <w:color w:val="000000"/>
                <w:sz w:val="16"/>
                <w:szCs w:val="16"/>
              </w:rPr>
              <w:t xml:space="preserve"> everywhere else</w:t>
            </w:r>
          </w:p>
        </w:tc>
        <w:tc>
          <w:tcPr>
            <w:tcW w:w="3726" w:type="dxa"/>
            <w:tcBorders>
              <w:top w:val="single" w:sz="4" w:space="0" w:color="BFBFBF"/>
              <w:left w:val="single" w:sz="4" w:space="0" w:color="BFBFBF"/>
              <w:bottom w:val="single" w:sz="4" w:space="0" w:color="BFBFBF"/>
              <w:right w:val="single" w:sz="4" w:space="0" w:color="BFBFBF"/>
            </w:tcBorders>
          </w:tcPr>
          <w:p w14:paraId="50F3F8F2" w14:textId="77777777" w:rsidR="00FE13A4" w:rsidRDefault="00000000">
            <w:pPr>
              <w:spacing w:after="6"/>
            </w:pPr>
            <w:r>
              <w:rPr>
                <w:color w:val="000000"/>
                <w:sz w:val="16"/>
                <w:szCs w:val="16"/>
              </w:rPr>
              <w:t>Documentation is a condition of completion for every instrument, not a reporting courtesy</w:t>
            </w:r>
          </w:p>
        </w:tc>
      </w:tr>
      <w:tr w:rsidR="00FE13A4" w14:paraId="463F0D24" w14:textId="77777777">
        <w:trPr>
          <w:cantSplit/>
        </w:trPr>
        <w:tc>
          <w:tcPr>
            <w:tcW w:w="2998" w:type="dxa"/>
            <w:tcBorders>
              <w:top w:val="single" w:sz="4" w:space="0" w:color="BFBFBF"/>
              <w:left w:val="single" w:sz="4" w:space="0" w:color="BFBFBF"/>
              <w:bottom w:val="single" w:sz="4" w:space="0" w:color="BFBFBF"/>
              <w:right w:val="single" w:sz="4" w:space="0" w:color="BFBFBF"/>
            </w:tcBorders>
          </w:tcPr>
          <w:p w14:paraId="7B0389A5" w14:textId="77777777" w:rsidR="00FE13A4" w:rsidRDefault="00000000">
            <w:pPr>
              <w:spacing w:after="6"/>
            </w:pPr>
            <w:r>
              <w:rPr>
                <w:color w:val="000000"/>
                <w:sz w:val="16"/>
                <w:szCs w:val="16"/>
              </w:rPr>
              <w:t>Recurrent cost is carried after the investment period</w:t>
            </w:r>
          </w:p>
        </w:tc>
        <w:tc>
          <w:tcPr>
            <w:tcW w:w="3602" w:type="dxa"/>
            <w:tcBorders>
              <w:top w:val="single" w:sz="4" w:space="0" w:color="BFBFBF"/>
              <w:left w:val="single" w:sz="4" w:space="0" w:color="BFBFBF"/>
              <w:bottom w:val="single" w:sz="4" w:space="0" w:color="BFBFBF"/>
              <w:right w:val="single" w:sz="4" w:space="0" w:color="BFBFBF"/>
            </w:tcBorders>
          </w:tcPr>
          <w:p w14:paraId="51C47F98" w14:textId="77777777" w:rsidR="00FE13A4" w:rsidRDefault="00000000">
            <w:pPr>
              <w:spacing w:after="6"/>
            </w:pPr>
            <w:r>
              <w:rPr>
                <w:color w:val="000000"/>
                <w:sz w:val="16"/>
                <w:szCs w:val="16"/>
              </w:rPr>
              <w:t>Instruments stop in their second or third year</w:t>
            </w:r>
          </w:p>
        </w:tc>
        <w:tc>
          <w:tcPr>
            <w:tcW w:w="3726" w:type="dxa"/>
            <w:tcBorders>
              <w:top w:val="single" w:sz="4" w:space="0" w:color="BFBFBF"/>
              <w:left w:val="single" w:sz="4" w:space="0" w:color="BFBFBF"/>
              <w:bottom w:val="single" w:sz="4" w:space="0" w:color="BFBFBF"/>
              <w:right w:val="single" w:sz="4" w:space="0" w:color="BFBFBF"/>
            </w:tcBorders>
          </w:tcPr>
          <w:p w14:paraId="7A5FBF69" w14:textId="77777777" w:rsidR="00FE13A4" w:rsidRDefault="00000000">
            <w:pPr>
              <w:spacing w:after="6"/>
            </w:pPr>
            <w:r>
              <w:rPr>
                <w:color w:val="000000"/>
                <w:sz w:val="16"/>
                <w:szCs w:val="16"/>
              </w:rPr>
              <w:t>A named accountable post and a budget line are required before an instrument is accepted as complete</w:t>
            </w:r>
          </w:p>
        </w:tc>
      </w:tr>
    </w:tbl>
    <w:p w14:paraId="7BE7EA6D" w14:textId="77777777" w:rsidR="00FE13A4" w:rsidRDefault="00000000">
      <w:pPr>
        <w:pStyle w:val="Heading1"/>
        <w:spacing w:before="210" w:after="90"/>
      </w:pPr>
      <w:bookmarkStart w:id="20" w:name="__RefHeading___Toc1840_2543505351"/>
      <w:bookmarkEnd w:id="20"/>
      <w:r>
        <w:rPr>
          <w:b/>
          <w:bCs/>
          <w:color w:val="1F3864"/>
          <w:sz w:val="24"/>
          <w:szCs w:val="24"/>
        </w:rPr>
        <w:t>6.  Logic model</w:t>
      </w:r>
    </w:p>
    <w:p w14:paraId="0B195B53" w14:textId="77777777" w:rsidR="00FE13A4" w:rsidRDefault="00000000">
      <w:pPr>
        <w:spacing w:after="100" w:line="264" w:lineRule="auto"/>
        <w:jc w:val="both"/>
      </w:pPr>
      <w:r>
        <w:rPr>
          <w:color w:val="000000"/>
        </w:rPr>
        <w:t>The theory of change states the direction of travel. The logic model states what will be built, what will be measured, and what each measurement rests on. Every indicator below is readable from records that already exist or that the instruments themselves produce; an indicator requiring a new collection instrument has been removed rather than carried, because an unmeasured indicator is worse than none.</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1500"/>
        <w:gridCol w:w="2698"/>
        <w:gridCol w:w="2302"/>
        <w:gridCol w:w="1900"/>
        <w:gridCol w:w="1926"/>
      </w:tblGrid>
      <w:tr w:rsidR="00FE13A4" w14:paraId="6AF3728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66D13F10" w14:textId="77777777" w:rsidR="00FE13A4" w:rsidRDefault="00000000">
            <w:pPr>
              <w:spacing w:after="6"/>
            </w:pPr>
            <w:r>
              <w:rPr>
                <w:b/>
                <w:bCs/>
                <w:color w:val="FFFFFF"/>
                <w:sz w:val="14"/>
                <w:szCs w:val="14"/>
              </w:rPr>
              <w:t>Level</w:t>
            </w:r>
          </w:p>
        </w:tc>
        <w:tc>
          <w:tcPr>
            <w:tcW w:w="2698" w:type="dxa"/>
            <w:tcBorders>
              <w:top w:val="single" w:sz="4" w:space="0" w:color="BFBFBF"/>
              <w:left w:val="single" w:sz="4" w:space="0" w:color="BFBFBF"/>
              <w:bottom w:val="single" w:sz="4" w:space="0" w:color="BFBFBF"/>
              <w:right w:val="single" w:sz="4" w:space="0" w:color="BFBFBF"/>
            </w:tcBorders>
            <w:shd w:val="clear" w:color="auto" w:fill="1F3864"/>
          </w:tcPr>
          <w:p w14:paraId="046D46B2" w14:textId="77777777" w:rsidR="00FE13A4" w:rsidRDefault="00000000">
            <w:pPr>
              <w:spacing w:after="6"/>
            </w:pPr>
            <w:r>
              <w:rPr>
                <w:b/>
                <w:bCs/>
                <w:color w:val="FFFFFF"/>
                <w:sz w:val="14"/>
                <w:szCs w:val="14"/>
              </w:rPr>
              <w:t>Result</w:t>
            </w:r>
          </w:p>
        </w:tc>
        <w:tc>
          <w:tcPr>
            <w:tcW w:w="2302" w:type="dxa"/>
            <w:tcBorders>
              <w:top w:val="single" w:sz="4" w:space="0" w:color="BFBFBF"/>
              <w:left w:val="single" w:sz="4" w:space="0" w:color="BFBFBF"/>
              <w:bottom w:val="single" w:sz="4" w:space="0" w:color="BFBFBF"/>
              <w:right w:val="single" w:sz="4" w:space="0" w:color="BFBFBF"/>
            </w:tcBorders>
            <w:shd w:val="clear" w:color="auto" w:fill="1F3864"/>
          </w:tcPr>
          <w:p w14:paraId="6F3DD422" w14:textId="77777777" w:rsidR="00FE13A4" w:rsidRDefault="00000000">
            <w:pPr>
              <w:spacing w:after="6"/>
            </w:pPr>
            <w:r>
              <w:rPr>
                <w:b/>
                <w:bCs/>
                <w:color w:val="FFFFFF"/>
                <w:sz w:val="14"/>
                <w:szCs w:val="14"/>
              </w:rPr>
              <w:t>Indicator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Pr>
          <w:p w14:paraId="32000268" w14:textId="77777777" w:rsidR="00FE13A4" w:rsidRDefault="00000000">
            <w:pPr>
              <w:spacing w:after="6"/>
            </w:pPr>
            <w:r>
              <w:rPr>
                <w:b/>
                <w:bCs/>
                <w:color w:val="FFFFFF"/>
                <w:sz w:val="14"/>
                <w:szCs w:val="14"/>
              </w:rPr>
              <w:t>Means of verification</w:t>
            </w:r>
          </w:p>
        </w:tc>
        <w:tc>
          <w:tcPr>
            <w:tcW w:w="1926" w:type="dxa"/>
            <w:tcBorders>
              <w:top w:val="single" w:sz="4" w:space="0" w:color="BFBFBF"/>
              <w:left w:val="single" w:sz="4" w:space="0" w:color="BFBFBF"/>
              <w:bottom w:val="single" w:sz="4" w:space="0" w:color="BFBFBF"/>
              <w:right w:val="single" w:sz="4" w:space="0" w:color="BFBFBF"/>
            </w:tcBorders>
            <w:shd w:val="clear" w:color="auto" w:fill="1F3864"/>
          </w:tcPr>
          <w:p w14:paraId="45691264" w14:textId="77777777" w:rsidR="00FE13A4" w:rsidRDefault="00000000">
            <w:pPr>
              <w:spacing w:after="6"/>
            </w:pPr>
            <w:r>
              <w:rPr>
                <w:b/>
                <w:bCs/>
                <w:color w:val="FFFFFF"/>
                <w:sz w:val="14"/>
                <w:szCs w:val="14"/>
              </w:rPr>
              <w:t>Assumption</w:t>
            </w:r>
          </w:p>
        </w:tc>
      </w:tr>
      <w:tr w:rsidR="00FE13A4" w14:paraId="6790F986"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187D639C" w14:textId="77777777" w:rsidR="00FE13A4" w:rsidRDefault="00000000">
            <w:pPr>
              <w:spacing w:after="6"/>
            </w:pPr>
            <w:r>
              <w:rPr>
                <w:color w:val="000000"/>
                <w:sz w:val="14"/>
                <w:szCs w:val="14"/>
              </w:rPr>
              <w:t>Impact</w:t>
            </w:r>
          </w:p>
        </w:tc>
        <w:tc>
          <w:tcPr>
            <w:tcW w:w="2698" w:type="dxa"/>
            <w:tcBorders>
              <w:top w:val="single" w:sz="4" w:space="0" w:color="BFBFBF"/>
              <w:left w:val="single" w:sz="4" w:space="0" w:color="BFBFBF"/>
              <w:bottom w:val="single" w:sz="4" w:space="0" w:color="BFBFBF"/>
              <w:right w:val="single" w:sz="4" w:space="0" w:color="BFBFBF"/>
            </w:tcBorders>
          </w:tcPr>
          <w:p w14:paraId="1D6324ED" w14:textId="77777777" w:rsidR="00FE13A4" w:rsidRDefault="00000000">
            <w:pPr>
              <w:spacing w:after="6"/>
            </w:pPr>
            <w:r>
              <w:rPr>
                <w:color w:val="000000"/>
                <w:sz w:val="14"/>
                <w:szCs w:val="14"/>
              </w:rPr>
              <w:t>Reduced disaster mortality, displacement and economic loss in participating Member States</w:t>
            </w:r>
          </w:p>
        </w:tc>
        <w:tc>
          <w:tcPr>
            <w:tcW w:w="2302" w:type="dxa"/>
            <w:tcBorders>
              <w:top w:val="single" w:sz="4" w:space="0" w:color="BFBFBF"/>
              <w:left w:val="single" w:sz="4" w:space="0" w:color="BFBFBF"/>
              <w:bottom w:val="single" w:sz="4" w:space="0" w:color="BFBFBF"/>
              <w:right w:val="single" w:sz="4" w:space="0" w:color="BFBFBF"/>
            </w:tcBorders>
          </w:tcPr>
          <w:p w14:paraId="7F8C55FC" w14:textId="77777777" w:rsidR="00FE13A4" w:rsidRDefault="00000000">
            <w:pPr>
              <w:spacing w:after="6"/>
            </w:pPr>
            <w:r>
              <w:rPr>
                <w:color w:val="000000"/>
                <w:sz w:val="14"/>
                <w:szCs w:val="14"/>
              </w:rPr>
              <w:t>Sendai Framework Targets A, B and C</w:t>
            </w:r>
          </w:p>
        </w:tc>
        <w:tc>
          <w:tcPr>
            <w:tcW w:w="1900" w:type="dxa"/>
            <w:tcBorders>
              <w:top w:val="single" w:sz="4" w:space="0" w:color="BFBFBF"/>
              <w:left w:val="single" w:sz="4" w:space="0" w:color="BFBFBF"/>
              <w:bottom w:val="single" w:sz="4" w:space="0" w:color="BFBFBF"/>
              <w:right w:val="single" w:sz="4" w:space="0" w:color="BFBFBF"/>
            </w:tcBorders>
          </w:tcPr>
          <w:p w14:paraId="45CBA619" w14:textId="77777777" w:rsidR="00FE13A4" w:rsidRDefault="00000000">
            <w:pPr>
              <w:spacing w:after="6"/>
            </w:pPr>
            <w:r>
              <w:rPr>
                <w:color w:val="000000"/>
                <w:sz w:val="14"/>
                <w:szCs w:val="14"/>
              </w:rPr>
              <w:t>Member State returns to the Sendai monitoring system</w:t>
            </w:r>
          </w:p>
        </w:tc>
        <w:tc>
          <w:tcPr>
            <w:tcW w:w="1926" w:type="dxa"/>
            <w:tcBorders>
              <w:top w:val="single" w:sz="4" w:space="0" w:color="BFBFBF"/>
              <w:left w:val="single" w:sz="4" w:space="0" w:color="BFBFBF"/>
              <w:bottom w:val="single" w:sz="4" w:space="0" w:color="BFBFBF"/>
              <w:right w:val="single" w:sz="4" w:space="0" w:color="BFBFBF"/>
            </w:tcBorders>
          </w:tcPr>
          <w:p w14:paraId="30AFE92C" w14:textId="77777777" w:rsidR="00FE13A4" w:rsidRDefault="00000000">
            <w:pPr>
              <w:spacing w:after="6"/>
            </w:pPr>
            <w:r>
              <w:rPr>
                <w:color w:val="000000"/>
                <w:sz w:val="14"/>
                <w:szCs w:val="14"/>
              </w:rPr>
              <w:t>Hazard exposure stays within the range observed</w:t>
            </w:r>
          </w:p>
        </w:tc>
      </w:tr>
      <w:tr w:rsidR="00FE13A4" w14:paraId="1CBDA05A"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3FC180E4" w14:textId="77777777" w:rsidR="00FE13A4" w:rsidRDefault="00000000">
            <w:pPr>
              <w:spacing w:after="6"/>
            </w:pPr>
            <w:r>
              <w:rPr>
                <w:color w:val="000000"/>
                <w:sz w:val="14"/>
                <w:szCs w:val="14"/>
              </w:rPr>
              <w:t>Outcome 1</w:t>
            </w:r>
          </w:p>
        </w:tc>
        <w:tc>
          <w:tcPr>
            <w:tcW w:w="2698" w:type="dxa"/>
            <w:tcBorders>
              <w:top w:val="single" w:sz="4" w:space="0" w:color="BFBFBF"/>
              <w:left w:val="single" w:sz="4" w:space="0" w:color="BFBFBF"/>
              <w:bottom w:val="single" w:sz="4" w:space="0" w:color="BFBFBF"/>
              <w:right w:val="single" w:sz="4" w:space="0" w:color="BFBFBF"/>
            </w:tcBorders>
          </w:tcPr>
          <w:p w14:paraId="7D7A844A" w14:textId="77777777" w:rsidR="00FE13A4" w:rsidRDefault="00000000">
            <w:pPr>
              <w:spacing w:after="6"/>
            </w:pPr>
            <w:r>
              <w:rPr>
                <w:color w:val="000000"/>
                <w:sz w:val="14"/>
                <w:szCs w:val="14"/>
              </w:rPr>
              <w:t>The interval between hazard signal and protective action falls</w:t>
            </w:r>
          </w:p>
        </w:tc>
        <w:tc>
          <w:tcPr>
            <w:tcW w:w="2302" w:type="dxa"/>
            <w:tcBorders>
              <w:top w:val="single" w:sz="4" w:space="0" w:color="BFBFBF"/>
              <w:left w:val="single" w:sz="4" w:space="0" w:color="BFBFBF"/>
              <w:bottom w:val="single" w:sz="4" w:space="0" w:color="BFBFBF"/>
              <w:right w:val="single" w:sz="4" w:space="0" w:color="BFBFBF"/>
            </w:tcBorders>
          </w:tcPr>
          <w:p w14:paraId="60320670" w14:textId="77777777" w:rsidR="00FE13A4" w:rsidRDefault="00000000">
            <w:pPr>
              <w:spacing w:after="6"/>
            </w:pPr>
            <w:r>
              <w:rPr>
                <w:color w:val="000000"/>
                <w:sz w:val="14"/>
                <w:szCs w:val="14"/>
              </w:rPr>
              <w:t>Median hours from regional signal to first recorded protective action, per activation</w:t>
            </w:r>
          </w:p>
        </w:tc>
        <w:tc>
          <w:tcPr>
            <w:tcW w:w="1900" w:type="dxa"/>
            <w:tcBorders>
              <w:top w:val="single" w:sz="4" w:space="0" w:color="BFBFBF"/>
              <w:left w:val="single" w:sz="4" w:space="0" w:color="BFBFBF"/>
              <w:bottom w:val="single" w:sz="4" w:space="0" w:color="BFBFBF"/>
              <w:right w:val="single" w:sz="4" w:space="0" w:color="BFBFBF"/>
            </w:tcBorders>
          </w:tcPr>
          <w:p w14:paraId="7A2DE4C1" w14:textId="77777777" w:rsidR="00FE13A4" w:rsidRDefault="00000000">
            <w:pPr>
              <w:spacing w:after="6"/>
            </w:pPr>
            <w:r>
              <w:rPr>
                <w:color w:val="000000"/>
                <w:sz w:val="14"/>
                <w:szCs w:val="14"/>
              </w:rPr>
              <w:t>SHOC activation records</w:t>
            </w:r>
          </w:p>
        </w:tc>
        <w:tc>
          <w:tcPr>
            <w:tcW w:w="1926" w:type="dxa"/>
            <w:tcBorders>
              <w:top w:val="single" w:sz="4" w:space="0" w:color="BFBFBF"/>
              <w:left w:val="single" w:sz="4" w:space="0" w:color="BFBFBF"/>
              <w:bottom w:val="single" w:sz="4" w:space="0" w:color="BFBFBF"/>
              <w:right w:val="single" w:sz="4" w:space="0" w:color="BFBFBF"/>
            </w:tcBorders>
          </w:tcPr>
          <w:p w14:paraId="4DADB9CC" w14:textId="77777777" w:rsidR="00FE13A4" w:rsidRDefault="00000000">
            <w:pPr>
              <w:spacing w:after="6"/>
            </w:pPr>
            <w:r>
              <w:rPr>
                <w:color w:val="000000"/>
                <w:sz w:val="14"/>
                <w:szCs w:val="14"/>
              </w:rPr>
              <w:t>Alerting authority is designated in the participating States</w:t>
            </w:r>
          </w:p>
        </w:tc>
      </w:tr>
      <w:tr w:rsidR="00FE13A4" w14:paraId="76B90E9C"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31BD5CFC" w14:textId="77777777" w:rsidR="00FE13A4" w:rsidRDefault="00000000">
            <w:pPr>
              <w:spacing w:after="6"/>
            </w:pPr>
            <w:r>
              <w:rPr>
                <w:color w:val="000000"/>
                <w:sz w:val="14"/>
                <w:szCs w:val="14"/>
              </w:rPr>
              <w:t>Outcome 2</w:t>
            </w:r>
          </w:p>
        </w:tc>
        <w:tc>
          <w:tcPr>
            <w:tcW w:w="2698" w:type="dxa"/>
            <w:tcBorders>
              <w:top w:val="single" w:sz="4" w:space="0" w:color="BFBFBF"/>
              <w:left w:val="single" w:sz="4" w:space="0" w:color="BFBFBF"/>
              <w:bottom w:val="single" w:sz="4" w:space="0" w:color="BFBFBF"/>
              <w:right w:val="single" w:sz="4" w:space="0" w:color="BFBFBF"/>
            </w:tcBorders>
          </w:tcPr>
          <w:p w14:paraId="48A5038B" w14:textId="77777777" w:rsidR="00FE13A4" w:rsidRDefault="00000000">
            <w:pPr>
              <w:spacing w:after="6"/>
            </w:pPr>
            <w:r>
              <w:rPr>
                <w:color w:val="000000"/>
                <w:sz w:val="14"/>
                <w:szCs w:val="14"/>
              </w:rPr>
              <w:t>Regional coordination becomes anticipatory rather than reactive</w:t>
            </w:r>
          </w:p>
        </w:tc>
        <w:tc>
          <w:tcPr>
            <w:tcW w:w="2302" w:type="dxa"/>
            <w:tcBorders>
              <w:top w:val="single" w:sz="4" w:space="0" w:color="BFBFBF"/>
              <w:left w:val="single" w:sz="4" w:space="0" w:color="BFBFBF"/>
              <w:bottom w:val="single" w:sz="4" w:space="0" w:color="BFBFBF"/>
              <w:right w:val="single" w:sz="4" w:space="0" w:color="BFBFBF"/>
            </w:tcBorders>
          </w:tcPr>
          <w:p w14:paraId="7D85B6B8" w14:textId="77777777" w:rsidR="00FE13A4" w:rsidRDefault="00000000">
            <w:pPr>
              <w:spacing w:after="6"/>
            </w:pPr>
            <w:r>
              <w:rPr>
                <w:color w:val="000000"/>
                <w:sz w:val="14"/>
                <w:szCs w:val="14"/>
              </w:rPr>
              <w:t>Share of activations in which action is triggered before impact rather than after assessment</w:t>
            </w:r>
          </w:p>
        </w:tc>
        <w:tc>
          <w:tcPr>
            <w:tcW w:w="1900" w:type="dxa"/>
            <w:tcBorders>
              <w:top w:val="single" w:sz="4" w:space="0" w:color="BFBFBF"/>
              <w:left w:val="single" w:sz="4" w:space="0" w:color="BFBFBF"/>
              <w:bottom w:val="single" w:sz="4" w:space="0" w:color="BFBFBF"/>
              <w:right w:val="single" w:sz="4" w:space="0" w:color="BFBFBF"/>
            </w:tcBorders>
          </w:tcPr>
          <w:p w14:paraId="0DBFBF23" w14:textId="77777777" w:rsidR="00FE13A4" w:rsidRDefault="00000000">
            <w:pPr>
              <w:spacing w:after="6"/>
            </w:pPr>
            <w:r>
              <w:rPr>
                <w:color w:val="000000"/>
                <w:sz w:val="14"/>
                <w:szCs w:val="14"/>
              </w:rPr>
              <w:t>SHOC activation records</w:t>
            </w:r>
          </w:p>
        </w:tc>
        <w:tc>
          <w:tcPr>
            <w:tcW w:w="1926" w:type="dxa"/>
            <w:tcBorders>
              <w:top w:val="single" w:sz="4" w:space="0" w:color="BFBFBF"/>
              <w:left w:val="single" w:sz="4" w:space="0" w:color="BFBFBF"/>
              <w:bottom w:val="single" w:sz="4" w:space="0" w:color="BFBFBF"/>
              <w:right w:val="single" w:sz="4" w:space="0" w:color="BFBFBF"/>
            </w:tcBorders>
          </w:tcPr>
          <w:p w14:paraId="101452CC" w14:textId="77777777" w:rsidR="00FE13A4" w:rsidRDefault="00000000">
            <w:pPr>
              <w:spacing w:after="6"/>
            </w:pPr>
            <w:r>
              <w:rPr>
                <w:color w:val="000000"/>
                <w:sz w:val="14"/>
                <w:szCs w:val="14"/>
              </w:rPr>
              <w:t>Triggers are agreed and finance is pre-arranged</w:t>
            </w:r>
          </w:p>
        </w:tc>
      </w:tr>
      <w:tr w:rsidR="00FE13A4" w14:paraId="08136321"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347260D9" w14:textId="77777777" w:rsidR="00FE13A4" w:rsidRDefault="00000000">
            <w:pPr>
              <w:spacing w:after="6"/>
            </w:pPr>
            <w:r>
              <w:rPr>
                <w:color w:val="000000"/>
                <w:sz w:val="14"/>
                <w:szCs w:val="14"/>
              </w:rPr>
              <w:t>Outcome 3</w:t>
            </w:r>
          </w:p>
        </w:tc>
        <w:tc>
          <w:tcPr>
            <w:tcW w:w="2698" w:type="dxa"/>
            <w:tcBorders>
              <w:top w:val="single" w:sz="4" w:space="0" w:color="BFBFBF"/>
              <w:left w:val="single" w:sz="4" w:space="0" w:color="BFBFBF"/>
              <w:bottom w:val="single" w:sz="4" w:space="0" w:color="BFBFBF"/>
              <w:right w:val="single" w:sz="4" w:space="0" w:color="BFBFBF"/>
            </w:tcBorders>
          </w:tcPr>
          <w:p w14:paraId="22FA2725" w14:textId="77777777" w:rsidR="00FE13A4" w:rsidRDefault="00000000">
            <w:pPr>
              <w:spacing w:after="6"/>
            </w:pPr>
            <w:r>
              <w:rPr>
                <w:color w:val="000000"/>
                <w:sz w:val="14"/>
                <w:szCs w:val="14"/>
              </w:rPr>
              <w:t>What one Member State proves, another adopts</w:t>
            </w:r>
          </w:p>
        </w:tc>
        <w:tc>
          <w:tcPr>
            <w:tcW w:w="2302" w:type="dxa"/>
            <w:tcBorders>
              <w:top w:val="single" w:sz="4" w:space="0" w:color="BFBFBF"/>
              <w:left w:val="single" w:sz="4" w:space="0" w:color="BFBFBF"/>
              <w:bottom w:val="single" w:sz="4" w:space="0" w:color="BFBFBF"/>
              <w:right w:val="single" w:sz="4" w:space="0" w:color="BFBFBF"/>
            </w:tcBorders>
          </w:tcPr>
          <w:p w14:paraId="71BC86C3" w14:textId="77777777" w:rsidR="00FE13A4" w:rsidRDefault="00000000">
            <w:pPr>
              <w:spacing w:after="6"/>
            </w:pPr>
            <w:r>
              <w:rPr>
                <w:color w:val="000000"/>
                <w:sz w:val="14"/>
                <w:szCs w:val="14"/>
              </w:rPr>
              <w:t>Number of instruments adopted by a second or later Member State</w:t>
            </w:r>
          </w:p>
        </w:tc>
        <w:tc>
          <w:tcPr>
            <w:tcW w:w="1900" w:type="dxa"/>
            <w:tcBorders>
              <w:top w:val="single" w:sz="4" w:space="0" w:color="BFBFBF"/>
              <w:left w:val="single" w:sz="4" w:space="0" w:color="BFBFBF"/>
              <w:bottom w:val="single" w:sz="4" w:space="0" w:color="BFBFBF"/>
              <w:right w:val="single" w:sz="4" w:space="0" w:color="BFBFBF"/>
            </w:tcBorders>
          </w:tcPr>
          <w:p w14:paraId="688ADC40" w14:textId="77777777" w:rsidR="00FE13A4" w:rsidRDefault="00000000">
            <w:pPr>
              <w:spacing w:after="6"/>
            </w:pPr>
            <w:r>
              <w:rPr>
                <w:color w:val="000000"/>
                <w:sz w:val="14"/>
                <w:szCs w:val="14"/>
              </w:rPr>
              <w:t>The regional record held by SHOC</w:t>
            </w:r>
          </w:p>
        </w:tc>
        <w:tc>
          <w:tcPr>
            <w:tcW w:w="1926" w:type="dxa"/>
            <w:tcBorders>
              <w:top w:val="single" w:sz="4" w:space="0" w:color="BFBFBF"/>
              <w:left w:val="single" w:sz="4" w:space="0" w:color="BFBFBF"/>
              <w:bottom w:val="single" w:sz="4" w:space="0" w:color="BFBFBF"/>
              <w:right w:val="single" w:sz="4" w:space="0" w:color="BFBFBF"/>
            </w:tcBorders>
          </w:tcPr>
          <w:p w14:paraId="3230755E" w14:textId="77777777" w:rsidR="00FE13A4" w:rsidRDefault="00000000">
            <w:pPr>
              <w:spacing w:after="6"/>
            </w:pPr>
            <w:r>
              <w:rPr>
                <w:color w:val="000000"/>
                <w:sz w:val="14"/>
                <w:szCs w:val="14"/>
              </w:rPr>
              <w:t>The documentation standard is issued and used</w:t>
            </w:r>
          </w:p>
        </w:tc>
      </w:tr>
      <w:tr w:rsidR="00FE13A4" w14:paraId="1EF8C461"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6ACEA381" w14:textId="77777777" w:rsidR="00FE13A4" w:rsidRDefault="00000000">
            <w:pPr>
              <w:spacing w:after="6"/>
            </w:pPr>
            <w:r>
              <w:rPr>
                <w:color w:val="000000"/>
                <w:sz w:val="14"/>
                <w:szCs w:val="14"/>
              </w:rPr>
              <w:t>Output 1</w:t>
            </w:r>
          </w:p>
        </w:tc>
        <w:tc>
          <w:tcPr>
            <w:tcW w:w="2698" w:type="dxa"/>
            <w:tcBorders>
              <w:top w:val="single" w:sz="4" w:space="0" w:color="BFBFBF"/>
              <w:left w:val="single" w:sz="4" w:space="0" w:color="BFBFBF"/>
              <w:bottom w:val="single" w:sz="4" w:space="0" w:color="BFBFBF"/>
              <w:right w:val="single" w:sz="4" w:space="0" w:color="BFBFBF"/>
            </w:tcBorders>
          </w:tcPr>
          <w:p w14:paraId="146386C0" w14:textId="77777777" w:rsidR="00FE13A4" w:rsidRDefault="00000000">
            <w:pPr>
              <w:spacing w:after="6"/>
            </w:pPr>
            <w:r>
              <w:rPr>
                <w:color w:val="000000"/>
                <w:sz w:val="14"/>
                <w:szCs w:val="14"/>
              </w:rPr>
              <w:t>A single regional risk picture, refreshed continuously</w:t>
            </w:r>
          </w:p>
        </w:tc>
        <w:tc>
          <w:tcPr>
            <w:tcW w:w="2302" w:type="dxa"/>
            <w:tcBorders>
              <w:top w:val="single" w:sz="4" w:space="0" w:color="BFBFBF"/>
              <w:left w:val="single" w:sz="4" w:space="0" w:color="BFBFBF"/>
              <w:bottom w:val="single" w:sz="4" w:space="0" w:color="BFBFBF"/>
              <w:right w:val="single" w:sz="4" w:space="0" w:color="BFBFBF"/>
            </w:tcBorders>
          </w:tcPr>
          <w:p w14:paraId="49352308" w14:textId="77777777" w:rsidR="00FE13A4" w:rsidRDefault="00000000">
            <w:pPr>
              <w:spacing w:after="6"/>
            </w:pPr>
            <w:r>
              <w:rPr>
                <w:color w:val="000000"/>
                <w:sz w:val="14"/>
                <w:szCs w:val="14"/>
              </w:rPr>
              <w:t>Risk model hosted and refreshed to an agreed cycle</w:t>
            </w:r>
          </w:p>
        </w:tc>
        <w:tc>
          <w:tcPr>
            <w:tcW w:w="1900" w:type="dxa"/>
            <w:tcBorders>
              <w:top w:val="single" w:sz="4" w:space="0" w:color="BFBFBF"/>
              <w:left w:val="single" w:sz="4" w:space="0" w:color="BFBFBF"/>
              <w:bottom w:val="single" w:sz="4" w:space="0" w:color="BFBFBF"/>
              <w:right w:val="single" w:sz="4" w:space="0" w:color="BFBFBF"/>
            </w:tcBorders>
          </w:tcPr>
          <w:p w14:paraId="168DB4FD" w14:textId="77777777" w:rsidR="00FE13A4" w:rsidRDefault="00000000">
            <w:pPr>
              <w:spacing w:after="6"/>
            </w:pPr>
            <w:r>
              <w:rPr>
                <w:color w:val="000000"/>
                <w:sz w:val="14"/>
                <w:szCs w:val="14"/>
              </w:rPr>
              <w:t>Hosting record and refresh log</w:t>
            </w:r>
          </w:p>
        </w:tc>
        <w:tc>
          <w:tcPr>
            <w:tcW w:w="1926" w:type="dxa"/>
            <w:tcBorders>
              <w:top w:val="single" w:sz="4" w:space="0" w:color="BFBFBF"/>
              <w:left w:val="single" w:sz="4" w:space="0" w:color="BFBFBF"/>
              <w:bottom w:val="single" w:sz="4" w:space="0" w:color="BFBFBF"/>
              <w:right w:val="single" w:sz="4" w:space="0" w:color="BFBFBF"/>
            </w:tcBorders>
          </w:tcPr>
          <w:p w14:paraId="55650189" w14:textId="77777777" w:rsidR="00FE13A4" w:rsidRDefault="00000000">
            <w:pPr>
              <w:spacing w:after="6"/>
            </w:pPr>
            <w:r>
              <w:rPr>
                <w:color w:val="000000"/>
                <w:sz w:val="14"/>
                <w:szCs w:val="14"/>
              </w:rPr>
              <w:t>Hosting decision taken; recurrent cost carried</w:t>
            </w:r>
          </w:p>
        </w:tc>
      </w:tr>
      <w:tr w:rsidR="00FE13A4" w14:paraId="29463160"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48928E63" w14:textId="77777777" w:rsidR="00FE13A4" w:rsidRDefault="00000000">
            <w:pPr>
              <w:spacing w:after="6"/>
            </w:pPr>
            <w:r>
              <w:rPr>
                <w:color w:val="000000"/>
                <w:sz w:val="14"/>
                <w:szCs w:val="14"/>
              </w:rPr>
              <w:t>Output 2</w:t>
            </w:r>
          </w:p>
        </w:tc>
        <w:tc>
          <w:tcPr>
            <w:tcW w:w="2698" w:type="dxa"/>
            <w:tcBorders>
              <w:top w:val="single" w:sz="4" w:space="0" w:color="BFBFBF"/>
              <w:left w:val="single" w:sz="4" w:space="0" w:color="BFBFBF"/>
              <w:bottom w:val="single" w:sz="4" w:space="0" w:color="BFBFBF"/>
              <w:right w:val="single" w:sz="4" w:space="0" w:color="BFBFBF"/>
            </w:tcBorders>
          </w:tcPr>
          <w:p w14:paraId="396D3AF1" w14:textId="77777777" w:rsidR="00FE13A4" w:rsidRDefault="00000000">
            <w:pPr>
              <w:spacing w:after="6"/>
            </w:pPr>
            <w:r>
              <w:rPr>
                <w:color w:val="000000"/>
                <w:sz w:val="14"/>
                <w:szCs w:val="14"/>
              </w:rPr>
              <w:t>An alerting standard issued and adopted</w:t>
            </w:r>
          </w:p>
        </w:tc>
        <w:tc>
          <w:tcPr>
            <w:tcW w:w="2302" w:type="dxa"/>
            <w:tcBorders>
              <w:top w:val="single" w:sz="4" w:space="0" w:color="BFBFBF"/>
              <w:left w:val="single" w:sz="4" w:space="0" w:color="BFBFBF"/>
              <w:bottom w:val="single" w:sz="4" w:space="0" w:color="BFBFBF"/>
              <w:right w:val="single" w:sz="4" w:space="0" w:color="BFBFBF"/>
            </w:tcBorders>
          </w:tcPr>
          <w:p w14:paraId="2E7AF443" w14:textId="77777777" w:rsidR="00FE13A4" w:rsidRDefault="00000000">
            <w:pPr>
              <w:spacing w:after="6"/>
            </w:pPr>
            <w:r>
              <w:rPr>
                <w:color w:val="000000"/>
                <w:sz w:val="14"/>
                <w:szCs w:val="14"/>
              </w:rPr>
              <w:t>Member States that have adopted the standard</w:t>
            </w:r>
          </w:p>
        </w:tc>
        <w:tc>
          <w:tcPr>
            <w:tcW w:w="1900" w:type="dxa"/>
            <w:tcBorders>
              <w:top w:val="single" w:sz="4" w:space="0" w:color="BFBFBF"/>
              <w:left w:val="single" w:sz="4" w:space="0" w:color="BFBFBF"/>
              <w:bottom w:val="single" w:sz="4" w:space="0" w:color="BFBFBF"/>
              <w:right w:val="single" w:sz="4" w:space="0" w:color="BFBFBF"/>
            </w:tcBorders>
          </w:tcPr>
          <w:p w14:paraId="3DF97778" w14:textId="77777777" w:rsidR="00FE13A4" w:rsidRDefault="00000000">
            <w:pPr>
              <w:spacing w:after="6"/>
            </w:pPr>
            <w:r>
              <w:rPr>
                <w:color w:val="000000"/>
                <w:sz w:val="14"/>
                <w:szCs w:val="14"/>
              </w:rPr>
              <w:t>National policy or regulatory instrument</w:t>
            </w:r>
          </w:p>
        </w:tc>
        <w:tc>
          <w:tcPr>
            <w:tcW w:w="1926" w:type="dxa"/>
            <w:tcBorders>
              <w:top w:val="single" w:sz="4" w:space="0" w:color="BFBFBF"/>
              <w:left w:val="single" w:sz="4" w:space="0" w:color="BFBFBF"/>
              <w:bottom w:val="single" w:sz="4" w:space="0" w:color="BFBFBF"/>
              <w:right w:val="single" w:sz="4" w:space="0" w:color="BFBFBF"/>
            </w:tcBorders>
          </w:tcPr>
          <w:p w14:paraId="26691B39" w14:textId="77777777" w:rsidR="00FE13A4" w:rsidRDefault="00000000">
            <w:pPr>
              <w:spacing w:after="6"/>
            </w:pPr>
            <w:r>
              <w:rPr>
                <w:color w:val="000000"/>
                <w:sz w:val="14"/>
                <w:szCs w:val="14"/>
              </w:rPr>
              <w:t>Regulators convene and decide</w:t>
            </w:r>
          </w:p>
        </w:tc>
      </w:tr>
      <w:tr w:rsidR="00FE13A4" w14:paraId="23F20C71"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04E0F749" w14:textId="77777777" w:rsidR="00FE13A4" w:rsidRDefault="00000000">
            <w:pPr>
              <w:spacing w:after="6"/>
            </w:pPr>
            <w:r>
              <w:rPr>
                <w:color w:val="000000"/>
                <w:sz w:val="14"/>
                <w:szCs w:val="14"/>
              </w:rPr>
              <w:t>Output 3</w:t>
            </w:r>
          </w:p>
        </w:tc>
        <w:tc>
          <w:tcPr>
            <w:tcW w:w="2698" w:type="dxa"/>
            <w:tcBorders>
              <w:top w:val="single" w:sz="4" w:space="0" w:color="BFBFBF"/>
              <w:left w:val="single" w:sz="4" w:space="0" w:color="BFBFBF"/>
              <w:bottom w:val="single" w:sz="4" w:space="0" w:color="BFBFBF"/>
              <w:right w:val="single" w:sz="4" w:space="0" w:color="BFBFBF"/>
            </w:tcBorders>
          </w:tcPr>
          <w:p w14:paraId="457B62F7" w14:textId="77777777" w:rsidR="00FE13A4" w:rsidRDefault="00000000">
            <w:pPr>
              <w:spacing w:after="6"/>
            </w:pPr>
            <w:r>
              <w:rPr>
                <w:color w:val="000000"/>
                <w:sz w:val="14"/>
                <w:szCs w:val="14"/>
              </w:rPr>
              <w:t>Operating procedures issued</w:t>
            </w:r>
          </w:p>
        </w:tc>
        <w:tc>
          <w:tcPr>
            <w:tcW w:w="2302" w:type="dxa"/>
            <w:tcBorders>
              <w:top w:val="single" w:sz="4" w:space="0" w:color="BFBFBF"/>
              <w:left w:val="single" w:sz="4" w:space="0" w:color="BFBFBF"/>
              <w:bottom w:val="single" w:sz="4" w:space="0" w:color="BFBFBF"/>
              <w:right w:val="single" w:sz="4" w:space="0" w:color="BFBFBF"/>
            </w:tcBorders>
          </w:tcPr>
          <w:p w14:paraId="29908775" w14:textId="77777777" w:rsidR="00FE13A4" w:rsidRDefault="00000000">
            <w:pPr>
              <w:spacing w:after="6"/>
            </w:pPr>
            <w:r>
              <w:rPr>
                <w:color w:val="000000"/>
                <w:sz w:val="14"/>
                <w:szCs w:val="14"/>
              </w:rPr>
              <w:t>Procedures issued, of those identified as outstanding</w:t>
            </w:r>
          </w:p>
        </w:tc>
        <w:tc>
          <w:tcPr>
            <w:tcW w:w="1900" w:type="dxa"/>
            <w:tcBorders>
              <w:top w:val="single" w:sz="4" w:space="0" w:color="BFBFBF"/>
              <w:left w:val="single" w:sz="4" w:space="0" w:color="BFBFBF"/>
              <w:bottom w:val="single" w:sz="4" w:space="0" w:color="BFBFBF"/>
              <w:right w:val="single" w:sz="4" w:space="0" w:color="BFBFBF"/>
            </w:tcBorders>
          </w:tcPr>
          <w:p w14:paraId="28A9524C" w14:textId="77777777" w:rsidR="00FE13A4" w:rsidRDefault="00000000">
            <w:pPr>
              <w:spacing w:after="6"/>
            </w:pPr>
            <w:r>
              <w:rPr>
                <w:color w:val="000000"/>
                <w:sz w:val="14"/>
                <w:szCs w:val="14"/>
              </w:rPr>
              <w:t>SHOC</w:t>
            </w:r>
          </w:p>
        </w:tc>
        <w:tc>
          <w:tcPr>
            <w:tcW w:w="1926" w:type="dxa"/>
            <w:tcBorders>
              <w:top w:val="single" w:sz="4" w:space="0" w:color="BFBFBF"/>
              <w:left w:val="single" w:sz="4" w:space="0" w:color="BFBFBF"/>
              <w:bottom w:val="single" w:sz="4" w:space="0" w:color="BFBFBF"/>
              <w:right w:val="single" w:sz="4" w:space="0" w:color="BFBFBF"/>
            </w:tcBorders>
          </w:tcPr>
          <w:p w14:paraId="02C6E955" w14:textId="77777777" w:rsidR="00FE13A4" w:rsidRDefault="00000000">
            <w:pPr>
              <w:spacing w:after="6"/>
            </w:pPr>
            <w:r>
              <w:rPr>
                <w:color w:val="000000"/>
                <w:sz w:val="14"/>
                <w:szCs w:val="14"/>
              </w:rPr>
              <w:t>Procedure development is financed alongside technology</w:t>
            </w:r>
          </w:p>
        </w:tc>
      </w:tr>
      <w:tr w:rsidR="00FE13A4" w14:paraId="38550209"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17D40520" w14:textId="77777777" w:rsidR="00FE13A4" w:rsidRDefault="00000000">
            <w:pPr>
              <w:spacing w:after="6"/>
            </w:pPr>
            <w:r>
              <w:rPr>
                <w:color w:val="000000"/>
                <w:sz w:val="14"/>
                <w:szCs w:val="14"/>
              </w:rPr>
              <w:t>Output 4</w:t>
            </w:r>
          </w:p>
        </w:tc>
        <w:tc>
          <w:tcPr>
            <w:tcW w:w="2698" w:type="dxa"/>
            <w:tcBorders>
              <w:top w:val="single" w:sz="4" w:space="0" w:color="BFBFBF"/>
              <w:left w:val="single" w:sz="4" w:space="0" w:color="BFBFBF"/>
              <w:bottom w:val="single" w:sz="4" w:space="0" w:color="BFBFBF"/>
              <w:right w:val="single" w:sz="4" w:space="0" w:color="BFBFBF"/>
            </w:tcBorders>
          </w:tcPr>
          <w:p w14:paraId="3BD55E56" w14:textId="77777777" w:rsidR="00FE13A4" w:rsidRDefault="00000000">
            <w:pPr>
              <w:spacing w:after="6"/>
            </w:pPr>
            <w:r>
              <w:rPr>
                <w:color w:val="000000"/>
                <w:sz w:val="14"/>
                <w:szCs w:val="14"/>
              </w:rPr>
              <w:t>Every activation documented to one standard</w:t>
            </w:r>
          </w:p>
        </w:tc>
        <w:tc>
          <w:tcPr>
            <w:tcW w:w="2302" w:type="dxa"/>
            <w:tcBorders>
              <w:top w:val="single" w:sz="4" w:space="0" w:color="BFBFBF"/>
              <w:left w:val="single" w:sz="4" w:space="0" w:color="BFBFBF"/>
              <w:bottom w:val="single" w:sz="4" w:space="0" w:color="BFBFBF"/>
              <w:right w:val="single" w:sz="4" w:space="0" w:color="BFBFBF"/>
            </w:tcBorders>
          </w:tcPr>
          <w:p w14:paraId="0390EE8D" w14:textId="77777777" w:rsidR="00FE13A4" w:rsidRDefault="00000000">
            <w:pPr>
              <w:spacing w:after="6"/>
            </w:pPr>
            <w:r>
              <w:rPr>
                <w:color w:val="000000"/>
                <w:sz w:val="14"/>
                <w:szCs w:val="14"/>
              </w:rPr>
              <w:t>Share of activations documented to the standard</w:t>
            </w:r>
          </w:p>
        </w:tc>
        <w:tc>
          <w:tcPr>
            <w:tcW w:w="1900" w:type="dxa"/>
            <w:tcBorders>
              <w:top w:val="single" w:sz="4" w:space="0" w:color="BFBFBF"/>
              <w:left w:val="single" w:sz="4" w:space="0" w:color="BFBFBF"/>
              <w:bottom w:val="single" w:sz="4" w:space="0" w:color="BFBFBF"/>
              <w:right w:val="single" w:sz="4" w:space="0" w:color="BFBFBF"/>
            </w:tcBorders>
          </w:tcPr>
          <w:p w14:paraId="6A1C3A83" w14:textId="77777777" w:rsidR="00FE13A4" w:rsidRDefault="00000000">
            <w:pPr>
              <w:spacing w:after="6"/>
            </w:pPr>
            <w:r>
              <w:rPr>
                <w:color w:val="000000"/>
                <w:sz w:val="14"/>
                <w:szCs w:val="14"/>
              </w:rPr>
              <w:t>The regional record</w:t>
            </w:r>
          </w:p>
        </w:tc>
        <w:tc>
          <w:tcPr>
            <w:tcW w:w="1926" w:type="dxa"/>
            <w:tcBorders>
              <w:top w:val="single" w:sz="4" w:space="0" w:color="BFBFBF"/>
              <w:left w:val="single" w:sz="4" w:space="0" w:color="BFBFBF"/>
              <w:bottom w:val="single" w:sz="4" w:space="0" w:color="BFBFBF"/>
              <w:right w:val="single" w:sz="4" w:space="0" w:color="BFBFBF"/>
            </w:tcBorders>
          </w:tcPr>
          <w:p w14:paraId="57FDA2A2" w14:textId="77777777" w:rsidR="00FE13A4" w:rsidRDefault="00000000">
            <w:pPr>
              <w:spacing w:after="6"/>
            </w:pPr>
            <w:r>
              <w:rPr>
                <w:color w:val="000000"/>
                <w:sz w:val="14"/>
                <w:szCs w:val="14"/>
              </w:rPr>
              <w:t>Documentation is a condition of completion, not a courtesy</w:t>
            </w:r>
          </w:p>
        </w:tc>
      </w:tr>
      <w:tr w:rsidR="00FE13A4" w14:paraId="1FB5F9AC"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303BDD4D" w14:textId="77777777" w:rsidR="00FE13A4" w:rsidRDefault="00000000">
            <w:pPr>
              <w:spacing w:after="6"/>
            </w:pPr>
            <w:r>
              <w:rPr>
                <w:color w:val="000000"/>
                <w:sz w:val="14"/>
                <w:szCs w:val="14"/>
              </w:rPr>
              <w:t>Output 5</w:t>
            </w:r>
          </w:p>
        </w:tc>
        <w:tc>
          <w:tcPr>
            <w:tcW w:w="2698" w:type="dxa"/>
            <w:tcBorders>
              <w:top w:val="single" w:sz="4" w:space="0" w:color="BFBFBF"/>
              <w:left w:val="single" w:sz="4" w:space="0" w:color="BFBFBF"/>
              <w:bottom w:val="single" w:sz="4" w:space="0" w:color="BFBFBF"/>
              <w:right w:val="single" w:sz="4" w:space="0" w:color="BFBFBF"/>
            </w:tcBorders>
          </w:tcPr>
          <w:p w14:paraId="03A59823" w14:textId="77777777" w:rsidR="00FE13A4" w:rsidRDefault="00000000">
            <w:pPr>
              <w:spacing w:after="6"/>
            </w:pPr>
            <w:r>
              <w:rPr>
                <w:color w:val="000000"/>
                <w:sz w:val="14"/>
                <w:szCs w:val="14"/>
              </w:rPr>
              <w:t>Inclusion provision designed in, not assumed</w:t>
            </w:r>
          </w:p>
        </w:tc>
        <w:tc>
          <w:tcPr>
            <w:tcW w:w="2302" w:type="dxa"/>
            <w:tcBorders>
              <w:top w:val="single" w:sz="4" w:space="0" w:color="BFBFBF"/>
              <w:left w:val="single" w:sz="4" w:space="0" w:color="BFBFBF"/>
              <w:bottom w:val="single" w:sz="4" w:space="0" w:color="BFBFBF"/>
              <w:right w:val="single" w:sz="4" w:space="0" w:color="BFBFBF"/>
            </w:tcBorders>
          </w:tcPr>
          <w:p w14:paraId="02CA1CEF" w14:textId="77777777" w:rsidR="00FE13A4" w:rsidRDefault="00000000">
            <w:pPr>
              <w:spacing w:after="6"/>
            </w:pPr>
            <w:r>
              <w:rPr>
                <w:color w:val="000000"/>
                <w:sz w:val="14"/>
                <w:szCs w:val="14"/>
              </w:rPr>
              <w:t>Determinations completed across seven groups, including recorded absences</w:t>
            </w:r>
          </w:p>
        </w:tc>
        <w:tc>
          <w:tcPr>
            <w:tcW w:w="1900" w:type="dxa"/>
            <w:tcBorders>
              <w:top w:val="single" w:sz="4" w:space="0" w:color="BFBFBF"/>
              <w:left w:val="single" w:sz="4" w:space="0" w:color="BFBFBF"/>
              <w:bottom w:val="single" w:sz="4" w:space="0" w:color="BFBFBF"/>
              <w:right w:val="single" w:sz="4" w:space="0" w:color="BFBFBF"/>
            </w:tcBorders>
          </w:tcPr>
          <w:p w14:paraId="1EC4A25E" w14:textId="77777777" w:rsidR="00FE13A4" w:rsidRDefault="00000000">
            <w:pPr>
              <w:spacing w:after="6"/>
            </w:pPr>
            <w:r>
              <w:rPr>
                <w:color w:val="000000"/>
                <w:sz w:val="14"/>
                <w:szCs w:val="14"/>
              </w:rPr>
              <w:t>Programme record</w:t>
            </w:r>
          </w:p>
        </w:tc>
        <w:tc>
          <w:tcPr>
            <w:tcW w:w="1926" w:type="dxa"/>
            <w:tcBorders>
              <w:top w:val="single" w:sz="4" w:space="0" w:color="BFBFBF"/>
              <w:left w:val="single" w:sz="4" w:space="0" w:color="BFBFBF"/>
              <w:bottom w:val="single" w:sz="4" w:space="0" w:color="BFBFBF"/>
              <w:right w:val="single" w:sz="4" w:space="0" w:color="BFBFBF"/>
            </w:tcBorders>
          </w:tcPr>
          <w:p w14:paraId="7895A3B3" w14:textId="77777777" w:rsidR="00FE13A4" w:rsidRDefault="00000000">
            <w:pPr>
              <w:spacing w:after="6"/>
            </w:pPr>
            <w:r>
              <w:rPr>
                <w:color w:val="000000"/>
                <w:sz w:val="14"/>
                <w:szCs w:val="14"/>
              </w:rPr>
              <w:t>Data can be disaggregated at source</w:t>
            </w:r>
          </w:p>
        </w:tc>
      </w:tr>
      <w:tr w:rsidR="00FE13A4" w14:paraId="40A715F3"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233807B0" w14:textId="77777777" w:rsidR="00FE13A4" w:rsidRDefault="00000000">
            <w:pPr>
              <w:spacing w:after="6"/>
            </w:pPr>
            <w:r>
              <w:rPr>
                <w:color w:val="000000"/>
                <w:sz w:val="14"/>
                <w:szCs w:val="14"/>
              </w:rPr>
              <w:t>Output 6</w:t>
            </w:r>
          </w:p>
        </w:tc>
        <w:tc>
          <w:tcPr>
            <w:tcW w:w="2698" w:type="dxa"/>
            <w:tcBorders>
              <w:top w:val="single" w:sz="4" w:space="0" w:color="BFBFBF"/>
              <w:left w:val="single" w:sz="4" w:space="0" w:color="BFBFBF"/>
              <w:bottom w:val="single" w:sz="4" w:space="0" w:color="BFBFBF"/>
              <w:right w:val="single" w:sz="4" w:space="0" w:color="BFBFBF"/>
            </w:tcBorders>
          </w:tcPr>
          <w:p w14:paraId="378BBA5D" w14:textId="77777777" w:rsidR="00FE13A4" w:rsidRDefault="00000000">
            <w:pPr>
              <w:spacing w:after="6"/>
            </w:pPr>
            <w:r>
              <w:rPr>
                <w:color w:val="000000"/>
                <w:sz w:val="14"/>
                <w:szCs w:val="14"/>
              </w:rPr>
              <w:t>Recurrent cost assigned before completion</w:t>
            </w:r>
          </w:p>
        </w:tc>
        <w:tc>
          <w:tcPr>
            <w:tcW w:w="2302" w:type="dxa"/>
            <w:tcBorders>
              <w:top w:val="single" w:sz="4" w:space="0" w:color="BFBFBF"/>
              <w:left w:val="single" w:sz="4" w:space="0" w:color="BFBFBF"/>
              <w:bottom w:val="single" w:sz="4" w:space="0" w:color="BFBFBF"/>
              <w:right w:val="single" w:sz="4" w:space="0" w:color="BFBFBF"/>
            </w:tcBorders>
          </w:tcPr>
          <w:p w14:paraId="067949F2" w14:textId="77777777" w:rsidR="00FE13A4" w:rsidRDefault="00000000">
            <w:pPr>
              <w:spacing w:after="6"/>
            </w:pPr>
            <w:r>
              <w:rPr>
                <w:color w:val="000000"/>
                <w:sz w:val="14"/>
                <w:szCs w:val="14"/>
              </w:rPr>
              <w:t>Instruments with a named accountable post and a budget line</w:t>
            </w:r>
          </w:p>
        </w:tc>
        <w:tc>
          <w:tcPr>
            <w:tcW w:w="1900" w:type="dxa"/>
            <w:tcBorders>
              <w:top w:val="single" w:sz="4" w:space="0" w:color="BFBFBF"/>
              <w:left w:val="single" w:sz="4" w:space="0" w:color="BFBFBF"/>
              <w:bottom w:val="single" w:sz="4" w:space="0" w:color="BFBFBF"/>
              <w:right w:val="single" w:sz="4" w:space="0" w:color="BFBFBF"/>
            </w:tcBorders>
          </w:tcPr>
          <w:p w14:paraId="76167951" w14:textId="77777777" w:rsidR="00FE13A4" w:rsidRDefault="00000000">
            <w:pPr>
              <w:spacing w:after="6"/>
            </w:pPr>
            <w:r>
              <w:rPr>
                <w:color w:val="000000"/>
                <w:sz w:val="14"/>
                <w:szCs w:val="14"/>
              </w:rPr>
              <w:t>Member State budget documentation</w:t>
            </w:r>
          </w:p>
        </w:tc>
        <w:tc>
          <w:tcPr>
            <w:tcW w:w="1926" w:type="dxa"/>
            <w:tcBorders>
              <w:top w:val="single" w:sz="4" w:space="0" w:color="BFBFBF"/>
              <w:left w:val="single" w:sz="4" w:space="0" w:color="BFBFBF"/>
              <w:bottom w:val="single" w:sz="4" w:space="0" w:color="BFBFBF"/>
              <w:right w:val="single" w:sz="4" w:space="0" w:color="BFBFBF"/>
            </w:tcBorders>
          </w:tcPr>
          <w:p w14:paraId="5738FF4D" w14:textId="77777777" w:rsidR="00FE13A4" w:rsidRDefault="00000000">
            <w:pPr>
              <w:spacing w:after="6"/>
            </w:pPr>
            <w:r>
              <w:rPr>
                <w:color w:val="000000"/>
                <w:sz w:val="14"/>
                <w:szCs w:val="14"/>
              </w:rPr>
              <w:t>Budget cycles allow a new line inside the period</w:t>
            </w:r>
          </w:p>
        </w:tc>
      </w:tr>
    </w:tbl>
    <w:p w14:paraId="6501D11C" w14:textId="77777777" w:rsidR="00FE13A4" w:rsidRDefault="00000000">
      <w:pPr>
        <w:spacing w:after="100" w:line="264" w:lineRule="auto"/>
        <w:jc w:val="both"/>
      </w:pPr>
      <w:r>
        <w:rPr>
          <w:b/>
          <w:bCs/>
          <w:color w:val="000000"/>
        </w:rPr>
        <w:t xml:space="preserve">Two indicators carry the hypothesis and should be read together. </w:t>
      </w:r>
      <w:r>
        <w:rPr>
          <w:color w:val="000000"/>
        </w:rPr>
        <w:t>Outcome 1 measures whether the interval falls; Outcome 2 measures whether action moves ahead of impact. If the outputs are delivered and neither outcome moves, the hypothesis is wrong and the constraint lies in national absorption rather than regional coordination. Both baselines are set in the first six months, because without them neither claim can be made later.</w:t>
      </w:r>
    </w:p>
    <w:p w14:paraId="11C0041A" w14:textId="77777777" w:rsidR="00FE13A4" w:rsidRDefault="00000000">
      <w:pPr>
        <w:spacing w:after="100" w:line="264" w:lineRule="auto"/>
        <w:jc w:val="both"/>
      </w:pPr>
      <w:r>
        <w:rPr>
          <w:color w:val="000000"/>
        </w:rPr>
        <w:t>SHOC and participating national authorities agree indicator definitions, baseline values and phase targets within the first six months. The activation record captures signal, decision, finance release, protective action and relief-dispatch times, so that regional logistics performance can be tested alongside warning lead time. Records capture reach by sex, age and disability, with safe provision for migrants and displaced people; inclusion determinations alone do not demonstrate that people were reached. The Disaster Risk Reduction Unit coordinates a contribution-based mid-term review at the end of year three and a final review in 2031.</w:t>
      </w:r>
    </w:p>
    <w:p w14:paraId="0E6A26A0" w14:textId="77777777" w:rsidR="00FE13A4" w:rsidRDefault="00000000">
      <w:pPr>
        <w:pStyle w:val="Heading1"/>
        <w:spacing w:before="210" w:after="90"/>
      </w:pPr>
      <w:bookmarkStart w:id="21" w:name="__RefHeading___Toc1842_2543505351"/>
      <w:bookmarkEnd w:id="21"/>
      <w:r>
        <w:rPr>
          <w:b/>
          <w:bCs/>
          <w:color w:val="1F3864"/>
          <w:sz w:val="24"/>
          <w:szCs w:val="24"/>
        </w:rPr>
        <w:t>7.  Implementation metrics and the readiness scorecard</w:t>
      </w:r>
    </w:p>
    <w:p w14:paraId="19587F0D" w14:textId="77777777" w:rsidR="00FE13A4" w:rsidRDefault="00000000">
      <w:pPr>
        <w:pStyle w:val="Heading2"/>
        <w:spacing w:before="160" w:after="70"/>
      </w:pPr>
      <w:bookmarkStart w:id="22" w:name="__RefHeading___Toc1844_2543505351"/>
      <w:bookmarkEnd w:id="22"/>
      <w:r>
        <w:rPr>
          <w:b/>
          <w:bCs/>
          <w:color w:val="BF9000"/>
          <w:sz w:val="20"/>
          <w:szCs w:val="20"/>
        </w:rPr>
        <w:t>7.1  Implementation matrix</w:t>
      </w:r>
    </w:p>
    <w:p w14:paraId="730ECEAA" w14:textId="77777777" w:rsidR="00FE13A4" w:rsidRDefault="00000000">
      <w:pPr>
        <w:spacing w:after="100" w:line="264" w:lineRule="auto"/>
        <w:jc w:val="both"/>
      </w:pPr>
      <w:r>
        <w:rPr>
          <w:color w:val="000000"/>
        </w:rPr>
        <w:t>Delivery is phased against the mandate functions rather than against the instruments, because SHOC adopts by function. Each phase carries a metric that can be reported without a new survey.</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000"/>
        <w:gridCol w:w="2600"/>
        <w:gridCol w:w="2600"/>
        <w:gridCol w:w="1598"/>
        <w:gridCol w:w="1528"/>
      </w:tblGrid>
      <w:tr w:rsidR="00FE13A4" w14:paraId="36C8C0DF"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1A1B51C3" w14:textId="77777777" w:rsidR="00FE13A4" w:rsidRDefault="00000000">
            <w:pPr>
              <w:spacing w:after="6"/>
            </w:pPr>
            <w:r>
              <w:rPr>
                <w:b/>
                <w:bCs/>
                <w:color w:val="FFFFFF"/>
                <w:sz w:val="14"/>
                <w:szCs w:val="14"/>
              </w:rPr>
              <w:lastRenderedPageBreak/>
              <w:t>Mandate function</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251C5F03" w14:textId="77777777" w:rsidR="00FE13A4" w:rsidRDefault="00000000">
            <w:pPr>
              <w:spacing w:after="6"/>
            </w:pPr>
            <w:r>
              <w:rPr>
                <w:b/>
                <w:bCs/>
                <w:color w:val="FFFFFF"/>
                <w:sz w:val="14"/>
                <w:szCs w:val="14"/>
              </w:rPr>
              <w:t>Phase one, 2027 to 2028</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4C75C045" w14:textId="77777777" w:rsidR="00FE13A4" w:rsidRDefault="00000000">
            <w:pPr>
              <w:spacing w:after="6"/>
            </w:pPr>
            <w:r>
              <w:rPr>
                <w:b/>
                <w:bCs/>
                <w:color w:val="FFFFFF"/>
                <w:sz w:val="14"/>
                <w:szCs w:val="14"/>
              </w:rPr>
              <w:t>Phase two, 2029 to 2030</w:t>
            </w:r>
          </w:p>
        </w:tc>
        <w:tc>
          <w:tcPr>
            <w:tcW w:w="1598" w:type="dxa"/>
            <w:tcBorders>
              <w:top w:val="single" w:sz="4" w:space="0" w:color="BFBFBF"/>
              <w:left w:val="single" w:sz="4" w:space="0" w:color="BFBFBF"/>
              <w:bottom w:val="single" w:sz="4" w:space="0" w:color="BFBFBF"/>
              <w:right w:val="single" w:sz="4" w:space="0" w:color="BFBFBF"/>
            </w:tcBorders>
            <w:shd w:val="clear" w:color="auto" w:fill="1F3864"/>
          </w:tcPr>
          <w:p w14:paraId="5C5DEA29" w14:textId="77777777" w:rsidR="00FE13A4" w:rsidRDefault="00000000">
            <w:pPr>
              <w:spacing w:after="6"/>
            </w:pPr>
            <w:r>
              <w:rPr>
                <w:b/>
                <w:bCs/>
                <w:color w:val="FFFFFF"/>
                <w:sz w:val="14"/>
                <w:szCs w:val="14"/>
              </w:rPr>
              <w:t>Phase three, 2031</w:t>
            </w:r>
          </w:p>
        </w:tc>
        <w:tc>
          <w:tcPr>
            <w:tcW w:w="1528" w:type="dxa"/>
            <w:tcBorders>
              <w:top w:val="single" w:sz="4" w:space="0" w:color="BFBFBF"/>
              <w:left w:val="single" w:sz="4" w:space="0" w:color="BFBFBF"/>
              <w:bottom w:val="single" w:sz="4" w:space="0" w:color="BFBFBF"/>
              <w:right w:val="single" w:sz="4" w:space="0" w:color="BFBFBF"/>
            </w:tcBorders>
            <w:shd w:val="clear" w:color="auto" w:fill="1F3864"/>
          </w:tcPr>
          <w:p w14:paraId="19ED1198" w14:textId="77777777" w:rsidR="00FE13A4" w:rsidRDefault="00000000">
            <w:pPr>
              <w:spacing w:after="6"/>
            </w:pPr>
            <w:r>
              <w:rPr>
                <w:b/>
                <w:bCs/>
                <w:color w:val="FFFFFF"/>
                <w:sz w:val="14"/>
                <w:szCs w:val="14"/>
              </w:rPr>
              <w:t>Metric</w:t>
            </w:r>
          </w:p>
        </w:tc>
      </w:tr>
      <w:tr w:rsidR="00FE13A4" w14:paraId="10623C87"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4E9BFDE2" w14:textId="77777777" w:rsidR="00FE13A4" w:rsidRDefault="00000000">
            <w:pPr>
              <w:spacing w:after="6"/>
            </w:pPr>
            <w:r>
              <w:rPr>
                <w:color w:val="000000"/>
                <w:sz w:val="14"/>
                <w:szCs w:val="14"/>
              </w:rPr>
              <w:t>Readiness and risk information</w:t>
            </w:r>
          </w:p>
        </w:tc>
        <w:tc>
          <w:tcPr>
            <w:tcW w:w="2600" w:type="dxa"/>
            <w:tcBorders>
              <w:top w:val="single" w:sz="4" w:space="0" w:color="BFBFBF"/>
              <w:left w:val="single" w:sz="4" w:space="0" w:color="BFBFBF"/>
              <w:bottom w:val="single" w:sz="4" w:space="0" w:color="BFBFBF"/>
              <w:right w:val="single" w:sz="4" w:space="0" w:color="BFBFBF"/>
            </w:tcBorders>
          </w:tcPr>
          <w:p w14:paraId="51679CE5" w14:textId="77777777" w:rsidR="00FE13A4" w:rsidRDefault="00000000">
            <w:pPr>
              <w:spacing w:after="6"/>
            </w:pPr>
            <w:r>
              <w:rPr>
                <w:color w:val="000000"/>
                <w:sz w:val="14"/>
                <w:szCs w:val="14"/>
              </w:rPr>
              <w:t>Host the regional risk model; agree the refresh cycle</w:t>
            </w:r>
          </w:p>
        </w:tc>
        <w:tc>
          <w:tcPr>
            <w:tcW w:w="2600" w:type="dxa"/>
            <w:tcBorders>
              <w:top w:val="single" w:sz="4" w:space="0" w:color="BFBFBF"/>
              <w:left w:val="single" w:sz="4" w:space="0" w:color="BFBFBF"/>
              <w:bottom w:val="single" w:sz="4" w:space="0" w:color="BFBFBF"/>
              <w:right w:val="single" w:sz="4" w:space="0" w:color="BFBFBF"/>
            </w:tcBorders>
          </w:tcPr>
          <w:p w14:paraId="0EFAD636" w14:textId="77777777" w:rsidR="00FE13A4" w:rsidRDefault="00000000">
            <w:pPr>
              <w:spacing w:after="6"/>
            </w:pPr>
            <w:r>
              <w:rPr>
                <w:color w:val="000000"/>
                <w:sz w:val="14"/>
                <w:szCs w:val="14"/>
              </w:rPr>
              <w:t>Integrate national situation rooms to a common interface</w:t>
            </w:r>
          </w:p>
        </w:tc>
        <w:tc>
          <w:tcPr>
            <w:tcW w:w="1598" w:type="dxa"/>
            <w:tcBorders>
              <w:top w:val="single" w:sz="4" w:space="0" w:color="BFBFBF"/>
              <w:left w:val="single" w:sz="4" w:space="0" w:color="BFBFBF"/>
              <w:bottom w:val="single" w:sz="4" w:space="0" w:color="BFBFBF"/>
              <w:right w:val="single" w:sz="4" w:space="0" w:color="BFBFBF"/>
            </w:tcBorders>
          </w:tcPr>
          <w:p w14:paraId="47F88100" w14:textId="77777777" w:rsidR="00FE13A4" w:rsidRDefault="00000000">
            <w:pPr>
              <w:spacing w:after="6"/>
            </w:pPr>
            <w:r>
              <w:rPr>
                <w:color w:val="000000"/>
                <w:sz w:val="14"/>
                <w:szCs w:val="14"/>
              </w:rPr>
              <w:t>Named in regional and national policy</w:t>
            </w:r>
          </w:p>
        </w:tc>
        <w:tc>
          <w:tcPr>
            <w:tcW w:w="1528" w:type="dxa"/>
            <w:tcBorders>
              <w:top w:val="single" w:sz="4" w:space="0" w:color="BFBFBF"/>
              <w:left w:val="single" w:sz="4" w:space="0" w:color="BFBFBF"/>
              <w:bottom w:val="single" w:sz="4" w:space="0" w:color="BFBFBF"/>
              <w:right w:val="single" w:sz="4" w:space="0" w:color="BFBFBF"/>
            </w:tcBorders>
          </w:tcPr>
          <w:p w14:paraId="2379BD5C" w14:textId="77777777" w:rsidR="00FE13A4" w:rsidRDefault="00000000">
            <w:pPr>
              <w:spacing w:after="6"/>
            </w:pPr>
            <w:r>
              <w:rPr>
                <w:color w:val="000000"/>
                <w:sz w:val="14"/>
                <w:szCs w:val="14"/>
              </w:rPr>
              <w:t>Refresh cycle met; national rooms integrated</w:t>
            </w:r>
          </w:p>
        </w:tc>
      </w:tr>
      <w:tr w:rsidR="00FE13A4" w14:paraId="2F2C4A5B"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23B8D32C" w14:textId="77777777" w:rsidR="00FE13A4" w:rsidRDefault="00000000">
            <w:pPr>
              <w:spacing w:after="6"/>
            </w:pPr>
            <w:r>
              <w:rPr>
                <w:color w:val="000000"/>
                <w:sz w:val="14"/>
                <w:szCs w:val="14"/>
              </w:rPr>
              <w:t>Early warning and advisory</w:t>
            </w:r>
          </w:p>
        </w:tc>
        <w:tc>
          <w:tcPr>
            <w:tcW w:w="2600" w:type="dxa"/>
            <w:tcBorders>
              <w:top w:val="single" w:sz="4" w:space="0" w:color="BFBFBF"/>
              <w:left w:val="single" w:sz="4" w:space="0" w:color="BFBFBF"/>
              <w:bottom w:val="single" w:sz="4" w:space="0" w:color="BFBFBF"/>
              <w:right w:val="single" w:sz="4" w:space="0" w:color="BFBFBF"/>
            </w:tcBorders>
          </w:tcPr>
          <w:p w14:paraId="048A0772" w14:textId="77777777" w:rsidR="00FE13A4" w:rsidRDefault="00000000">
            <w:pPr>
              <w:spacing w:after="6"/>
            </w:pPr>
            <w:r>
              <w:rPr>
                <w:color w:val="000000"/>
                <w:sz w:val="14"/>
                <w:szCs w:val="14"/>
              </w:rPr>
              <w:t>Issue the alerting standard; extend impact-based advisory to the remaining hazards</w:t>
            </w:r>
          </w:p>
        </w:tc>
        <w:tc>
          <w:tcPr>
            <w:tcW w:w="2600" w:type="dxa"/>
            <w:tcBorders>
              <w:top w:val="single" w:sz="4" w:space="0" w:color="BFBFBF"/>
              <w:left w:val="single" w:sz="4" w:space="0" w:color="BFBFBF"/>
              <w:bottom w:val="single" w:sz="4" w:space="0" w:color="BFBFBF"/>
              <w:right w:val="single" w:sz="4" w:space="0" w:color="BFBFBF"/>
            </w:tcBorders>
          </w:tcPr>
          <w:p w14:paraId="3E4C4654" w14:textId="77777777" w:rsidR="00FE13A4" w:rsidRDefault="00000000">
            <w:pPr>
              <w:spacing w:after="6"/>
            </w:pPr>
            <w:r>
              <w:rPr>
                <w:color w:val="000000"/>
                <w:sz w:val="14"/>
                <w:szCs w:val="14"/>
              </w:rPr>
              <w:t>Member States adopt the standard</w:t>
            </w:r>
          </w:p>
        </w:tc>
        <w:tc>
          <w:tcPr>
            <w:tcW w:w="1598" w:type="dxa"/>
            <w:tcBorders>
              <w:top w:val="single" w:sz="4" w:space="0" w:color="BFBFBF"/>
              <w:left w:val="single" w:sz="4" w:space="0" w:color="BFBFBF"/>
              <w:bottom w:val="single" w:sz="4" w:space="0" w:color="BFBFBF"/>
              <w:right w:val="single" w:sz="4" w:space="0" w:color="BFBFBF"/>
            </w:tcBorders>
          </w:tcPr>
          <w:p w14:paraId="0F32DAE9" w14:textId="77777777" w:rsidR="00FE13A4" w:rsidRDefault="00000000">
            <w:pPr>
              <w:spacing w:after="6"/>
            </w:pPr>
            <w:r>
              <w:rPr>
                <w:color w:val="000000"/>
                <w:sz w:val="14"/>
                <w:szCs w:val="14"/>
              </w:rPr>
              <w:t>Standard carried in national instruments</w:t>
            </w:r>
          </w:p>
        </w:tc>
        <w:tc>
          <w:tcPr>
            <w:tcW w:w="1528" w:type="dxa"/>
            <w:tcBorders>
              <w:top w:val="single" w:sz="4" w:space="0" w:color="BFBFBF"/>
              <w:left w:val="single" w:sz="4" w:space="0" w:color="BFBFBF"/>
              <w:bottom w:val="single" w:sz="4" w:space="0" w:color="BFBFBF"/>
              <w:right w:val="single" w:sz="4" w:space="0" w:color="BFBFBF"/>
            </w:tcBorders>
          </w:tcPr>
          <w:p w14:paraId="2D04E0AE" w14:textId="77777777" w:rsidR="00FE13A4" w:rsidRDefault="00000000">
            <w:pPr>
              <w:spacing w:after="6"/>
            </w:pPr>
            <w:r>
              <w:rPr>
                <w:color w:val="000000"/>
                <w:sz w:val="14"/>
                <w:szCs w:val="14"/>
              </w:rPr>
              <w:t>Hazards covered; States adopting</w:t>
            </w:r>
          </w:p>
        </w:tc>
      </w:tr>
      <w:tr w:rsidR="00FE13A4" w14:paraId="5A9718F4"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512D420D" w14:textId="77777777" w:rsidR="00FE13A4" w:rsidRDefault="00000000">
            <w:pPr>
              <w:spacing w:after="6"/>
            </w:pPr>
            <w:r>
              <w:rPr>
                <w:color w:val="000000"/>
                <w:sz w:val="14"/>
                <w:szCs w:val="14"/>
              </w:rPr>
              <w:t>Reaching the household</w:t>
            </w:r>
          </w:p>
        </w:tc>
        <w:tc>
          <w:tcPr>
            <w:tcW w:w="2600" w:type="dxa"/>
            <w:tcBorders>
              <w:top w:val="single" w:sz="4" w:space="0" w:color="BFBFBF"/>
              <w:left w:val="single" w:sz="4" w:space="0" w:color="BFBFBF"/>
              <w:bottom w:val="single" w:sz="4" w:space="0" w:color="BFBFBF"/>
              <w:right w:val="single" w:sz="4" w:space="0" w:color="BFBFBF"/>
            </w:tcBorders>
          </w:tcPr>
          <w:p w14:paraId="504BC104" w14:textId="77777777" w:rsidR="00FE13A4" w:rsidRDefault="00000000">
            <w:pPr>
              <w:spacing w:after="6"/>
            </w:pPr>
            <w:r>
              <w:rPr>
                <w:color w:val="000000"/>
                <w:sz w:val="14"/>
                <w:szCs w:val="14"/>
              </w:rPr>
              <w:t>Convene regulators on alerting authority</w:t>
            </w:r>
          </w:p>
        </w:tc>
        <w:tc>
          <w:tcPr>
            <w:tcW w:w="2600" w:type="dxa"/>
            <w:tcBorders>
              <w:top w:val="single" w:sz="4" w:space="0" w:color="BFBFBF"/>
              <w:left w:val="single" w:sz="4" w:space="0" w:color="BFBFBF"/>
              <w:bottom w:val="single" w:sz="4" w:space="0" w:color="BFBFBF"/>
              <w:right w:val="single" w:sz="4" w:space="0" w:color="BFBFBF"/>
            </w:tcBorders>
          </w:tcPr>
          <w:p w14:paraId="05389D8F" w14:textId="77777777" w:rsidR="00FE13A4" w:rsidRDefault="00000000">
            <w:pPr>
              <w:spacing w:after="6"/>
            </w:pPr>
            <w:r>
              <w:rPr>
                <w:color w:val="000000"/>
                <w:sz w:val="14"/>
                <w:szCs w:val="14"/>
              </w:rPr>
              <w:t>Deploy alerting in States that have designated authority</w:t>
            </w:r>
          </w:p>
        </w:tc>
        <w:tc>
          <w:tcPr>
            <w:tcW w:w="1598" w:type="dxa"/>
            <w:tcBorders>
              <w:top w:val="single" w:sz="4" w:space="0" w:color="BFBFBF"/>
              <w:left w:val="single" w:sz="4" w:space="0" w:color="BFBFBF"/>
              <w:bottom w:val="single" w:sz="4" w:space="0" w:color="BFBFBF"/>
              <w:right w:val="single" w:sz="4" w:space="0" w:color="BFBFBF"/>
            </w:tcBorders>
          </w:tcPr>
          <w:p w14:paraId="68012806" w14:textId="77777777" w:rsidR="00FE13A4" w:rsidRDefault="00000000">
            <w:pPr>
              <w:spacing w:after="6"/>
            </w:pPr>
            <w:r>
              <w:rPr>
                <w:color w:val="000000"/>
                <w:sz w:val="14"/>
                <w:szCs w:val="14"/>
              </w:rPr>
              <w:t>Alerting authority designated region-wide</w:t>
            </w:r>
          </w:p>
        </w:tc>
        <w:tc>
          <w:tcPr>
            <w:tcW w:w="1528" w:type="dxa"/>
            <w:tcBorders>
              <w:top w:val="single" w:sz="4" w:space="0" w:color="BFBFBF"/>
              <w:left w:val="single" w:sz="4" w:space="0" w:color="BFBFBF"/>
              <w:bottom w:val="single" w:sz="4" w:space="0" w:color="BFBFBF"/>
              <w:right w:val="single" w:sz="4" w:space="0" w:color="BFBFBF"/>
            </w:tcBorders>
          </w:tcPr>
          <w:p w14:paraId="0F696D69" w14:textId="77777777" w:rsidR="00FE13A4" w:rsidRDefault="00000000">
            <w:pPr>
              <w:spacing w:after="6"/>
            </w:pPr>
            <w:r>
              <w:rPr>
                <w:color w:val="000000"/>
                <w:sz w:val="14"/>
                <w:szCs w:val="14"/>
              </w:rPr>
              <w:t>States with designated authority</w:t>
            </w:r>
          </w:p>
        </w:tc>
      </w:tr>
      <w:tr w:rsidR="00FE13A4" w14:paraId="3D2701A6"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71A5313D" w14:textId="77777777" w:rsidR="00FE13A4" w:rsidRDefault="00000000">
            <w:pPr>
              <w:spacing w:after="6"/>
            </w:pPr>
            <w:r>
              <w:rPr>
                <w:color w:val="000000"/>
                <w:sz w:val="14"/>
                <w:szCs w:val="14"/>
              </w:rPr>
              <w:t>Coordination and surge</w:t>
            </w:r>
          </w:p>
        </w:tc>
        <w:tc>
          <w:tcPr>
            <w:tcW w:w="2600" w:type="dxa"/>
            <w:tcBorders>
              <w:top w:val="single" w:sz="4" w:space="0" w:color="BFBFBF"/>
              <w:left w:val="single" w:sz="4" w:space="0" w:color="BFBFBF"/>
              <w:bottom w:val="single" w:sz="4" w:space="0" w:color="BFBFBF"/>
              <w:right w:val="single" w:sz="4" w:space="0" w:color="BFBFBF"/>
            </w:tcBorders>
          </w:tcPr>
          <w:p w14:paraId="695EE0E0" w14:textId="77777777" w:rsidR="00FE13A4" w:rsidRDefault="00000000">
            <w:pPr>
              <w:spacing w:after="6"/>
            </w:pPr>
            <w:r>
              <w:rPr>
                <w:color w:val="000000"/>
                <w:sz w:val="14"/>
                <w:szCs w:val="14"/>
              </w:rPr>
              <w:t>Issue the outstanding operating procedures; stand up the surge roster</w:t>
            </w:r>
          </w:p>
        </w:tc>
        <w:tc>
          <w:tcPr>
            <w:tcW w:w="2600" w:type="dxa"/>
            <w:tcBorders>
              <w:top w:val="single" w:sz="4" w:space="0" w:color="BFBFBF"/>
              <w:left w:val="single" w:sz="4" w:space="0" w:color="BFBFBF"/>
              <w:bottom w:val="single" w:sz="4" w:space="0" w:color="BFBFBF"/>
              <w:right w:val="single" w:sz="4" w:space="0" w:color="BFBFBF"/>
            </w:tcBorders>
          </w:tcPr>
          <w:p w14:paraId="77E5EAFB" w14:textId="77777777" w:rsidR="00FE13A4" w:rsidRDefault="00000000">
            <w:pPr>
              <w:spacing w:after="6"/>
            </w:pPr>
            <w:r>
              <w:rPr>
                <w:color w:val="000000"/>
                <w:sz w:val="14"/>
                <w:szCs w:val="14"/>
              </w:rPr>
              <w:t>Exercise the chain end to end at the regional simulation</w:t>
            </w:r>
          </w:p>
        </w:tc>
        <w:tc>
          <w:tcPr>
            <w:tcW w:w="1598" w:type="dxa"/>
            <w:tcBorders>
              <w:top w:val="single" w:sz="4" w:space="0" w:color="BFBFBF"/>
              <w:left w:val="single" w:sz="4" w:space="0" w:color="BFBFBF"/>
              <w:bottom w:val="single" w:sz="4" w:space="0" w:color="BFBFBF"/>
              <w:right w:val="single" w:sz="4" w:space="0" w:color="BFBFBF"/>
            </w:tcBorders>
          </w:tcPr>
          <w:p w14:paraId="4A7497D1" w14:textId="77777777" w:rsidR="00FE13A4" w:rsidRDefault="00000000">
            <w:pPr>
              <w:spacing w:after="6"/>
            </w:pPr>
            <w:r>
              <w:rPr>
                <w:color w:val="000000"/>
                <w:sz w:val="14"/>
                <w:szCs w:val="14"/>
              </w:rPr>
              <w:t>Procedures institutionalised and reviewed annually</w:t>
            </w:r>
          </w:p>
        </w:tc>
        <w:tc>
          <w:tcPr>
            <w:tcW w:w="1528" w:type="dxa"/>
            <w:tcBorders>
              <w:top w:val="single" w:sz="4" w:space="0" w:color="BFBFBF"/>
              <w:left w:val="single" w:sz="4" w:space="0" w:color="BFBFBF"/>
              <w:bottom w:val="single" w:sz="4" w:space="0" w:color="BFBFBF"/>
              <w:right w:val="single" w:sz="4" w:space="0" w:color="BFBFBF"/>
            </w:tcBorders>
          </w:tcPr>
          <w:p w14:paraId="75F117B2" w14:textId="77777777" w:rsidR="00FE13A4" w:rsidRDefault="00000000">
            <w:pPr>
              <w:spacing w:after="6"/>
            </w:pPr>
            <w:r>
              <w:rPr>
                <w:color w:val="000000"/>
                <w:sz w:val="14"/>
                <w:szCs w:val="14"/>
              </w:rPr>
              <w:t>Procedures issued; exercise completed</w:t>
            </w:r>
          </w:p>
        </w:tc>
      </w:tr>
      <w:tr w:rsidR="00FE13A4" w14:paraId="71A2E01A"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1C770C0F" w14:textId="77777777" w:rsidR="00FE13A4" w:rsidRDefault="00000000">
            <w:pPr>
              <w:spacing w:after="6"/>
            </w:pPr>
            <w:r>
              <w:rPr>
                <w:color w:val="000000"/>
                <w:sz w:val="14"/>
                <w:szCs w:val="14"/>
              </w:rPr>
              <w:t>Response and logistics</w:t>
            </w:r>
          </w:p>
        </w:tc>
        <w:tc>
          <w:tcPr>
            <w:tcW w:w="2600" w:type="dxa"/>
            <w:tcBorders>
              <w:top w:val="single" w:sz="4" w:space="0" w:color="BFBFBF"/>
              <w:left w:val="single" w:sz="4" w:space="0" w:color="BFBFBF"/>
              <w:bottom w:val="single" w:sz="4" w:space="0" w:color="BFBFBF"/>
              <w:right w:val="single" w:sz="4" w:space="0" w:color="BFBFBF"/>
            </w:tcBorders>
          </w:tcPr>
          <w:p w14:paraId="1E164B42" w14:textId="77777777" w:rsidR="00FE13A4" w:rsidRDefault="00000000">
            <w:pPr>
              <w:spacing w:after="6"/>
            </w:pPr>
            <w:r>
              <w:rPr>
                <w:color w:val="000000"/>
                <w:sz w:val="14"/>
                <w:szCs w:val="14"/>
              </w:rPr>
              <w:t>Integrate partner field capability into procedure</w:t>
            </w:r>
          </w:p>
        </w:tc>
        <w:tc>
          <w:tcPr>
            <w:tcW w:w="2600" w:type="dxa"/>
            <w:tcBorders>
              <w:top w:val="single" w:sz="4" w:space="0" w:color="BFBFBF"/>
              <w:left w:val="single" w:sz="4" w:space="0" w:color="BFBFBF"/>
              <w:bottom w:val="single" w:sz="4" w:space="0" w:color="BFBFBF"/>
              <w:right w:val="single" w:sz="4" w:space="0" w:color="BFBFBF"/>
            </w:tcBorders>
          </w:tcPr>
          <w:p w14:paraId="5851D21B" w14:textId="77777777" w:rsidR="00FE13A4" w:rsidRDefault="00000000">
            <w:pPr>
              <w:spacing w:after="6"/>
            </w:pPr>
            <w:r>
              <w:rPr>
                <w:color w:val="000000"/>
                <w:sz w:val="14"/>
                <w:szCs w:val="14"/>
              </w:rPr>
              <w:t>Deploy under procedure in a live activation</w:t>
            </w:r>
          </w:p>
        </w:tc>
        <w:tc>
          <w:tcPr>
            <w:tcW w:w="1598" w:type="dxa"/>
            <w:tcBorders>
              <w:top w:val="single" w:sz="4" w:space="0" w:color="BFBFBF"/>
              <w:left w:val="single" w:sz="4" w:space="0" w:color="BFBFBF"/>
              <w:bottom w:val="single" w:sz="4" w:space="0" w:color="BFBFBF"/>
              <w:right w:val="single" w:sz="4" w:space="0" w:color="BFBFBF"/>
            </w:tcBorders>
          </w:tcPr>
          <w:p w14:paraId="55F63950" w14:textId="77777777" w:rsidR="00FE13A4" w:rsidRDefault="00000000">
            <w:pPr>
              <w:spacing w:after="6"/>
            </w:pPr>
            <w:r>
              <w:rPr>
                <w:color w:val="000000"/>
                <w:sz w:val="14"/>
                <w:szCs w:val="14"/>
              </w:rPr>
              <w:t>Capability held under standing arrangement</w:t>
            </w:r>
          </w:p>
        </w:tc>
        <w:tc>
          <w:tcPr>
            <w:tcW w:w="1528" w:type="dxa"/>
            <w:tcBorders>
              <w:top w:val="single" w:sz="4" w:space="0" w:color="BFBFBF"/>
              <w:left w:val="single" w:sz="4" w:space="0" w:color="BFBFBF"/>
              <w:bottom w:val="single" w:sz="4" w:space="0" w:color="BFBFBF"/>
              <w:right w:val="single" w:sz="4" w:space="0" w:color="BFBFBF"/>
            </w:tcBorders>
          </w:tcPr>
          <w:p w14:paraId="6201944B" w14:textId="77777777" w:rsidR="00FE13A4" w:rsidRDefault="00000000">
            <w:pPr>
              <w:spacing w:after="6"/>
            </w:pPr>
            <w:r>
              <w:rPr>
                <w:color w:val="000000"/>
                <w:sz w:val="14"/>
                <w:szCs w:val="14"/>
              </w:rPr>
              <w:t>Activations run under procedure</w:t>
            </w:r>
          </w:p>
        </w:tc>
      </w:tr>
      <w:tr w:rsidR="00FE13A4" w14:paraId="2E396F1D" w14:textId="77777777">
        <w:trPr>
          <w:cantSplit/>
        </w:trPr>
        <w:tc>
          <w:tcPr>
            <w:tcW w:w="2000" w:type="dxa"/>
            <w:tcBorders>
              <w:top w:val="single" w:sz="4" w:space="0" w:color="BFBFBF"/>
              <w:left w:val="single" w:sz="4" w:space="0" w:color="BFBFBF"/>
              <w:bottom w:val="single" w:sz="4" w:space="0" w:color="BFBFBF"/>
              <w:right w:val="single" w:sz="4" w:space="0" w:color="BFBFBF"/>
            </w:tcBorders>
          </w:tcPr>
          <w:p w14:paraId="107C4401" w14:textId="77777777" w:rsidR="00FE13A4" w:rsidRDefault="00000000">
            <w:pPr>
              <w:spacing w:after="6"/>
            </w:pPr>
            <w:r>
              <w:rPr>
                <w:color w:val="000000"/>
                <w:sz w:val="14"/>
                <w:szCs w:val="14"/>
              </w:rPr>
              <w:t>Learning and replication</w:t>
            </w:r>
          </w:p>
        </w:tc>
        <w:tc>
          <w:tcPr>
            <w:tcW w:w="2600" w:type="dxa"/>
            <w:tcBorders>
              <w:top w:val="single" w:sz="4" w:space="0" w:color="BFBFBF"/>
              <w:left w:val="single" w:sz="4" w:space="0" w:color="BFBFBF"/>
              <w:bottom w:val="single" w:sz="4" w:space="0" w:color="BFBFBF"/>
              <w:right w:val="single" w:sz="4" w:space="0" w:color="BFBFBF"/>
            </w:tcBorders>
          </w:tcPr>
          <w:p w14:paraId="0A4985E6" w14:textId="77777777" w:rsidR="00FE13A4" w:rsidRDefault="00000000">
            <w:pPr>
              <w:spacing w:after="6"/>
            </w:pPr>
            <w:r>
              <w:rPr>
                <w:color w:val="000000"/>
                <w:sz w:val="14"/>
                <w:szCs w:val="14"/>
              </w:rPr>
              <w:t>Issue the documentation standard</w:t>
            </w:r>
          </w:p>
        </w:tc>
        <w:tc>
          <w:tcPr>
            <w:tcW w:w="2600" w:type="dxa"/>
            <w:tcBorders>
              <w:top w:val="single" w:sz="4" w:space="0" w:color="BFBFBF"/>
              <w:left w:val="single" w:sz="4" w:space="0" w:color="BFBFBF"/>
              <w:bottom w:val="single" w:sz="4" w:space="0" w:color="BFBFBF"/>
              <w:right w:val="single" w:sz="4" w:space="0" w:color="BFBFBF"/>
            </w:tcBorders>
          </w:tcPr>
          <w:p w14:paraId="41A2907C" w14:textId="77777777" w:rsidR="00FE13A4" w:rsidRDefault="00000000">
            <w:pPr>
              <w:spacing w:after="6"/>
            </w:pPr>
            <w:r>
              <w:rPr>
                <w:color w:val="000000"/>
                <w:sz w:val="14"/>
                <w:szCs w:val="14"/>
              </w:rPr>
              <w:t>Document every activation; publish the regional record</w:t>
            </w:r>
          </w:p>
        </w:tc>
        <w:tc>
          <w:tcPr>
            <w:tcW w:w="1598" w:type="dxa"/>
            <w:tcBorders>
              <w:top w:val="single" w:sz="4" w:space="0" w:color="BFBFBF"/>
              <w:left w:val="single" w:sz="4" w:space="0" w:color="BFBFBF"/>
              <w:bottom w:val="single" w:sz="4" w:space="0" w:color="BFBFBF"/>
              <w:right w:val="single" w:sz="4" w:space="0" w:color="BFBFBF"/>
            </w:tcBorders>
          </w:tcPr>
          <w:p w14:paraId="148DCD46" w14:textId="77777777" w:rsidR="00FE13A4" w:rsidRDefault="00000000">
            <w:pPr>
              <w:spacing w:after="6"/>
            </w:pPr>
            <w:r>
              <w:rPr>
                <w:color w:val="000000"/>
                <w:sz w:val="14"/>
                <w:szCs w:val="14"/>
              </w:rPr>
              <w:t>Replication offered as routine</w:t>
            </w:r>
          </w:p>
        </w:tc>
        <w:tc>
          <w:tcPr>
            <w:tcW w:w="1528" w:type="dxa"/>
            <w:tcBorders>
              <w:top w:val="single" w:sz="4" w:space="0" w:color="BFBFBF"/>
              <w:left w:val="single" w:sz="4" w:space="0" w:color="BFBFBF"/>
              <w:bottom w:val="single" w:sz="4" w:space="0" w:color="BFBFBF"/>
              <w:right w:val="single" w:sz="4" w:space="0" w:color="BFBFBF"/>
            </w:tcBorders>
          </w:tcPr>
          <w:p w14:paraId="1F08C34F" w14:textId="77777777" w:rsidR="00FE13A4" w:rsidRDefault="00000000">
            <w:pPr>
              <w:spacing w:after="6"/>
            </w:pPr>
            <w:r>
              <w:rPr>
                <w:color w:val="000000"/>
                <w:sz w:val="14"/>
                <w:szCs w:val="14"/>
              </w:rPr>
              <w:t>Activations documented; instruments replicated</w:t>
            </w:r>
          </w:p>
        </w:tc>
      </w:tr>
    </w:tbl>
    <w:p w14:paraId="6C6874F6" w14:textId="77777777" w:rsidR="00FE13A4" w:rsidRDefault="00000000">
      <w:pPr>
        <w:pStyle w:val="Heading2"/>
        <w:spacing w:before="160" w:after="70"/>
      </w:pPr>
      <w:bookmarkStart w:id="23" w:name="__RefHeading___Toc1846_2543505351"/>
      <w:bookmarkEnd w:id="23"/>
      <w:r>
        <w:rPr>
          <w:b/>
          <w:bCs/>
          <w:color w:val="BF9000"/>
          <w:sz w:val="20"/>
          <w:szCs w:val="20"/>
        </w:rPr>
        <w:t>7.2  The readiness scorecard</w:t>
      </w:r>
    </w:p>
    <w:p w14:paraId="7E5C01DE" w14:textId="77777777" w:rsidR="00FE13A4" w:rsidRDefault="00000000">
      <w:pPr>
        <w:spacing w:after="100" w:line="264" w:lineRule="auto"/>
        <w:jc w:val="both"/>
      </w:pPr>
      <w:r>
        <w:rPr>
          <w:color w:val="000000"/>
        </w:rPr>
        <w:t>The scorecard is one of the instruments which the SHOC can apply to see its own position and track it. Ten dimensions, each scored from zero to four, assessed against the evidence available at the time of writing. The current column is a determination from the record rather than a self-assessment, and it should be reviewed by SHOC and corrected where the record is incomplete. The target is the position the Programme is designed to reach by 2031.</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498"/>
        <w:gridCol w:w="3902"/>
        <w:gridCol w:w="1098"/>
        <w:gridCol w:w="1101"/>
        <w:gridCol w:w="1727"/>
      </w:tblGrid>
      <w:tr w:rsidR="00FE13A4" w14:paraId="2849EA66" w14:textId="77777777">
        <w:trPr>
          <w:cantSplit/>
          <w:tblHeader/>
        </w:trPr>
        <w:tc>
          <w:tcPr>
            <w:tcW w:w="2498" w:type="dxa"/>
            <w:tcBorders>
              <w:top w:val="single" w:sz="4" w:space="0" w:color="BFBFBF"/>
              <w:left w:val="single" w:sz="4" w:space="0" w:color="BFBFBF"/>
              <w:bottom w:val="single" w:sz="4" w:space="0" w:color="BFBFBF"/>
              <w:right w:val="single" w:sz="4" w:space="0" w:color="BFBFBF"/>
            </w:tcBorders>
            <w:shd w:val="clear" w:color="auto" w:fill="1F3864"/>
          </w:tcPr>
          <w:p w14:paraId="2AC08F45" w14:textId="77777777" w:rsidR="00FE13A4" w:rsidRDefault="00000000">
            <w:pPr>
              <w:spacing w:after="6"/>
            </w:pPr>
            <w:r>
              <w:rPr>
                <w:b/>
                <w:bCs/>
                <w:color w:val="FFFFFF"/>
                <w:sz w:val="14"/>
                <w:szCs w:val="14"/>
              </w:rPr>
              <w:t>Dimension</w:t>
            </w:r>
          </w:p>
        </w:tc>
        <w:tc>
          <w:tcPr>
            <w:tcW w:w="3902" w:type="dxa"/>
            <w:tcBorders>
              <w:top w:val="single" w:sz="4" w:space="0" w:color="BFBFBF"/>
              <w:left w:val="single" w:sz="4" w:space="0" w:color="BFBFBF"/>
              <w:bottom w:val="single" w:sz="4" w:space="0" w:color="BFBFBF"/>
              <w:right w:val="single" w:sz="4" w:space="0" w:color="BFBFBF"/>
            </w:tcBorders>
            <w:shd w:val="clear" w:color="auto" w:fill="1F3864"/>
          </w:tcPr>
          <w:p w14:paraId="38451A04" w14:textId="77777777" w:rsidR="00FE13A4" w:rsidRDefault="00000000">
            <w:pPr>
              <w:spacing w:after="6"/>
            </w:pPr>
            <w:r>
              <w:rPr>
                <w:b/>
                <w:bCs/>
                <w:color w:val="FFFFFF"/>
                <w:sz w:val="14"/>
                <w:szCs w:val="14"/>
              </w:rPr>
              <w:t>What a score of four looks like</w:t>
            </w:r>
          </w:p>
        </w:tc>
        <w:tc>
          <w:tcPr>
            <w:tcW w:w="1098" w:type="dxa"/>
            <w:tcBorders>
              <w:top w:val="single" w:sz="4" w:space="0" w:color="BFBFBF"/>
              <w:left w:val="single" w:sz="4" w:space="0" w:color="BFBFBF"/>
              <w:bottom w:val="single" w:sz="4" w:space="0" w:color="BFBFBF"/>
              <w:right w:val="single" w:sz="4" w:space="0" w:color="BFBFBF"/>
            </w:tcBorders>
            <w:shd w:val="clear" w:color="auto" w:fill="1F3864"/>
          </w:tcPr>
          <w:p w14:paraId="4E03DE06" w14:textId="77777777" w:rsidR="00FE13A4" w:rsidRDefault="00000000">
            <w:pPr>
              <w:spacing w:after="6"/>
            </w:pPr>
            <w:r>
              <w:rPr>
                <w:b/>
                <w:bCs/>
                <w:color w:val="FFFFFF"/>
                <w:sz w:val="14"/>
                <w:szCs w:val="14"/>
              </w:rPr>
              <w:t>Now</w:t>
            </w:r>
          </w:p>
        </w:tc>
        <w:tc>
          <w:tcPr>
            <w:tcW w:w="1101" w:type="dxa"/>
            <w:tcBorders>
              <w:top w:val="single" w:sz="4" w:space="0" w:color="BFBFBF"/>
              <w:left w:val="single" w:sz="4" w:space="0" w:color="BFBFBF"/>
              <w:bottom w:val="single" w:sz="4" w:space="0" w:color="BFBFBF"/>
              <w:right w:val="single" w:sz="4" w:space="0" w:color="BFBFBF"/>
            </w:tcBorders>
            <w:shd w:val="clear" w:color="auto" w:fill="1F3864"/>
          </w:tcPr>
          <w:p w14:paraId="05696C77" w14:textId="77777777" w:rsidR="00FE13A4" w:rsidRDefault="00000000">
            <w:pPr>
              <w:spacing w:after="6"/>
            </w:pPr>
            <w:r>
              <w:rPr>
                <w:b/>
                <w:bCs/>
                <w:color w:val="FFFFFF"/>
                <w:sz w:val="14"/>
                <w:szCs w:val="14"/>
              </w:rPr>
              <w:t>2031</w:t>
            </w:r>
          </w:p>
        </w:tc>
        <w:tc>
          <w:tcPr>
            <w:tcW w:w="1727" w:type="dxa"/>
            <w:tcBorders>
              <w:top w:val="single" w:sz="4" w:space="0" w:color="BFBFBF"/>
              <w:left w:val="single" w:sz="4" w:space="0" w:color="BFBFBF"/>
              <w:bottom w:val="single" w:sz="4" w:space="0" w:color="BFBFBF"/>
              <w:right w:val="single" w:sz="4" w:space="0" w:color="BFBFBF"/>
            </w:tcBorders>
            <w:shd w:val="clear" w:color="auto" w:fill="1F3864"/>
          </w:tcPr>
          <w:p w14:paraId="3872D45E" w14:textId="77777777" w:rsidR="00FE13A4" w:rsidRDefault="00000000">
            <w:pPr>
              <w:spacing w:after="6"/>
            </w:pPr>
            <w:r>
              <w:rPr>
                <w:b/>
                <w:bCs/>
                <w:color w:val="FFFFFF"/>
                <w:sz w:val="14"/>
                <w:szCs w:val="14"/>
              </w:rPr>
              <w:t>Movement required</w:t>
            </w:r>
          </w:p>
        </w:tc>
      </w:tr>
      <w:tr w:rsidR="00FE13A4" w14:paraId="055A5830"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36B21323" w14:textId="77777777" w:rsidR="00FE13A4" w:rsidRDefault="00000000">
            <w:pPr>
              <w:spacing w:after="6"/>
            </w:pPr>
            <w:r>
              <w:rPr>
                <w:color w:val="000000"/>
                <w:sz w:val="14"/>
                <w:szCs w:val="14"/>
              </w:rPr>
              <w:t>Situation awareness</w:t>
            </w:r>
          </w:p>
        </w:tc>
        <w:tc>
          <w:tcPr>
            <w:tcW w:w="3902" w:type="dxa"/>
            <w:tcBorders>
              <w:top w:val="single" w:sz="4" w:space="0" w:color="BFBFBF"/>
              <w:left w:val="single" w:sz="4" w:space="0" w:color="BFBFBF"/>
              <w:bottom w:val="single" w:sz="4" w:space="0" w:color="BFBFBF"/>
              <w:right w:val="single" w:sz="4" w:space="0" w:color="BFBFBF"/>
            </w:tcBorders>
          </w:tcPr>
          <w:p w14:paraId="6894F583" w14:textId="77777777" w:rsidR="00FE13A4" w:rsidRDefault="00000000">
            <w:pPr>
              <w:spacing w:after="6"/>
            </w:pPr>
            <w:r>
              <w:rPr>
                <w:color w:val="000000"/>
                <w:sz w:val="14"/>
                <w:szCs w:val="14"/>
              </w:rPr>
              <w:t>A regional risk picture refreshed continuously and shared with every national situation room</w:t>
            </w:r>
          </w:p>
        </w:tc>
        <w:tc>
          <w:tcPr>
            <w:tcW w:w="1098" w:type="dxa"/>
            <w:tcBorders>
              <w:top w:val="single" w:sz="4" w:space="0" w:color="BFBFBF"/>
              <w:left w:val="single" w:sz="4" w:space="0" w:color="BFBFBF"/>
              <w:bottom w:val="single" w:sz="4" w:space="0" w:color="BFBFBF"/>
              <w:right w:val="single" w:sz="4" w:space="0" w:color="BFBFBF"/>
            </w:tcBorders>
          </w:tcPr>
          <w:p w14:paraId="359B8D97" w14:textId="77777777" w:rsidR="00FE13A4" w:rsidRDefault="00000000">
            <w:pPr>
              <w:spacing w:after="6"/>
            </w:pPr>
            <w:r>
              <w:rPr>
                <w:color w:val="000000"/>
                <w:sz w:val="14"/>
                <w:szCs w:val="14"/>
              </w:rPr>
              <w:t>3</w:t>
            </w:r>
          </w:p>
        </w:tc>
        <w:tc>
          <w:tcPr>
            <w:tcW w:w="1101" w:type="dxa"/>
            <w:tcBorders>
              <w:top w:val="single" w:sz="4" w:space="0" w:color="BFBFBF"/>
              <w:left w:val="single" w:sz="4" w:space="0" w:color="BFBFBF"/>
              <w:bottom w:val="single" w:sz="4" w:space="0" w:color="BFBFBF"/>
              <w:right w:val="single" w:sz="4" w:space="0" w:color="BFBFBF"/>
            </w:tcBorders>
          </w:tcPr>
          <w:p w14:paraId="2B939C05" w14:textId="77777777" w:rsidR="00FE13A4" w:rsidRDefault="00000000">
            <w:pPr>
              <w:spacing w:after="6"/>
            </w:pPr>
            <w:r>
              <w:rPr>
                <w:color w:val="000000"/>
                <w:sz w:val="14"/>
                <w:szCs w:val="14"/>
              </w:rPr>
              <w:t>4</w:t>
            </w:r>
          </w:p>
        </w:tc>
        <w:tc>
          <w:tcPr>
            <w:tcW w:w="1727" w:type="dxa"/>
            <w:tcBorders>
              <w:top w:val="single" w:sz="4" w:space="0" w:color="BFBFBF"/>
              <w:left w:val="single" w:sz="4" w:space="0" w:color="BFBFBF"/>
              <w:bottom w:val="single" w:sz="4" w:space="0" w:color="BFBFBF"/>
              <w:right w:val="single" w:sz="4" w:space="0" w:color="BFBFBF"/>
            </w:tcBorders>
          </w:tcPr>
          <w:p w14:paraId="58D52E34" w14:textId="77777777" w:rsidR="00FE13A4" w:rsidRDefault="00000000">
            <w:pPr>
              <w:spacing w:after="6"/>
            </w:pPr>
            <w:r>
              <w:rPr>
                <w:color w:val="000000"/>
                <w:sz w:val="14"/>
                <w:szCs w:val="14"/>
              </w:rPr>
              <w:t>Integration with national rooms</w:t>
            </w:r>
          </w:p>
        </w:tc>
      </w:tr>
      <w:tr w:rsidR="00FE13A4" w14:paraId="5B560959"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75F5CE00" w14:textId="77777777" w:rsidR="00FE13A4" w:rsidRDefault="00000000">
            <w:pPr>
              <w:spacing w:after="6"/>
            </w:pPr>
            <w:r>
              <w:rPr>
                <w:color w:val="000000"/>
                <w:sz w:val="14"/>
                <w:szCs w:val="14"/>
              </w:rPr>
              <w:t>Impact-based advisory</w:t>
            </w:r>
          </w:p>
        </w:tc>
        <w:tc>
          <w:tcPr>
            <w:tcW w:w="3902" w:type="dxa"/>
            <w:tcBorders>
              <w:top w:val="single" w:sz="4" w:space="0" w:color="BFBFBF"/>
              <w:left w:val="single" w:sz="4" w:space="0" w:color="BFBFBF"/>
              <w:bottom w:val="single" w:sz="4" w:space="0" w:color="BFBFBF"/>
              <w:right w:val="single" w:sz="4" w:space="0" w:color="BFBFBF"/>
            </w:tcBorders>
          </w:tcPr>
          <w:p w14:paraId="71ECC86A" w14:textId="77777777" w:rsidR="00FE13A4" w:rsidRDefault="00000000">
            <w:pPr>
              <w:spacing w:after="6"/>
            </w:pPr>
            <w:r>
              <w:rPr>
                <w:color w:val="000000"/>
                <w:sz w:val="14"/>
                <w:szCs w:val="14"/>
              </w:rPr>
              <w:t>Impact-based advisories across all principal regional hazards</w:t>
            </w:r>
          </w:p>
        </w:tc>
        <w:tc>
          <w:tcPr>
            <w:tcW w:w="1098" w:type="dxa"/>
            <w:tcBorders>
              <w:top w:val="single" w:sz="4" w:space="0" w:color="BFBFBF"/>
              <w:left w:val="single" w:sz="4" w:space="0" w:color="BFBFBF"/>
              <w:bottom w:val="single" w:sz="4" w:space="0" w:color="BFBFBF"/>
              <w:right w:val="single" w:sz="4" w:space="0" w:color="BFBFBF"/>
            </w:tcBorders>
          </w:tcPr>
          <w:p w14:paraId="23D1726F" w14:textId="77777777" w:rsidR="00FE13A4" w:rsidRDefault="00000000">
            <w:pPr>
              <w:spacing w:after="6"/>
            </w:pPr>
            <w:r>
              <w:rPr>
                <w:color w:val="000000"/>
                <w:sz w:val="14"/>
                <w:szCs w:val="14"/>
              </w:rPr>
              <w:t>3</w:t>
            </w:r>
          </w:p>
        </w:tc>
        <w:tc>
          <w:tcPr>
            <w:tcW w:w="1101" w:type="dxa"/>
            <w:tcBorders>
              <w:top w:val="single" w:sz="4" w:space="0" w:color="BFBFBF"/>
              <w:left w:val="single" w:sz="4" w:space="0" w:color="BFBFBF"/>
              <w:bottom w:val="single" w:sz="4" w:space="0" w:color="BFBFBF"/>
              <w:right w:val="single" w:sz="4" w:space="0" w:color="BFBFBF"/>
            </w:tcBorders>
          </w:tcPr>
          <w:p w14:paraId="351FE3C4" w14:textId="77777777" w:rsidR="00FE13A4" w:rsidRDefault="00000000">
            <w:pPr>
              <w:spacing w:after="6"/>
            </w:pPr>
            <w:r>
              <w:rPr>
                <w:color w:val="000000"/>
                <w:sz w:val="14"/>
                <w:szCs w:val="14"/>
              </w:rPr>
              <w:t>4</w:t>
            </w:r>
          </w:p>
        </w:tc>
        <w:tc>
          <w:tcPr>
            <w:tcW w:w="1727" w:type="dxa"/>
            <w:tcBorders>
              <w:top w:val="single" w:sz="4" w:space="0" w:color="BFBFBF"/>
              <w:left w:val="single" w:sz="4" w:space="0" w:color="BFBFBF"/>
              <w:bottom w:val="single" w:sz="4" w:space="0" w:color="BFBFBF"/>
              <w:right w:val="single" w:sz="4" w:space="0" w:color="BFBFBF"/>
            </w:tcBorders>
          </w:tcPr>
          <w:p w14:paraId="2371AF12" w14:textId="77777777" w:rsidR="00FE13A4" w:rsidRDefault="00000000">
            <w:pPr>
              <w:spacing w:after="6"/>
            </w:pPr>
            <w:r>
              <w:rPr>
                <w:color w:val="000000"/>
                <w:sz w:val="14"/>
                <w:szCs w:val="14"/>
              </w:rPr>
              <w:t>Extension to the remaining hazards</w:t>
            </w:r>
          </w:p>
        </w:tc>
      </w:tr>
      <w:tr w:rsidR="00FE13A4" w14:paraId="504B3B4F"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0EB183EF" w14:textId="77777777" w:rsidR="00FE13A4" w:rsidRDefault="00000000">
            <w:pPr>
              <w:spacing w:after="6"/>
            </w:pPr>
            <w:r>
              <w:rPr>
                <w:color w:val="000000"/>
                <w:sz w:val="14"/>
                <w:szCs w:val="14"/>
              </w:rPr>
              <w:t>Reaching the household</w:t>
            </w:r>
          </w:p>
        </w:tc>
        <w:tc>
          <w:tcPr>
            <w:tcW w:w="3902" w:type="dxa"/>
            <w:tcBorders>
              <w:top w:val="single" w:sz="4" w:space="0" w:color="BFBFBF"/>
              <w:left w:val="single" w:sz="4" w:space="0" w:color="BFBFBF"/>
              <w:bottom w:val="single" w:sz="4" w:space="0" w:color="BFBFBF"/>
              <w:right w:val="single" w:sz="4" w:space="0" w:color="BFBFBF"/>
            </w:tcBorders>
          </w:tcPr>
          <w:p w14:paraId="4B1F312E" w14:textId="77777777" w:rsidR="00FE13A4" w:rsidRDefault="00000000">
            <w:pPr>
              <w:spacing w:after="6"/>
            </w:pPr>
            <w:r>
              <w:rPr>
                <w:color w:val="000000"/>
                <w:sz w:val="14"/>
                <w:szCs w:val="14"/>
              </w:rPr>
              <w:t>Warnings reach households directly in a language and channel they trust</w:t>
            </w:r>
          </w:p>
        </w:tc>
        <w:tc>
          <w:tcPr>
            <w:tcW w:w="1098" w:type="dxa"/>
            <w:tcBorders>
              <w:top w:val="single" w:sz="4" w:space="0" w:color="BFBFBF"/>
              <w:left w:val="single" w:sz="4" w:space="0" w:color="BFBFBF"/>
              <w:bottom w:val="single" w:sz="4" w:space="0" w:color="BFBFBF"/>
              <w:right w:val="single" w:sz="4" w:space="0" w:color="BFBFBF"/>
            </w:tcBorders>
          </w:tcPr>
          <w:p w14:paraId="06AE84E3" w14:textId="77777777" w:rsidR="00FE13A4" w:rsidRDefault="00000000">
            <w:pPr>
              <w:spacing w:after="6"/>
            </w:pPr>
            <w:r>
              <w:rPr>
                <w:color w:val="000000"/>
                <w:sz w:val="14"/>
                <w:szCs w:val="14"/>
              </w:rPr>
              <w:t>0</w:t>
            </w:r>
          </w:p>
        </w:tc>
        <w:tc>
          <w:tcPr>
            <w:tcW w:w="1101" w:type="dxa"/>
            <w:tcBorders>
              <w:top w:val="single" w:sz="4" w:space="0" w:color="BFBFBF"/>
              <w:left w:val="single" w:sz="4" w:space="0" w:color="BFBFBF"/>
              <w:bottom w:val="single" w:sz="4" w:space="0" w:color="BFBFBF"/>
              <w:right w:val="single" w:sz="4" w:space="0" w:color="BFBFBF"/>
            </w:tcBorders>
          </w:tcPr>
          <w:p w14:paraId="702C9D67" w14:textId="77777777" w:rsidR="00FE13A4" w:rsidRDefault="00000000">
            <w:pPr>
              <w:spacing w:after="6"/>
            </w:pPr>
            <w:r>
              <w:rPr>
                <w:color w:val="000000"/>
                <w:sz w:val="14"/>
                <w:szCs w:val="14"/>
              </w:rPr>
              <w:t>3</w:t>
            </w:r>
          </w:p>
        </w:tc>
        <w:tc>
          <w:tcPr>
            <w:tcW w:w="1727" w:type="dxa"/>
            <w:tcBorders>
              <w:top w:val="single" w:sz="4" w:space="0" w:color="BFBFBF"/>
              <w:left w:val="single" w:sz="4" w:space="0" w:color="BFBFBF"/>
              <w:bottom w:val="single" w:sz="4" w:space="0" w:color="BFBFBF"/>
              <w:right w:val="single" w:sz="4" w:space="0" w:color="BFBFBF"/>
            </w:tcBorders>
          </w:tcPr>
          <w:p w14:paraId="7A9F674F" w14:textId="77777777" w:rsidR="00FE13A4" w:rsidRDefault="00000000">
            <w:pPr>
              <w:spacing w:after="6"/>
            </w:pPr>
            <w:r>
              <w:rPr>
                <w:color w:val="000000"/>
                <w:sz w:val="14"/>
                <w:szCs w:val="14"/>
              </w:rPr>
              <w:t>Alerting authority, then technology</w:t>
            </w:r>
          </w:p>
        </w:tc>
      </w:tr>
      <w:tr w:rsidR="00FE13A4" w14:paraId="72FF5D1E"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712F180B" w14:textId="77777777" w:rsidR="00FE13A4" w:rsidRDefault="00000000">
            <w:pPr>
              <w:spacing w:after="6"/>
            </w:pPr>
            <w:r>
              <w:rPr>
                <w:color w:val="000000"/>
                <w:sz w:val="14"/>
                <w:szCs w:val="14"/>
              </w:rPr>
              <w:t>Anticipatory triggers</w:t>
            </w:r>
          </w:p>
        </w:tc>
        <w:tc>
          <w:tcPr>
            <w:tcW w:w="3902" w:type="dxa"/>
            <w:tcBorders>
              <w:top w:val="single" w:sz="4" w:space="0" w:color="BFBFBF"/>
              <w:left w:val="single" w:sz="4" w:space="0" w:color="BFBFBF"/>
              <w:bottom w:val="single" w:sz="4" w:space="0" w:color="BFBFBF"/>
              <w:right w:val="single" w:sz="4" w:space="0" w:color="BFBFBF"/>
            </w:tcBorders>
          </w:tcPr>
          <w:p w14:paraId="36BA4FBD" w14:textId="77777777" w:rsidR="00FE13A4" w:rsidRDefault="00000000">
            <w:pPr>
              <w:spacing w:after="6"/>
            </w:pPr>
            <w:r>
              <w:rPr>
                <w:color w:val="000000"/>
                <w:sz w:val="14"/>
                <w:szCs w:val="14"/>
              </w:rPr>
              <w:t>Pre-agreed triggers release finance and mobilise response before impact</w:t>
            </w:r>
          </w:p>
        </w:tc>
        <w:tc>
          <w:tcPr>
            <w:tcW w:w="1098" w:type="dxa"/>
            <w:tcBorders>
              <w:top w:val="single" w:sz="4" w:space="0" w:color="BFBFBF"/>
              <w:left w:val="single" w:sz="4" w:space="0" w:color="BFBFBF"/>
              <w:bottom w:val="single" w:sz="4" w:space="0" w:color="BFBFBF"/>
              <w:right w:val="single" w:sz="4" w:space="0" w:color="BFBFBF"/>
            </w:tcBorders>
          </w:tcPr>
          <w:p w14:paraId="2491D529" w14:textId="77777777" w:rsidR="00FE13A4" w:rsidRDefault="00000000">
            <w:pPr>
              <w:spacing w:after="6"/>
            </w:pPr>
            <w:r>
              <w:rPr>
                <w:color w:val="000000"/>
                <w:sz w:val="14"/>
                <w:szCs w:val="14"/>
              </w:rPr>
              <w:t>1</w:t>
            </w:r>
          </w:p>
        </w:tc>
        <w:tc>
          <w:tcPr>
            <w:tcW w:w="1101" w:type="dxa"/>
            <w:tcBorders>
              <w:top w:val="single" w:sz="4" w:space="0" w:color="BFBFBF"/>
              <w:left w:val="single" w:sz="4" w:space="0" w:color="BFBFBF"/>
              <w:bottom w:val="single" w:sz="4" w:space="0" w:color="BFBFBF"/>
              <w:right w:val="single" w:sz="4" w:space="0" w:color="BFBFBF"/>
            </w:tcBorders>
          </w:tcPr>
          <w:p w14:paraId="09AB5506" w14:textId="77777777" w:rsidR="00FE13A4" w:rsidRDefault="00000000">
            <w:pPr>
              <w:spacing w:after="6"/>
            </w:pPr>
            <w:r>
              <w:rPr>
                <w:color w:val="000000"/>
                <w:sz w:val="14"/>
                <w:szCs w:val="14"/>
              </w:rPr>
              <w:t>3</w:t>
            </w:r>
          </w:p>
        </w:tc>
        <w:tc>
          <w:tcPr>
            <w:tcW w:w="1727" w:type="dxa"/>
            <w:tcBorders>
              <w:top w:val="single" w:sz="4" w:space="0" w:color="BFBFBF"/>
              <w:left w:val="single" w:sz="4" w:space="0" w:color="BFBFBF"/>
              <w:bottom w:val="single" w:sz="4" w:space="0" w:color="BFBFBF"/>
              <w:right w:val="single" w:sz="4" w:space="0" w:color="BFBFBF"/>
            </w:tcBorders>
          </w:tcPr>
          <w:p w14:paraId="0CE97377" w14:textId="77777777" w:rsidR="00FE13A4" w:rsidRDefault="00000000">
            <w:pPr>
              <w:spacing w:after="6"/>
            </w:pPr>
            <w:r>
              <w:rPr>
                <w:color w:val="000000"/>
                <w:sz w:val="14"/>
                <w:szCs w:val="14"/>
              </w:rPr>
              <w:t>Trigger standards and pre-arranged finance</w:t>
            </w:r>
          </w:p>
        </w:tc>
      </w:tr>
      <w:tr w:rsidR="00FE13A4" w14:paraId="12B113F1"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49A42D47" w14:textId="77777777" w:rsidR="00FE13A4" w:rsidRDefault="00000000">
            <w:pPr>
              <w:spacing w:after="6"/>
            </w:pPr>
            <w:r>
              <w:rPr>
                <w:color w:val="000000"/>
                <w:sz w:val="14"/>
                <w:szCs w:val="14"/>
              </w:rPr>
              <w:t>Coordination and surge</w:t>
            </w:r>
          </w:p>
        </w:tc>
        <w:tc>
          <w:tcPr>
            <w:tcW w:w="3902" w:type="dxa"/>
            <w:tcBorders>
              <w:top w:val="single" w:sz="4" w:space="0" w:color="BFBFBF"/>
              <w:left w:val="single" w:sz="4" w:space="0" w:color="BFBFBF"/>
              <w:bottom w:val="single" w:sz="4" w:space="0" w:color="BFBFBF"/>
              <w:right w:val="single" w:sz="4" w:space="0" w:color="BFBFBF"/>
            </w:tcBorders>
          </w:tcPr>
          <w:p w14:paraId="3A69CD7E" w14:textId="77777777" w:rsidR="00FE13A4" w:rsidRDefault="00000000">
            <w:pPr>
              <w:spacing w:after="6"/>
            </w:pPr>
            <w:r>
              <w:rPr>
                <w:color w:val="000000"/>
                <w:sz w:val="14"/>
                <w:szCs w:val="14"/>
              </w:rPr>
              <w:t>A trained, rostered capability deployable under written procedure</w:t>
            </w:r>
          </w:p>
        </w:tc>
        <w:tc>
          <w:tcPr>
            <w:tcW w:w="1098" w:type="dxa"/>
            <w:tcBorders>
              <w:top w:val="single" w:sz="4" w:space="0" w:color="BFBFBF"/>
              <w:left w:val="single" w:sz="4" w:space="0" w:color="BFBFBF"/>
              <w:bottom w:val="single" w:sz="4" w:space="0" w:color="BFBFBF"/>
              <w:right w:val="single" w:sz="4" w:space="0" w:color="BFBFBF"/>
            </w:tcBorders>
          </w:tcPr>
          <w:p w14:paraId="07FD264E" w14:textId="77777777" w:rsidR="00FE13A4" w:rsidRDefault="00000000">
            <w:pPr>
              <w:spacing w:after="6"/>
            </w:pPr>
            <w:r>
              <w:rPr>
                <w:color w:val="000000"/>
                <w:sz w:val="14"/>
                <w:szCs w:val="14"/>
              </w:rPr>
              <w:t>3</w:t>
            </w:r>
          </w:p>
        </w:tc>
        <w:tc>
          <w:tcPr>
            <w:tcW w:w="1101" w:type="dxa"/>
            <w:tcBorders>
              <w:top w:val="single" w:sz="4" w:space="0" w:color="BFBFBF"/>
              <w:left w:val="single" w:sz="4" w:space="0" w:color="BFBFBF"/>
              <w:bottom w:val="single" w:sz="4" w:space="0" w:color="BFBFBF"/>
              <w:right w:val="single" w:sz="4" w:space="0" w:color="BFBFBF"/>
            </w:tcBorders>
          </w:tcPr>
          <w:p w14:paraId="15B33569" w14:textId="77777777" w:rsidR="00FE13A4" w:rsidRDefault="00000000">
            <w:pPr>
              <w:spacing w:after="6"/>
            </w:pPr>
            <w:r>
              <w:rPr>
                <w:color w:val="000000"/>
                <w:sz w:val="14"/>
                <w:szCs w:val="14"/>
              </w:rPr>
              <w:t>4</w:t>
            </w:r>
          </w:p>
        </w:tc>
        <w:tc>
          <w:tcPr>
            <w:tcW w:w="1727" w:type="dxa"/>
            <w:tcBorders>
              <w:top w:val="single" w:sz="4" w:space="0" w:color="BFBFBF"/>
              <w:left w:val="single" w:sz="4" w:space="0" w:color="BFBFBF"/>
              <w:bottom w:val="single" w:sz="4" w:space="0" w:color="BFBFBF"/>
              <w:right w:val="single" w:sz="4" w:space="0" w:color="BFBFBF"/>
            </w:tcBorders>
          </w:tcPr>
          <w:p w14:paraId="1714C408" w14:textId="77777777" w:rsidR="00FE13A4" w:rsidRDefault="00000000">
            <w:pPr>
              <w:spacing w:after="6"/>
            </w:pPr>
            <w:r>
              <w:rPr>
                <w:color w:val="000000"/>
                <w:sz w:val="14"/>
                <w:szCs w:val="14"/>
              </w:rPr>
              <w:t>Surge roster and procedures issued</w:t>
            </w:r>
          </w:p>
        </w:tc>
      </w:tr>
      <w:tr w:rsidR="00FE13A4" w14:paraId="587FAE88"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2E56BE66" w14:textId="77777777" w:rsidR="00FE13A4" w:rsidRDefault="00000000">
            <w:pPr>
              <w:spacing w:after="6"/>
            </w:pPr>
            <w:r>
              <w:rPr>
                <w:color w:val="000000"/>
                <w:sz w:val="14"/>
                <w:szCs w:val="14"/>
              </w:rPr>
              <w:t>Response and logistics</w:t>
            </w:r>
          </w:p>
        </w:tc>
        <w:tc>
          <w:tcPr>
            <w:tcW w:w="3902" w:type="dxa"/>
            <w:tcBorders>
              <w:top w:val="single" w:sz="4" w:space="0" w:color="BFBFBF"/>
              <w:left w:val="single" w:sz="4" w:space="0" w:color="BFBFBF"/>
              <w:bottom w:val="single" w:sz="4" w:space="0" w:color="BFBFBF"/>
              <w:right w:val="single" w:sz="4" w:space="0" w:color="BFBFBF"/>
            </w:tcBorders>
          </w:tcPr>
          <w:p w14:paraId="50D30B39" w14:textId="77777777" w:rsidR="00FE13A4" w:rsidRDefault="00000000">
            <w:pPr>
              <w:spacing w:after="6"/>
            </w:pPr>
            <w:r>
              <w:rPr>
                <w:color w:val="000000"/>
                <w:sz w:val="14"/>
                <w:szCs w:val="14"/>
              </w:rPr>
              <w:t>Field capability integrated into procedure and exercised</w:t>
            </w:r>
          </w:p>
        </w:tc>
        <w:tc>
          <w:tcPr>
            <w:tcW w:w="1098" w:type="dxa"/>
            <w:tcBorders>
              <w:top w:val="single" w:sz="4" w:space="0" w:color="BFBFBF"/>
              <w:left w:val="single" w:sz="4" w:space="0" w:color="BFBFBF"/>
              <w:bottom w:val="single" w:sz="4" w:space="0" w:color="BFBFBF"/>
              <w:right w:val="single" w:sz="4" w:space="0" w:color="BFBFBF"/>
            </w:tcBorders>
          </w:tcPr>
          <w:p w14:paraId="4B625E13" w14:textId="77777777" w:rsidR="00FE13A4" w:rsidRDefault="00000000">
            <w:pPr>
              <w:spacing w:after="6"/>
            </w:pPr>
            <w:r>
              <w:rPr>
                <w:color w:val="000000"/>
                <w:sz w:val="14"/>
                <w:szCs w:val="14"/>
              </w:rPr>
              <w:t>2</w:t>
            </w:r>
          </w:p>
        </w:tc>
        <w:tc>
          <w:tcPr>
            <w:tcW w:w="1101" w:type="dxa"/>
            <w:tcBorders>
              <w:top w:val="single" w:sz="4" w:space="0" w:color="BFBFBF"/>
              <w:left w:val="single" w:sz="4" w:space="0" w:color="BFBFBF"/>
              <w:bottom w:val="single" w:sz="4" w:space="0" w:color="BFBFBF"/>
              <w:right w:val="single" w:sz="4" w:space="0" w:color="BFBFBF"/>
            </w:tcBorders>
          </w:tcPr>
          <w:p w14:paraId="17BFECFA" w14:textId="77777777" w:rsidR="00FE13A4" w:rsidRDefault="00000000">
            <w:pPr>
              <w:spacing w:after="6"/>
            </w:pPr>
            <w:r>
              <w:rPr>
                <w:color w:val="000000"/>
                <w:sz w:val="14"/>
                <w:szCs w:val="14"/>
              </w:rPr>
              <w:t>3</w:t>
            </w:r>
          </w:p>
        </w:tc>
        <w:tc>
          <w:tcPr>
            <w:tcW w:w="1727" w:type="dxa"/>
            <w:tcBorders>
              <w:top w:val="single" w:sz="4" w:space="0" w:color="BFBFBF"/>
              <w:left w:val="single" w:sz="4" w:space="0" w:color="BFBFBF"/>
              <w:bottom w:val="single" w:sz="4" w:space="0" w:color="BFBFBF"/>
              <w:right w:val="single" w:sz="4" w:space="0" w:color="BFBFBF"/>
            </w:tcBorders>
          </w:tcPr>
          <w:p w14:paraId="38F2DFC7" w14:textId="77777777" w:rsidR="00FE13A4" w:rsidRDefault="00000000">
            <w:pPr>
              <w:spacing w:after="6"/>
            </w:pPr>
            <w:r>
              <w:rPr>
                <w:color w:val="000000"/>
                <w:sz w:val="14"/>
                <w:szCs w:val="14"/>
              </w:rPr>
              <w:t>Integration rather than acquisition</w:t>
            </w:r>
          </w:p>
        </w:tc>
      </w:tr>
      <w:tr w:rsidR="00FE13A4" w14:paraId="4A9AC154"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35577E0F" w14:textId="77777777" w:rsidR="00FE13A4" w:rsidRDefault="00000000">
            <w:pPr>
              <w:spacing w:after="6"/>
            </w:pPr>
            <w:r>
              <w:rPr>
                <w:color w:val="000000"/>
                <w:sz w:val="14"/>
                <w:szCs w:val="14"/>
              </w:rPr>
              <w:t>Documentation and learning</w:t>
            </w:r>
          </w:p>
        </w:tc>
        <w:tc>
          <w:tcPr>
            <w:tcW w:w="3902" w:type="dxa"/>
            <w:tcBorders>
              <w:top w:val="single" w:sz="4" w:space="0" w:color="BFBFBF"/>
              <w:left w:val="single" w:sz="4" w:space="0" w:color="BFBFBF"/>
              <w:bottom w:val="single" w:sz="4" w:space="0" w:color="BFBFBF"/>
              <w:right w:val="single" w:sz="4" w:space="0" w:color="BFBFBF"/>
            </w:tcBorders>
          </w:tcPr>
          <w:p w14:paraId="788BD971" w14:textId="77777777" w:rsidR="00FE13A4" w:rsidRDefault="00000000">
            <w:pPr>
              <w:spacing w:after="6"/>
            </w:pPr>
            <w:r>
              <w:rPr>
                <w:color w:val="000000"/>
                <w:sz w:val="14"/>
                <w:szCs w:val="14"/>
              </w:rPr>
              <w:t>Every activation recorded to one standard and available regionally</w:t>
            </w:r>
          </w:p>
        </w:tc>
        <w:tc>
          <w:tcPr>
            <w:tcW w:w="1098" w:type="dxa"/>
            <w:tcBorders>
              <w:top w:val="single" w:sz="4" w:space="0" w:color="BFBFBF"/>
              <w:left w:val="single" w:sz="4" w:space="0" w:color="BFBFBF"/>
              <w:bottom w:val="single" w:sz="4" w:space="0" w:color="BFBFBF"/>
              <w:right w:val="single" w:sz="4" w:space="0" w:color="BFBFBF"/>
            </w:tcBorders>
          </w:tcPr>
          <w:p w14:paraId="2821B5A5" w14:textId="77777777" w:rsidR="00FE13A4" w:rsidRDefault="00000000">
            <w:pPr>
              <w:spacing w:after="6"/>
            </w:pPr>
            <w:r>
              <w:rPr>
                <w:color w:val="000000"/>
                <w:sz w:val="14"/>
                <w:szCs w:val="14"/>
              </w:rPr>
              <w:t>1</w:t>
            </w:r>
          </w:p>
        </w:tc>
        <w:tc>
          <w:tcPr>
            <w:tcW w:w="1101" w:type="dxa"/>
            <w:tcBorders>
              <w:top w:val="single" w:sz="4" w:space="0" w:color="BFBFBF"/>
              <w:left w:val="single" w:sz="4" w:space="0" w:color="BFBFBF"/>
              <w:bottom w:val="single" w:sz="4" w:space="0" w:color="BFBFBF"/>
              <w:right w:val="single" w:sz="4" w:space="0" w:color="BFBFBF"/>
            </w:tcBorders>
          </w:tcPr>
          <w:p w14:paraId="30423C81" w14:textId="77777777" w:rsidR="00FE13A4" w:rsidRDefault="00000000">
            <w:pPr>
              <w:spacing w:after="6"/>
            </w:pPr>
            <w:r>
              <w:rPr>
                <w:color w:val="000000"/>
                <w:sz w:val="14"/>
                <w:szCs w:val="14"/>
              </w:rPr>
              <w:t>4</w:t>
            </w:r>
          </w:p>
        </w:tc>
        <w:tc>
          <w:tcPr>
            <w:tcW w:w="1727" w:type="dxa"/>
            <w:tcBorders>
              <w:top w:val="single" w:sz="4" w:space="0" w:color="BFBFBF"/>
              <w:left w:val="single" w:sz="4" w:space="0" w:color="BFBFBF"/>
              <w:bottom w:val="single" w:sz="4" w:space="0" w:color="BFBFBF"/>
              <w:right w:val="single" w:sz="4" w:space="0" w:color="BFBFBF"/>
            </w:tcBorders>
          </w:tcPr>
          <w:p w14:paraId="7817F83A" w14:textId="77777777" w:rsidR="00FE13A4" w:rsidRDefault="00000000">
            <w:pPr>
              <w:spacing w:after="6"/>
            </w:pPr>
            <w:r>
              <w:rPr>
                <w:color w:val="000000"/>
                <w:sz w:val="14"/>
                <w:szCs w:val="14"/>
              </w:rPr>
              <w:t>The documentation standard, which is the cheapest instrument in the set</w:t>
            </w:r>
          </w:p>
        </w:tc>
      </w:tr>
      <w:tr w:rsidR="00FE13A4" w14:paraId="63A642B0"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2DF7A1E3" w14:textId="77777777" w:rsidR="00FE13A4" w:rsidRDefault="00000000">
            <w:pPr>
              <w:spacing w:after="6"/>
            </w:pPr>
            <w:r>
              <w:rPr>
                <w:color w:val="000000"/>
                <w:sz w:val="14"/>
                <w:szCs w:val="14"/>
              </w:rPr>
              <w:t>Operating procedures</w:t>
            </w:r>
          </w:p>
        </w:tc>
        <w:tc>
          <w:tcPr>
            <w:tcW w:w="3902" w:type="dxa"/>
            <w:tcBorders>
              <w:top w:val="single" w:sz="4" w:space="0" w:color="BFBFBF"/>
              <w:left w:val="single" w:sz="4" w:space="0" w:color="BFBFBF"/>
              <w:bottom w:val="single" w:sz="4" w:space="0" w:color="BFBFBF"/>
              <w:right w:val="single" w:sz="4" w:space="0" w:color="BFBFBF"/>
            </w:tcBorders>
          </w:tcPr>
          <w:p w14:paraId="100A4A4C" w14:textId="77777777" w:rsidR="00FE13A4" w:rsidRDefault="00000000">
            <w:pPr>
              <w:spacing w:after="6"/>
            </w:pPr>
            <w:r>
              <w:rPr>
                <w:color w:val="000000"/>
                <w:sz w:val="14"/>
                <w:szCs w:val="14"/>
              </w:rPr>
              <w:t>The procedures identified as outstanding issued and under annual review</w:t>
            </w:r>
          </w:p>
        </w:tc>
        <w:tc>
          <w:tcPr>
            <w:tcW w:w="1098" w:type="dxa"/>
            <w:tcBorders>
              <w:top w:val="single" w:sz="4" w:space="0" w:color="BFBFBF"/>
              <w:left w:val="single" w:sz="4" w:space="0" w:color="BFBFBF"/>
              <w:bottom w:val="single" w:sz="4" w:space="0" w:color="BFBFBF"/>
              <w:right w:val="single" w:sz="4" w:space="0" w:color="BFBFBF"/>
            </w:tcBorders>
          </w:tcPr>
          <w:p w14:paraId="75D10E5D" w14:textId="77777777" w:rsidR="00FE13A4" w:rsidRDefault="00000000">
            <w:pPr>
              <w:spacing w:after="6"/>
            </w:pPr>
            <w:r>
              <w:rPr>
                <w:color w:val="000000"/>
                <w:sz w:val="14"/>
                <w:szCs w:val="14"/>
              </w:rPr>
              <w:t>1</w:t>
            </w:r>
          </w:p>
        </w:tc>
        <w:tc>
          <w:tcPr>
            <w:tcW w:w="1101" w:type="dxa"/>
            <w:tcBorders>
              <w:top w:val="single" w:sz="4" w:space="0" w:color="BFBFBF"/>
              <w:left w:val="single" w:sz="4" w:space="0" w:color="BFBFBF"/>
              <w:bottom w:val="single" w:sz="4" w:space="0" w:color="BFBFBF"/>
              <w:right w:val="single" w:sz="4" w:space="0" w:color="BFBFBF"/>
            </w:tcBorders>
          </w:tcPr>
          <w:p w14:paraId="7020EDEF" w14:textId="77777777" w:rsidR="00FE13A4" w:rsidRDefault="00000000">
            <w:pPr>
              <w:spacing w:after="6"/>
            </w:pPr>
            <w:r>
              <w:rPr>
                <w:color w:val="000000"/>
                <w:sz w:val="14"/>
                <w:szCs w:val="14"/>
              </w:rPr>
              <w:t>4</w:t>
            </w:r>
          </w:p>
        </w:tc>
        <w:tc>
          <w:tcPr>
            <w:tcW w:w="1727" w:type="dxa"/>
            <w:tcBorders>
              <w:top w:val="single" w:sz="4" w:space="0" w:color="BFBFBF"/>
              <w:left w:val="single" w:sz="4" w:space="0" w:color="BFBFBF"/>
              <w:bottom w:val="single" w:sz="4" w:space="0" w:color="BFBFBF"/>
              <w:right w:val="single" w:sz="4" w:space="0" w:color="BFBFBF"/>
            </w:tcBorders>
          </w:tcPr>
          <w:p w14:paraId="3A54D619" w14:textId="77777777" w:rsidR="00FE13A4" w:rsidRDefault="00000000">
            <w:pPr>
              <w:spacing w:after="6"/>
            </w:pPr>
            <w:r>
              <w:rPr>
                <w:color w:val="000000"/>
                <w:sz w:val="14"/>
                <w:szCs w:val="14"/>
              </w:rPr>
              <w:t>Financing procedure alongside technology</w:t>
            </w:r>
          </w:p>
        </w:tc>
      </w:tr>
      <w:tr w:rsidR="00FE13A4" w14:paraId="79B6EBCA"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7C595052" w14:textId="77777777" w:rsidR="00FE13A4" w:rsidRDefault="00000000">
            <w:pPr>
              <w:spacing w:after="6"/>
            </w:pPr>
            <w:r>
              <w:rPr>
                <w:color w:val="000000"/>
                <w:sz w:val="14"/>
                <w:szCs w:val="14"/>
              </w:rPr>
              <w:t>Inclusion provision</w:t>
            </w:r>
          </w:p>
        </w:tc>
        <w:tc>
          <w:tcPr>
            <w:tcW w:w="3902" w:type="dxa"/>
            <w:tcBorders>
              <w:top w:val="single" w:sz="4" w:space="0" w:color="BFBFBF"/>
              <w:left w:val="single" w:sz="4" w:space="0" w:color="BFBFBF"/>
              <w:bottom w:val="single" w:sz="4" w:space="0" w:color="BFBFBF"/>
              <w:right w:val="single" w:sz="4" w:space="0" w:color="BFBFBF"/>
            </w:tcBorders>
          </w:tcPr>
          <w:p w14:paraId="096B59B2" w14:textId="77777777" w:rsidR="00FE13A4" w:rsidRDefault="00000000">
            <w:pPr>
              <w:spacing w:after="6"/>
            </w:pPr>
            <w:r>
              <w:rPr>
                <w:color w:val="000000"/>
                <w:sz w:val="14"/>
                <w:szCs w:val="14"/>
              </w:rPr>
              <w:t>Designed provision for all seven groups, including displaced people</w:t>
            </w:r>
          </w:p>
        </w:tc>
        <w:tc>
          <w:tcPr>
            <w:tcW w:w="1098" w:type="dxa"/>
            <w:tcBorders>
              <w:top w:val="single" w:sz="4" w:space="0" w:color="BFBFBF"/>
              <w:left w:val="single" w:sz="4" w:space="0" w:color="BFBFBF"/>
              <w:bottom w:val="single" w:sz="4" w:space="0" w:color="BFBFBF"/>
              <w:right w:val="single" w:sz="4" w:space="0" w:color="BFBFBF"/>
            </w:tcBorders>
          </w:tcPr>
          <w:p w14:paraId="765CB789" w14:textId="77777777" w:rsidR="00FE13A4" w:rsidRDefault="00000000">
            <w:pPr>
              <w:spacing w:after="6"/>
            </w:pPr>
            <w:r>
              <w:rPr>
                <w:color w:val="000000"/>
                <w:sz w:val="14"/>
                <w:szCs w:val="14"/>
              </w:rPr>
              <w:t>1</w:t>
            </w:r>
          </w:p>
        </w:tc>
        <w:tc>
          <w:tcPr>
            <w:tcW w:w="1101" w:type="dxa"/>
            <w:tcBorders>
              <w:top w:val="single" w:sz="4" w:space="0" w:color="BFBFBF"/>
              <w:left w:val="single" w:sz="4" w:space="0" w:color="BFBFBF"/>
              <w:bottom w:val="single" w:sz="4" w:space="0" w:color="BFBFBF"/>
              <w:right w:val="single" w:sz="4" w:space="0" w:color="BFBFBF"/>
            </w:tcBorders>
          </w:tcPr>
          <w:p w14:paraId="5DF9F39C" w14:textId="77777777" w:rsidR="00FE13A4" w:rsidRDefault="00000000">
            <w:pPr>
              <w:spacing w:after="6"/>
            </w:pPr>
            <w:r>
              <w:rPr>
                <w:color w:val="000000"/>
                <w:sz w:val="14"/>
                <w:szCs w:val="14"/>
              </w:rPr>
              <w:t>3</w:t>
            </w:r>
          </w:p>
        </w:tc>
        <w:tc>
          <w:tcPr>
            <w:tcW w:w="1727" w:type="dxa"/>
            <w:tcBorders>
              <w:top w:val="single" w:sz="4" w:space="0" w:color="BFBFBF"/>
              <w:left w:val="single" w:sz="4" w:space="0" w:color="BFBFBF"/>
              <w:bottom w:val="single" w:sz="4" w:space="0" w:color="BFBFBF"/>
              <w:right w:val="single" w:sz="4" w:space="0" w:color="BFBFBF"/>
            </w:tcBorders>
          </w:tcPr>
          <w:p w14:paraId="590396A4" w14:textId="77777777" w:rsidR="00FE13A4" w:rsidRDefault="00000000">
            <w:pPr>
              <w:spacing w:after="6"/>
            </w:pPr>
            <w:r>
              <w:rPr>
                <w:color w:val="000000"/>
                <w:sz w:val="14"/>
                <w:szCs w:val="14"/>
              </w:rPr>
              <w:t>Design at instrument level, before scale-up</w:t>
            </w:r>
          </w:p>
        </w:tc>
      </w:tr>
      <w:tr w:rsidR="00FE13A4" w14:paraId="31E2DE0A"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798098E5" w14:textId="77777777" w:rsidR="00FE13A4" w:rsidRDefault="00000000">
            <w:pPr>
              <w:spacing w:after="6"/>
            </w:pPr>
            <w:r>
              <w:rPr>
                <w:color w:val="000000"/>
                <w:sz w:val="14"/>
                <w:szCs w:val="14"/>
              </w:rPr>
              <w:t>Recurrent cost custody</w:t>
            </w:r>
          </w:p>
        </w:tc>
        <w:tc>
          <w:tcPr>
            <w:tcW w:w="3902" w:type="dxa"/>
            <w:tcBorders>
              <w:top w:val="single" w:sz="4" w:space="0" w:color="BFBFBF"/>
              <w:left w:val="single" w:sz="4" w:space="0" w:color="BFBFBF"/>
              <w:bottom w:val="single" w:sz="4" w:space="0" w:color="BFBFBF"/>
              <w:right w:val="single" w:sz="4" w:space="0" w:color="BFBFBF"/>
            </w:tcBorders>
          </w:tcPr>
          <w:p w14:paraId="5576746A" w14:textId="77777777" w:rsidR="00FE13A4" w:rsidRDefault="00000000">
            <w:pPr>
              <w:spacing w:after="6"/>
            </w:pPr>
            <w:r>
              <w:rPr>
                <w:color w:val="000000"/>
                <w:sz w:val="14"/>
                <w:szCs w:val="14"/>
              </w:rPr>
              <w:t>Every instrument carries a named accountable post and a budget line</w:t>
            </w:r>
          </w:p>
        </w:tc>
        <w:tc>
          <w:tcPr>
            <w:tcW w:w="1098" w:type="dxa"/>
            <w:tcBorders>
              <w:top w:val="single" w:sz="4" w:space="0" w:color="BFBFBF"/>
              <w:left w:val="single" w:sz="4" w:space="0" w:color="BFBFBF"/>
              <w:bottom w:val="single" w:sz="4" w:space="0" w:color="BFBFBF"/>
              <w:right w:val="single" w:sz="4" w:space="0" w:color="BFBFBF"/>
            </w:tcBorders>
          </w:tcPr>
          <w:p w14:paraId="3C5CDDA6" w14:textId="77777777" w:rsidR="00FE13A4" w:rsidRDefault="00000000">
            <w:pPr>
              <w:spacing w:after="6"/>
            </w:pPr>
            <w:r>
              <w:rPr>
                <w:color w:val="000000"/>
                <w:sz w:val="14"/>
                <w:szCs w:val="14"/>
              </w:rPr>
              <w:t>1</w:t>
            </w:r>
          </w:p>
        </w:tc>
        <w:tc>
          <w:tcPr>
            <w:tcW w:w="1101" w:type="dxa"/>
            <w:tcBorders>
              <w:top w:val="single" w:sz="4" w:space="0" w:color="BFBFBF"/>
              <w:left w:val="single" w:sz="4" w:space="0" w:color="BFBFBF"/>
              <w:bottom w:val="single" w:sz="4" w:space="0" w:color="BFBFBF"/>
              <w:right w:val="single" w:sz="4" w:space="0" w:color="BFBFBF"/>
            </w:tcBorders>
          </w:tcPr>
          <w:p w14:paraId="51B00CA9" w14:textId="77777777" w:rsidR="00FE13A4" w:rsidRDefault="00000000">
            <w:pPr>
              <w:spacing w:after="6"/>
            </w:pPr>
            <w:r>
              <w:rPr>
                <w:color w:val="000000"/>
                <w:sz w:val="14"/>
                <w:szCs w:val="14"/>
              </w:rPr>
              <w:t>3</w:t>
            </w:r>
          </w:p>
        </w:tc>
        <w:tc>
          <w:tcPr>
            <w:tcW w:w="1727" w:type="dxa"/>
            <w:tcBorders>
              <w:top w:val="single" w:sz="4" w:space="0" w:color="BFBFBF"/>
              <w:left w:val="single" w:sz="4" w:space="0" w:color="BFBFBF"/>
              <w:bottom w:val="single" w:sz="4" w:space="0" w:color="BFBFBF"/>
              <w:right w:val="single" w:sz="4" w:space="0" w:color="BFBFBF"/>
            </w:tcBorders>
          </w:tcPr>
          <w:p w14:paraId="69E283B0" w14:textId="77777777" w:rsidR="00FE13A4" w:rsidRDefault="00000000">
            <w:pPr>
              <w:spacing w:after="6"/>
            </w:pPr>
            <w:r>
              <w:rPr>
                <w:color w:val="000000"/>
                <w:sz w:val="14"/>
                <w:szCs w:val="14"/>
              </w:rPr>
              <w:t>Member State decisions, not investment</w:t>
            </w:r>
          </w:p>
        </w:tc>
      </w:tr>
    </w:tbl>
    <w:p w14:paraId="676CFD12" w14:textId="77777777" w:rsidR="00FE13A4" w:rsidRDefault="00000000">
      <w:pPr>
        <w:spacing w:after="100" w:line="264" w:lineRule="auto"/>
        <w:jc w:val="both"/>
      </w:pPr>
      <w:r>
        <w:rPr>
          <w:b/>
          <w:bCs/>
          <w:color w:val="000000"/>
        </w:rPr>
        <w:t xml:space="preserve">The scorecard totals sixteen of forty today and is designed to reach thirty-five. </w:t>
      </w:r>
      <w:r>
        <w:rPr>
          <w:color w:val="000000"/>
        </w:rPr>
        <w:t>Two features of that movement matter more than the total. The largest single gain available is in documentation and learning, which is the cheapest instrument assessed and the one that makes every other instrument transferable. And the lowest score in the set, reaching the household, cannot be raised by investment at all until a national regulatory decision is taken — which is the finding at section 4.1, appearing here as a number.</w:t>
      </w:r>
    </w:p>
    <w:p w14:paraId="5B359AC4" w14:textId="77777777" w:rsidR="00FE13A4" w:rsidRDefault="00000000">
      <w:pPr>
        <w:pStyle w:val="Heading1"/>
        <w:spacing w:before="210" w:after="90"/>
      </w:pPr>
      <w:bookmarkStart w:id="24" w:name="__RefHeading___Toc1848_2543505351"/>
      <w:bookmarkEnd w:id="24"/>
      <w:r>
        <w:rPr>
          <w:b/>
          <w:bCs/>
          <w:color w:val="1F3864"/>
          <w:sz w:val="24"/>
          <w:szCs w:val="24"/>
        </w:rPr>
        <w:t xml:space="preserve">8.  The delivery platform and its significance. </w:t>
      </w:r>
    </w:p>
    <w:p w14:paraId="327F3B61" w14:textId="77777777" w:rsidR="00FE13A4" w:rsidRDefault="00000000">
      <w:pPr>
        <w:spacing w:after="100" w:line="264" w:lineRule="auto"/>
        <w:jc w:val="both"/>
        <w:rPr>
          <w:color w:val="000000"/>
        </w:rPr>
      </w:pPr>
      <w:r>
        <w:rPr>
          <w:b/>
          <w:bCs/>
          <w:color w:val="000000"/>
        </w:rPr>
        <w:t xml:space="preserve">The Programme is not delivered as a set of documents. It is delivered as a working platform, and this is the part most easily overlooked because it does not look like a deliverable. </w:t>
      </w:r>
      <w:r>
        <w:rPr>
          <w:color w:val="000000"/>
        </w:rPr>
        <w:t>The platform holds the evidence base as structured data, and generates the products the Programme needs from that one record. It is live and can be demonstrated.</w:t>
      </w:r>
    </w:p>
    <w:p w14:paraId="487027E9" w14:textId="77777777" w:rsidR="00404224" w:rsidRDefault="00404224">
      <w:pPr>
        <w:spacing w:after="100" w:line="264" w:lineRule="auto"/>
        <w:jc w:val="both"/>
        <w:rPr>
          <w:color w:val="000000"/>
        </w:rPr>
      </w:pPr>
    </w:p>
    <w:p w14:paraId="58CCF552" w14:textId="77777777" w:rsidR="00404224" w:rsidRDefault="00404224">
      <w:pPr>
        <w:spacing w:after="100" w:line="264" w:lineRule="auto"/>
        <w:jc w:val="both"/>
      </w:pP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498"/>
        <w:gridCol w:w="7828"/>
      </w:tblGrid>
      <w:tr w:rsidR="00FE13A4" w14:paraId="7956F704" w14:textId="77777777">
        <w:trPr>
          <w:cantSplit/>
          <w:tblHeader/>
        </w:trPr>
        <w:tc>
          <w:tcPr>
            <w:tcW w:w="2498" w:type="dxa"/>
            <w:tcBorders>
              <w:top w:val="single" w:sz="4" w:space="0" w:color="BFBFBF"/>
              <w:left w:val="single" w:sz="4" w:space="0" w:color="BFBFBF"/>
              <w:bottom w:val="single" w:sz="4" w:space="0" w:color="BFBFBF"/>
              <w:right w:val="single" w:sz="4" w:space="0" w:color="BFBFBF"/>
            </w:tcBorders>
            <w:shd w:val="clear" w:color="auto" w:fill="1F3864"/>
          </w:tcPr>
          <w:p w14:paraId="5615BA79" w14:textId="77777777" w:rsidR="00FE13A4" w:rsidRDefault="00000000">
            <w:pPr>
              <w:spacing w:after="6"/>
            </w:pPr>
            <w:r>
              <w:rPr>
                <w:b/>
                <w:bCs/>
                <w:color w:val="FFFFFF"/>
                <w:sz w:val="15"/>
                <w:szCs w:val="15"/>
              </w:rPr>
              <w:lastRenderedPageBreak/>
              <w:t>Field</w:t>
            </w:r>
          </w:p>
        </w:tc>
        <w:tc>
          <w:tcPr>
            <w:tcW w:w="7827" w:type="dxa"/>
            <w:tcBorders>
              <w:top w:val="single" w:sz="4" w:space="0" w:color="BFBFBF"/>
              <w:left w:val="single" w:sz="4" w:space="0" w:color="BFBFBF"/>
              <w:bottom w:val="single" w:sz="4" w:space="0" w:color="BFBFBF"/>
              <w:right w:val="single" w:sz="4" w:space="0" w:color="BFBFBF"/>
            </w:tcBorders>
            <w:shd w:val="clear" w:color="auto" w:fill="1F3864"/>
          </w:tcPr>
          <w:p w14:paraId="1A9FA3AD" w14:textId="77777777" w:rsidR="00FE13A4" w:rsidRDefault="00000000">
            <w:pPr>
              <w:spacing w:after="6"/>
            </w:pPr>
            <w:r>
              <w:rPr>
                <w:b/>
                <w:bCs/>
                <w:color w:val="FFFFFF"/>
                <w:sz w:val="15"/>
                <w:szCs w:val="15"/>
              </w:rPr>
              <w:t>Detail</w:t>
            </w:r>
          </w:p>
        </w:tc>
      </w:tr>
      <w:tr w:rsidR="00FE13A4" w14:paraId="5D9CADDC"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184F461F" w14:textId="77777777" w:rsidR="00FE13A4" w:rsidRDefault="00000000">
            <w:pPr>
              <w:spacing w:after="6"/>
            </w:pPr>
            <w:r>
              <w:rPr>
                <w:color w:val="000000"/>
                <w:sz w:val="15"/>
                <w:szCs w:val="15"/>
              </w:rPr>
              <w:t>Access</w:t>
            </w:r>
          </w:p>
        </w:tc>
        <w:tc>
          <w:tcPr>
            <w:tcW w:w="7827" w:type="dxa"/>
            <w:tcBorders>
              <w:top w:val="single" w:sz="4" w:space="0" w:color="BFBFBF"/>
              <w:left w:val="single" w:sz="4" w:space="0" w:color="BFBFBF"/>
              <w:bottom w:val="single" w:sz="4" w:space="0" w:color="BFBFBF"/>
              <w:right w:val="single" w:sz="4" w:space="0" w:color="BFBFBF"/>
            </w:tcBorders>
          </w:tcPr>
          <w:p w14:paraId="50D91275" w14:textId="03AB9639" w:rsidR="00FE13A4" w:rsidRDefault="00CB2F86">
            <w:pPr>
              <w:spacing w:after="6"/>
              <w:rPr>
                <w:color w:val="000000"/>
                <w:sz w:val="15"/>
                <w:szCs w:val="15"/>
              </w:rPr>
            </w:pPr>
            <w:hyperlink r:id="rId11" w:history="1">
              <w:r w:rsidRPr="007C7F3E">
                <w:rPr>
                  <w:rStyle w:val="Hyperlink"/>
                  <w:sz w:val="15"/>
                  <w:szCs w:val="15"/>
                </w:rPr>
                <w:t>https://arc-d4-programme-generator-c7qdwgesqvnwjafgvpxgat.streamlit.app/</w:t>
              </w:r>
            </w:hyperlink>
          </w:p>
          <w:p w14:paraId="3441DBDE" w14:textId="77777777" w:rsidR="00CB2F86" w:rsidRDefault="00CB2F86">
            <w:pPr>
              <w:spacing w:after="6"/>
            </w:pPr>
          </w:p>
        </w:tc>
      </w:tr>
      <w:tr w:rsidR="00FE13A4" w14:paraId="7C4AD80D"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5EC6C56F" w14:textId="77777777" w:rsidR="00FE13A4" w:rsidRDefault="00000000">
            <w:pPr>
              <w:spacing w:after="6"/>
            </w:pPr>
            <w:r>
              <w:rPr>
                <w:color w:val="000000"/>
                <w:sz w:val="15"/>
                <w:szCs w:val="15"/>
              </w:rPr>
              <w:t>What it holds</w:t>
            </w:r>
          </w:p>
        </w:tc>
        <w:tc>
          <w:tcPr>
            <w:tcW w:w="7827" w:type="dxa"/>
            <w:tcBorders>
              <w:top w:val="single" w:sz="4" w:space="0" w:color="BFBFBF"/>
              <w:left w:val="single" w:sz="4" w:space="0" w:color="BFBFBF"/>
              <w:bottom w:val="single" w:sz="4" w:space="0" w:color="BFBFBF"/>
              <w:right w:val="single" w:sz="4" w:space="0" w:color="BFBFBF"/>
            </w:tcBorders>
          </w:tcPr>
          <w:p w14:paraId="0A911E7A" w14:textId="77777777" w:rsidR="00FE13A4" w:rsidRDefault="00000000">
            <w:pPr>
              <w:spacing w:after="6"/>
            </w:pPr>
            <w:r>
              <w:rPr>
                <w:color w:val="000000"/>
                <w:sz w:val="15"/>
                <w:szCs w:val="15"/>
              </w:rPr>
              <w:t>The consolidated data pack: thirty-four innovation records with lead institutions, geography, maturity, barriers, financing, inclusion determinations, gap and opportunity linkages, legal and mandate registers, the prioritisation instrument and the cost estimation matrix</w:t>
            </w:r>
          </w:p>
        </w:tc>
      </w:tr>
      <w:tr w:rsidR="00FE13A4" w14:paraId="426E4A3A"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5E4F7198" w14:textId="77777777" w:rsidR="00FE13A4" w:rsidRDefault="00000000">
            <w:pPr>
              <w:spacing w:after="6"/>
            </w:pPr>
            <w:r>
              <w:rPr>
                <w:color w:val="000000"/>
                <w:sz w:val="15"/>
                <w:szCs w:val="15"/>
              </w:rPr>
              <w:t>What it produces</w:t>
            </w:r>
          </w:p>
        </w:tc>
        <w:tc>
          <w:tcPr>
            <w:tcW w:w="7827" w:type="dxa"/>
            <w:tcBorders>
              <w:top w:val="single" w:sz="4" w:space="0" w:color="BFBFBF"/>
              <w:left w:val="single" w:sz="4" w:space="0" w:color="BFBFBF"/>
              <w:bottom w:val="single" w:sz="4" w:space="0" w:color="BFBFBF"/>
              <w:right w:val="single" w:sz="4" w:space="0" w:color="BFBFBF"/>
            </w:tcBorders>
          </w:tcPr>
          <w:p w14:paraId="28C5AC43" w14:textId="77777777" w:rsidR="00FE13A4" w:rsidRDefault="00000000">
            <w:pPr>
              <w:spacing w:after="6"/>
            </w:pPr>
            <w:r>
              <w:rPr>
                <w:color w:val="000000"/>
                <w:sz w:val="15"/>
                <w:szCs w:val="15"/>
              </w:rPr>
              <w:t>Ten document types from that one record: regional programme document, concept note, implementation plan, validation pack, policy brief, Member State adoption plan, public warning and communication plan, terms of reference, completeness annex and funding proposal</w:t>
            </w:r>
          </w:p>
        </w:tc>
      </w:tr>
      <w:tr w:rsidR="00FE13A4" w14:paraId="050B4118" w14:textId="77777777">
        <w:trPr>
          <w:cantSplit/>
        </w:trPr>
        <w:tc>
          <w:tcPr>
            <w:tcW w:w="2498" w:type="dxa"/>
            <w:tcBorders>
              <w:top w:val="single" w:sz="4" w:space="0" w:color="BFBFBF"/>
              <w:left w:val="single" w:sz="4" w:space="0" w:color="BFBFBF"/>
              <w:bottom w:val="single" w:sz="4" w:space="0" w:color="BFBFBF"/>
              <w:right w:val="single" w:sz="4" w:space="0" w:color="BFBFBF"/>
            </w:tcBorders>
          </w:tcPr>
          <w:p w14:paraId="1C225C47" w14:textId="77777777" w:rsidR="00FE13A4" w:rsidRDefault="00000000">
            <w:pPr>
              <w:spacing w:after="6"/>
            </w:pPr>
            <w:r>
              <w:rPr>
                <w:color w:val="000000"/>
                <w:sz w:val="15"/>
                <w:szCs w:val="15"/>
              </w:rPr>
              <w:t>Scale</w:t>
            </w:r>
          </w:p>
        </w:tc>
        <w:tc>
          <w:tcPr>
            <w:tcW w:w="7827" w:type="dxa"/>
            <w:tcBorders>
              <w:top w:val="single" w:sz="4" w:space="0" w:color="BFBFBF"/>
              <w:left w:val="single" w:sz="4" w:space="0" w:color="BFBFBF"/>
              <w:bottom w:val="single" w:sz="4" w:space="0" w:color="BFBFBF"/>
              <w:right w:val="single" w:sz="4" w:space="0" w:color="BFBFBF"/>
            </w:tcBorders>
          </w:tcPr>
          <w:p w14:paraId="6D3AD506" w14:textId="77777777" w:rsidR="00FE13A4" w:rsidRDefault="00000000">
            <w:pPr>
              <w:spacing w:after="6"/>
            </w:pPr>
            <w:r>
              <w:rPr>
                <w:color w:val="000000"/>
                <w:sz w:val="15"/>
                <w:szCs w:val="15"/>
              </w:rPr>
              <w:t>Any of the thirty-four innovations, in any Member State, against any of the ten document types, generated on demand rather than drafted from blank paper</w:t>
            </w:r>
          </w:p>
        </w:tc>
      </w:tr>
    </w:tbl>
    <w:p w14:paraId="1BCCD737" w14:textId="77777777" w:rsidR="00FE13A4" w:rsidRDefault="00000000">
      <w:pPr>
        <w:pStyle w:val="Heading2"/>
        <w:spacing w:before="160" w:after="70"/>
      </w:pPr>
      <w:bookmarkStart w:id="25" w:name="__RefHeading___Toc1850_2543505351"/>
      <w:bookmarkEnd w:id="25"/>
      <w:r>
        <w:rPr>
          <w:b/>
          <w:bCs/>
          <w:color w:val="BF9000"/>
          <w:sz w:val="20"/>
          <w:szCs w:val="20"/>
        </w:rPr>
        <w:t>8.1  Why it matters to SHOC rather than to the consultancy</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700"/>
        <w:gridCol w:w="2700"/>
        <w:gridCol w:w="6926"/>
      </w:tblGrid>
      <w:tr w:rsidR="00FE13A4" w14:paraId="7CE7E5F5"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Pr>
          <w:p w14:paraId="1C6913E0" w14:textId="77777777" w:rsidR="00FE13A4" w:rsidRDefault="00FE13A4">
            <w:pPr>
              <w:spacing w:after="6"/>
            </w:pPr>
          </w:p>
        </w:tc>
        <w:tc>
          <w:tcPr>
            <w:tcW w:w="2700" w:type="dxa"/>
            <w:tcBorders>
              <w:top w:val="single" w:sz="4" w:space="0" w:color="BFBFBF"/>
              <w:left w:val="single" w:sz="4" w:space="0" w:color="BFBFBF"/>
              <w:bottom w:val="single" w:sz="4" w:space="0" w:color="BFBFBF"/>
              <w:right w:val="single" w:sz="4" w:space="0" w:color="BFBFBF"/>
            </w:tcBorders>
            <w:shd w:val="clear" w:color="auto" w:fill="1F3864"/>
          </w:tcPr>
          <w:p w14:paraId="062C4960" w14:textId="77777777" w:rsidR="00FE13A4" w:rsidRDefault="00000000">
            <w:pPr>
              <w:spacing w:after="6"/>
            </w:pPr>
            <w:r>
              <w:rPr>
                <w:b/>
                <w:bCs/>
                <w:color w:val="FFFFFF"/>
                <w:sz w:val="15"/>
                <w:szCs w:val="15"/>
              </w:rPr>
              <w:t>Reason</w:t>
            </w:r>
          </w:p>
        </w:tc>
        <w:tc>
          <w:tcPr>
            <w:tcW w:w="6926" w:type="dxa"/>
            <w:tcBorders>
              <w:top w:val="single" w:sz="4" w:space="0" w:color="BFBFBF"/>
              <w:left w:val="single" w:sz="4" w:space="0" w:color="BFBFBF"/>
              <w:bottom w:val="single" w:sz="4" w:space="0" w:color="BFBFBF"/>
              <w:right w:val="single" w:sz="4" w:space="0" w:color="BFBFBF"/>
            </w:tcBorders>
            <w:shd w:val="clear" w:color="auto" w:fill="1F3864"/>
          </w:tcPr>
          <w:p w14:paraId="6C07A8E9" w14:textId="77777777" w:rsidR="00FE13A4" w:rsidRDefault="00000000">
            <w:pPr>
              <w:spacing w:after="6"/>
            </w:pPr>
            <w:r>
              <w:rPr>
                <w:b/>
                <w:bCs/>
                <w:color w:val="FFFFFF"/>
                <w:sz w:val="15"/>
                <w:szCs w:val="15"/>
              </w:rPr>
              <w:t>What it means in operation</w:t>
            </w:r>
          </w:p>
        </w:tc>
      </w:tr>
      <w:tr w:rsidR="00FE13A4" w14:paraId="0988E77D"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676DD6D2" w14:textId="77777777" w:rsidR="00FE13A4" w:rsidRDefault="00000000">
            <w:pPr>
              <w:spacing w:after="6"/>
            </w:pPr>
            <w:r>
              <w:rPr>
                <w:color w:val="000000"/>
                <w:sz w:val="15"/>
                <w:szCs w:val="15"/>
              </w:rPr>
              <w:t>One</w:t>
            </w:r>
          </w:p>
        </w:tc>
        <w:tc>
          <w:tcPr>
            <w:tcW w:w="2700" w:type="dxa"/>
            <w:tcBorders>
              <w:top w:val="single" w:sz="4" w:space="0" w:color="BFBFBF"/>
              <w:left w:val="single" w:sz="4" w:space="0" w:color="BFBFBF"/>
              <w:bottom w:val="single" w:sz="4" w:space="0" w:color="BFBFBF"/>
              <w:right w:val="single" w:sz="4" w:space="0" w:color="BFBFBF"/>
            </w:tcBorders>
          </w:tcPr>
          <w:p w14:paraId="7BD72900" w14:textId="77777777" w:rsidR="00FE13A4" w:rsidRDefault="00000000">
            <w:pPr>
              <w:spacing w:after="6"/>
            </w:pPr>
            <w:r>
              <w:rPr>
                <w:color w:val="000000"/>
                <w:sz w:val="15"/>
                <w:szCs w:val="15"/>
              </w:rPr>
              <w:t>It is what makes replication practical rather than aspirational</w:t>
            </w:r>
          </w:p>
        </w:tc>
        <w:tc>
          <w:tcPr>
            <w:tcW w:w="6926" w:type="dxa"/>
            <w:tcBorders>
              <w:top w:val="single" w:sz="4" w:space="0" w:color="BFBFBF"/>
              <w:left w:val="single" w:sz="4" w:space="0" w:color="BFBFBF"/>
              <w:bottom w:val="single" w:sz="4" w:space="0" w:color="BFBFBF"/>
              <w:right w:val="single" w:sz="4" w:space="0" w:color="BFBFBF"/>
            </w:tcBorders>
          </w:tcPr>
          <w:p w14:paraId="084CE8BA" w14:textId="77777777" w:rsidR="00FE13A4" w:rsidRDefault="00000000">
            <w:pPr>
              <w:spacing w:after="6"/>
            </w:pPr>
            <w:r>
              <w:rPr>
                <w:color w:val="000000"/>
                <w:sz w:val="15"/>
                <w:szCs w:val="15"/>
              </w:rPr>
              <w:t>Replication fails because the second Member State starts from nothing. Here the adoption plan, the concept note and the terms of reference for an instrument already proved elsewhere are generated from the record in minutes. The cost of offering an instrument to the fifteenth Member State is close to the cost of offering it to the second</w:t>
            </w:r>
          </w:p>
        </w:tc>
      </w:tr>
      <w:tr w:rsidR="00FE13A4" w14:paraId="4CFC9EBF"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64255790" w14:textId="77777777" w:rsidR="00FE13A4" w:rsidRDefault="00000000">
            <w:pPr>
              <w:spacing w:after="6"/>
            </w:pPr>
            <w:r>
              <w:rPr>
                <w:color w:val="000000"/>
                <w:sz w:val="15"/>
                <w:szCs w:val="15"/>
              </w:rPr>
              <w:t>Two</w:t>
            </w:r>
          </w:p>
        </w:tc>
        <w:tc>
          <w:tcPr>
            <w:tcW w:w="2700" w:type="dxa"/>
            <w:tcBorders>
              <w:top w:val="single" w:sz="4" w:space="0" w:color="BFBFBF"/>
              <w:left w:val="single" w:sz="4" w:space="0" w:color="BFBFBF"/>
              <w:bottom w:val="single" w:sz="4" w:space="0" w:color="BFBFBF"/>
              <w:right w:val="single" w:sz="4" w:space="0" w:color="BFBFBF"/>
            </w:tcBorders>
          </w:tcPr>
          <w:p w14:paraId="079D0F26" w14:textId="77777777" w:rsidR="00FE13A4" w:rsidRDefault="00000000">
            <w:pPr>
              <w:spacing w:after="6"/>
            </w:pPr>
            <w:r>
              <w:rPr>
                <w:color w:val="000000"/>
                <w:sz w:val="15"/>
                <w:szCs w:val="15"/>
              </w:rPr>
              <w:t>It enforces the Programme’s rules automatically, where a person would forget them</w:t>
            </w:r>
          </w:p>
        </w:tc>
        <w:tc>
          <w:tcPr>
            <w:tcW w:w="6926" w:type="dxa"/>
            <w:tcBorders>
              <w:top w:val="single" w:sz="4" w:space="0" w:color="BFBFBF"/>
              <w:left w:val="single" w:sz="4" w:space="0" w:color="BFBFBF"/>
              <w:bottom w:val="single" w:sz="4" w:space="0" w:color="BFBFBF"/>
              <w:right w:val="single" w:sz="4" w:space="0" w:color="BFBFBF"/>
            </w:tcBorders>
          </w:tcPr>
          <w:p w14:paraId="2F5AE47F" w14:textId="77777777" w:rsidR="00FE13A4" w:rsidRDefault="00000000">
            <w:pPr>
              <w:spacing w:after="6"/>
            </w:pPr>
            <w:r>
              <w:rPr>
                <w:color w:val="000000"/>
                <w:sz w:val="15"/>
                <w:szCs w:val="15"/>
              </w:rPr>
              <w:t>Nothing is invented: a field the record does not hold is either omitted or written as a request naming who is being asked. Cost bands never appear in a document a bidder sees. Inclusion absences are stated rather than quietly dropped. These are rules a drafter has to remember and the platform applies every time</w:t>
            </w:r>
          </w:p>
        </w:tc>
      </w:tr>
      <w:tr w:rsidR="00FE13A4" w14:paraId="4D57A969"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1262F196" w14:textId="77777777" w:rsidR="00FE13A4" w:rsidRDefault="00000000">
            <w:pPr>
              <w:spacing w:after="6"/>
            </w:pPr>
            <w:r>
              <w:rPr>
                <w:color w:val="000000"/>
                <w:sz w:val="15"/>
                <w:szCs w:val="15"/>
              </w:rPr>
              <w:t>Three</w:t>
            </w:r>
          </w:p>
        </w:tc>
        <w:tc>
          <w:tcPr>
            <w:tcW w:w="2700" w:type="dxa"/>
            <w:tcBorders>
              <w:top w:val="single" w:sz="4" w:space="0" w:color="BFBFBF"/>
              <w:left w:val="single" w:sz="4" w:space="0" w:color="BFBFBF"/>
              <w:bottom w:val="single" w:sz="4" w:space="0" w:color="BFBFBF"/>
              <w:right w:val="single" w:sz="4" w:space="0" w:color="BFBFBF"/>
            </w:tcBorders>
          </w:tcPr>
          <w:p w14:paraId="78DAC60E" w14:textId="77777777" w:rsidR="00FE13A4" w:rsidRDefault="00000000">
            <w:pPr>
              <w:spacing w:after="6"/>
            </w:pPr>
            <w:r>
              <w:rPr>
                <w:color w:val="000000"/>
                <w:sz w:val="15"/>
                <w:szCs w:val="15"/>
              </w:rPr>
              <w:t>It is the asset that outlives the contract</w:t>
            </w:r>
          </w:p>
        </w:tc>
        <w:tc>
          <w:tcPr>
            <w:tcW w:w="6926" w:type="dxa"/>
            <w:tcBorders>
              <w:top w:val="single" w:sz="4" w:space="0" w:color="BFBFBF"/>
              <w:left w:val="single" w:sz="4" w:space="0" w:color="BFBFBF"/>
              <w:bottom w:val="single" w:sz="4" w:space="0" w:color="BFBFBF"/>
              <w:right w:val="single" w:sz="4" w:space="0" w:color="BFBFBF"/>
            </w:tcBorders>
          </w:tcPr>
          <w:p w14:paraId="7BECFA9F" w14:textId="77777777" w:rsidR="00FE13A4" w:rsidRDefault="00000000">
            <w:pPr>
              <w:spacing w:after="6"/>
            </w:pPr>
            <w:r>
              <w:rPr>
                <w:color w:val="000000"/>
                <w:sz w:val="15"/>
                <w:szCs w:val="15"/>
              </w:rPr>
              <w:t>When this consultancy ends, the record, the templates and the code remain with the Disaster Risk Reduction Unit and with SHOC. A new or updated innovation is added to the record and the full set of products regenerates. The Programme continues to produce propositions without the people who built it</w:t>
            </w:r>
          </w:p>
        </w:tc>
      </w:tr>
      <w:tr w:rsidR="00FE13A4" w14:paraId="1F3C3187"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370B0087" w14:textId="77777777" w:rsidR="00FE13A4" w:rsidRDefault="00000000">
            <w:pPr>
              <w:spacing w:after="6"/>
            </w:pPr>
            <w:r>
              <w:rPr>
                <w:color w:val="000000"/>
                <w:sz w:val="15"/>
                <w:szCs w:val="15"/>
              </w:rPr>
              <w:t>Four</w:t>
            </w:r>
          </w:p>
        </w:tc>
        <w:tc>
          <w:tcPr>
            <w:tcW w:w="2700" w:type="dxa"/>
            <w:tcBorders>
              <w:top w:val="single" w:sz="4" w:space="0" w:color="BFBFBF"/>
              <w:left w:val="single" w:sz="4" w:space="0" w:color="BFBFBF"/>
              <w:bottom w:val="single" w:sz="4" w:space="0" w:color="BFBFBF"/>
              <w:right w:val="single" w:sz="4" w:space="0" w:color="BFBFBF"/>
            </w:tcBorders>
          </w:tcPr>
          <w:p w14:paraId="3C201DA6" w14:textId="77777777" w:rsidR="00FE13A4" w:rsidRDefault="00000000">
            <w:pPr>
              <w:spacing w:after="6"/>
            </w:pPr>
            <w:r>
              <w:rPr>
                <w:color w:val="000000"/>
                <w:sz w:val="15"/>
                <w:szCs w:val="15"/>
              </w:rPr>
              <w:t>It turns the regional record from an obligation into a return</w:t>
            </w:r>
          </w:p>
        </w:tc>
        <w:tc>
          <w:tcPr>
            <w:tcW w:w="6926" w:type="dxa"/>
            <w:tcBorders>
              <w:top w:val="single" w:sz="4" w:space="0" w:color="BFBFBF"/>
              <w:left w:val="single" w:sz="4" w:space="0" w:color="BFBFBF"/>
              <w:bottom w:val="single" w:sz="4" w:space="0" w:color="BFBFBF"/>
              <w:right w:val="single" w:sz="4" w:space="0" w:color="BFBFBF"/>
            </w:tcBorders>
          </w:tcPr>
          <w:p w14:paraId="371E44A5" w14:textId="77777777" w:rsidR="00FE13A4" w:rsidRDefault="00000000">
            <w:pPr>
              <w:spacing w:after="6"/>
            </w:pPr>
            <w:r>
              <w:rPr>
                <w:color w:val="000000"/>
                <w:sz w:val="15"/>
                <w:szCs w:val="15"/>
              </w:rPr>
              <w:t>SHOC is the only institution positioned to hold what works across the region. Holding it is a cost until something converts it into propositions a financing partner can act on. The platform is that conversion</w:t>
            </w:r>
          </w:p>
        </w:tc>
      </w:tr>
    </w:tbl>
    <w:p w14:paraId="6344DBBC" w14:textId="77777777" w:rsidR="00FE13A4" w:rsidRDefault="00000000">
      <w:pPr>
        <w:spacing w:after="100" w:line="264" w:lineRule="auto"/>
        <w:jc w:val="both"/>
      </w:pPr>
      <w:r>
        <w:rPr>
          <w:b/>
          <w:bCs/>
          <w:color w:val="000000"/>
        </w:rPr>
        <w:t xml:space="preserve">The practical test is the one to apply. </w:t>
      </w:r>
      <w:r>
        <w:rPr>
          <w:color w:val="000000"/>
        </w:rPr>
        <w:t>Ask for a concept note, an implementation plan and a terms of reference for any one of the thirty-four innovations, in any Member State, and judge how long it takes and what it costs. That is the capability being transferred, and it is the reason the platform is reported here as a component of the Programme rather than as a tool of the consultancy that built it.</w:t>
      </w:r>
    </w:p>
    <w:p w14:paraId="63AEB760" w14:textId="77777777" w:rsidR="00FE13A4" w:rsidRDefault="00000000">
      <w:pPr>
        <w:spacing w:after="100" w:line="264" w:lineRule="auto"/>
        <w:jc w:val="both"/>
      </w:pPr>
      <w:r>
        <w:rPr>
          <w:b/>
          <w:bCs/>
          <w:color w:val="000000"/>
        </w:rPr>
        <w:t xml:space="preserve">One operational note. </w:t>
      </w:r>
      <w:r>
        <w:rPr>
          <w:color w:val="000000"/>
        </w:rPr>
        <w:t>The platform is hosted on a community service that suspends an application after a period without use, so a reviewer opening the link cold may need to restart it and wait briefly. Before the platform is relied on as an institutional asset it should be moved to hosting controlled by the Secretariat, and the cost of doing so is included in the integration layer at section 9.2.</w:t>
      </w:r>
    </w:p>
    <w:p w14:paraId="40BDD649" w14:textId="77777777" w:rsidR="00FE13A4" w:rsidRDefault="00000000">
      <w:pPr>
        <w:spacing w:after="100" w:line="264" w:lineRule="auto"/>
        <w:jc w:val="both"/>
      </w:pPr>
      <w:r>
        <w:rPr>
          <w:color w:val="000000"/>
        </w:rPr>
        <w:t>Institutional handover covers the data pack, the templates, the code, user administration, maintenance responsibilities and staff training. SHOC and the Unit agree data-access permissions, backup and recovery arrangements, and a funded support owner before accepting the platform as an operational service.</w:t>
      </w:r>
    </w:p>
    <w:p w14:paraId="4DD28463" w14:textId="77777777" w:rsidR="00FE13A4" w:rsidRDefault="00000000">
      <w:pPr>
        <w:pStyle w:val="Heading1"/>
        <w:spacing w:before="210" w:after="90"/>
      </w:pPr>
      <w:bookmarkStart w:id="26" w:name="__RefHeading___Toc1852_2543505351"/>
      <w:bookmarkEnd w:id="26"/>
      <w:r>
        <w:rPr>
          <w:b/>
          <w:bCs/>
          <w:color w:val="1F3864"/>
          <w:sz w:val="24"/>
          <w:szCs w:val="24"/>
        </w:rPr>
        <w:t>9.  What full deployment requires</w:t>
      </w:r>
    </w:p>
    <w:p w14:paraId="202DA9F3" w14:textId="77777777" w:rsidR="00FE13A4" w:rsidRDefault="00000000">
      <w:pPr>
        <w:spacing w:after="100" w:line="264" w:lineRule="auto"/>
        <w:jc w:val="both"/>
      </w:pPr>
      <w:r>
        <w:rPr>
          <w:color w:val="000000"/>
        </w:rPr>
        <w:t>No cost figure was recorded for any innovation in any evidence source used by the Landscape Assessment. The cost estimation matrix was built to close that gap: nine cost archetypes, each banded against named published comparators, several from inside the region. The figures below are bands for appraisal, replaced by nationally priced figures before financial close.</w:t>
      </w:r>
    </w:p>
    <w:p w14:paraId="12DD9CE8" w14:textId="77777777" w:rsidR="00FE13A4" w:rsidRDefault="00000000">
      <w:pPr>
        <w:pStyle w:val="Heading2"/>
        <w:spacing w:before="160" w:after="70"/>
      </w:pPr>
      <w:bookmarkStart w:id="27" w:name="__RefHeading___Toc1854_2543505351"/>
      <w:bookmarkEnd w:id="27"/>
      <w:r>
        <w:rPr>
          <w:b/>
          <w:bCs/>
          <w:color w:val="BF9000"/>
          <w:sz w:val="20"/>
          <w:szCs w:val="20"/>
        </w:rPr>
        <w:t>9.1  Software, hardware and the part that is neither</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201"/>
        <w:gridCol w:w="2599"/>
        <w:gridCol w:w="2600"/>
        <w:gridCol w:w="2926"/>
      </w:tblGrid>
      <w:tr w:rsidR="00FE13A4" w14:paraId="140AF408"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Pr>
          <w:p w14:paraId="5AD92AA6" w14:textId="77777777" w:rsidR="00FE13A4" w:rsidRDefault="00000000">
            <w:pPr>
              <w:spacing w:after="6"/>
            </w:pPr>
            <w:r>
              <w:rPr>
                <w:b/>
                <w:bCs/>
                <w:color w:val="FFFFFF"/>
                <w:sz w:val="16"/>
                <w:szCs w:val="16"/>
              </w:rPr>
              <w:t>Component</w:t>
            </w:r>
          </w:p>
        </w:tc>
        <w:tc>
          <w:tcPr>
            <w:tcW w:w="2599" w:type="dxa"/>
            <w:tcBorders>
              <w:top w:val="single" w:sz="4" w:space="0" w:color="BFBFBF"/>
              <w:left w:val="single" w:sz="4" w:space="0" w:color="BFBFBF"/>
              <w:bottom w:val="single" w:sz="4" w:space="0" w:color="BFBFBF"/>
              <w:right w:val="single" w:sz="4" w:space="0" w:color="BFBFBF"/>
            </w:tcBorders>
            <w:shd w:val="clear" w:color="auto" w:fill="1F3864"/>
          </w:tcPr>
          <w:p w14:paraId="58460F40" w14:textId="77777777" w:rsidR="00FE13A4" w:rsidRDefault="00000000">
            <w:pPr>
              <w:spacing w:after="6"/>
            </w:pPr>
            <w:r>
              <w:rPr>
                <w:b/>
                <w:bCs/>
                <w:color w:val="FFFFFF"/>
                <w:sz w:val="16"/>
                <w:szCs w:val="16"/>
              </w:rPr>
              <w:t>What it covers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12C3E823" w14:textId="77777777" w:rsidR="00FE13A4" w:rsidRDefault="00000000">
            <w:pPr>
              <w:spacing w:after="6"/>
            </w:pPr>
            <w:r>
              <w:rPr>
                <w:b/>
                <w:bCs/>
                <w:color w:val="FFFFFF"/>
                <w:sz w:val="16"/>
                <w:szCs w:val="16"/>
              </w:rPr>
              <w:t>Share of a typical instrument</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Pr>
          <w:p w14:paraId="00AD510C" w14:textId="77777777" w:rsidR="00FE13A4" w:rsidRDefault="00000000">
            <w:pPr>
              <w:spacing w:after="6"/>
            </w:pPr>
            <w:r>
              <w:rPr>
                <w:b/>
                <w:bCs/>
                <w:color w:val="FFFFFF"/>
                <w:sz w:val="16"/>
                <w:szCs w:val="16"/>
              </w:rPr>
              <w:t>Why it is stated separately</w:t>
            </w:r>
          </w:p>
        </w:tc>
      </w:tr>
      <w:tr w:rsidR="00FE13A4" w14:paraId="24E695A1"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03409301" w14:textId="77777777" w:rsidR="00FE13A4" w:rsidRDefault="00000000">
            <w:pPr>
              <w:spacing w:after="6"/>
            </w:pPr>
            <w:r>
              <w:rPr>
                <w:color w:val="000000"/>
                <w:sz w:val="16"/>
                <w:szCs w:val="16"/>
              </w:rPr>
              <w:t>Hardware</w:t>
            </w:r>
          </w:p>
        </w:tc>
        <w:tc>
          <w:tcPr>
            <w:tcW w:w="2599" w:type="dxa"/>
            <w:tcBorders>
              <w:top w:val="single" w:sz="4" w:space="0" w:color="BFBFBF"/>
              <w:left w:val="single" w:sz="4" w:space="0" w:color="BFBFBF"/>
              <w:bottom w:val="single" w:sz="4" w:space="0" w:color="BFBFBF"/>
              <w:right w:val="single" w:sz="4" w:space="0" w:color="BFBFBF"/>
            </w:tcBorders>
          </w:tcPr>
          <w:p w14:paraId="5F543FE7" w14:textId="77777777" w:rsidR="00FE13A4" w:rsidRDefault="00000000">
            <w:pPr>
              <w:spacing w:after="6"/>
            </w:pPr>
            <w:r>
              <w:rPr>
                <w:color w:val="000000"/>
                <w:sz w:val="16"/>
                <w:szCs w:val="16"/>
              </w:rPr>
              <w:t>Sensors, aerial systems, telecommunications equipment, situation room infrastructure</w:t>
            </w:r>
          </w:p>
        </w:tc>
        <w:tc>
          <w:tcPr>
            <w:tcW w:w="2600" w:type="dxa"/>
            <w:tcBorders>
              <w:top w:val="single" w:sz="4" w:space="0" w:color="BFBFBF"/>
              <w:left w:val="single" w:sz="4" w:space="0" w:color="BFBFBF"/>
              <w:bottom w:val="single" w:sz="4" w:space="0" w:color="BFBFBF"/>
              <w:right w:val="single" w:sz="4" w:space="0" w:color="BFBFBF"/>
            </w:tcBorders>
          </w:tcPr>
          <w:p w14:paraId="3E245B66" w14:textId="77777777" w:rsidR="00FE13A4" w:rsidRDefault="00000000">
            <w:pPr>
              <w:spacing w:after="6"/>
            </w:pPr>
            <w:r>
              <w:rPr>
                <w:color w:val="000000"/>
                <w:sz w:val="16"/>
                <w:szCs w:val="16"/>
              </w:rPr>
              <w:t>Low in most instruments; dominant in aerial and telecommunications</w:t>
            </w:r>
          </w:p>
        </w:tc>
        <w:tc>
          <w:tcPr>
            <w:tcW w:w="2926" w:type="dxa"/>
            <w:tcBorders>
              <w:top w:val="single" w:sz="4" w:space="0" w:color="BFBFBF"/>
              <w:left w:val="single" w:sz="4" w:space="0" w:color="BFBFBF"/>
              <w:bottom w:val="single" w:sz="4" w:space="0" w:color="BFBFBF"/>
              <w:right w:val="single" w:sz="4" w:space="0" w:color="BFBFBF"/>
            </w:tcBorders>
          </w:tcPr>
          <w:p w14:paraId="13D31C05" w14:textId="77777777" w:rsidR="00FE13A4" w:rsidRDefault="00000000">
            <w:pPr>
              <w:spacing w:after="6"/>
            </w:pPr>
            <w:r>
              <w:rPr>
                <w:color w:val="000000"/>
                <w:sz w:val="16"/>
                <w:szCs w:val="16"/>
              </w:rPr>
              <w:t>It is the part a procurement can buy, and the part most programmes over-weight</w:t>
            </w:r>
          </w:p>
        </w:tc>
      </w:tr>
      <w:tr w:rsidR="00FE13A4" w14:paraId="384ACA82"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3D07029A" w14:textId="77777777" w:rsidR="00FE13A4" w:rsidRDefault="00000000">
            <w:pPr>
              <w:spacing w:after="6"/>
            </w:pPr>
            <w:r>
              <w:rPr>
                <w:color w:val="000000"/>
                <w:sz w:val="16"/>
                <w:szCs w:val="16"/>
              </w:rPr>
              <w:t>Software and data</w:t>
            </w:r>
          </w:p>
        </w:tc>
        <w:tc>
          <w:tcPr>
            <w:tcW w:w="2599" w:type="dxa"/>
            <w:tcBorders>
              <w:top w:val="single" w:sz="4" w:space="0" w:color="BFBFBF"/>
              <w:left w:val="single" w:sz="4" w:space="0" w:color="BFBFBF"/>
              <w:bottom w:val="single" w:sz="4" w:space="0" w:color="BFBFBF"/>
              <w:right w:val="single" w:sz="4" w:space="0" w:color="BFBFBF"/>
            </w:tcBorders>
          </w:tcPr>
          <w:p w14:paraId="50FBA1DD" w14:textId="77777777" w:rsidR="00FE13A4" w:rsidRDefault="00000000">
            <w:pPr>
              <w:spacing w:after="6"/>
            </w:pPr>
            <w:r>
              <w:rPr>
                <w:color w:val="000000"/>
                <w:sz w:val="16"/>
                <w:szCs w:val="16"/>
              </w:rPr>
              <w:t>Platforms, licences, imagery and data acquisition, integration between systems</w:t>
            </w:r>
          </w:p>
        </w:tc>
        <w:tc>
          <w:tcPr>
            <w:tcW w:w="2600" w:type="dxa"/>
            <w:tcBorders>
              <w:top w:val="single" w:sz="4" w:space="0" w:color="BFBFBF"/>
              <w:left w:val="single" w:sz="4" w:space="0" w:color="BFBFBF"/>
              <w:bottom w:val="single" w:sz="4" w:space="0" w:color="BFBFBF"/>
              <w:right w:val="single" w:sz="4" w:space="0" w:color="BFBFBF"/>
            </w:tcBorders>
          </w:tcPr>
          <w:p w14:paraId="607D85E8" w14:textId="77777777" w:rsidR="00FE13A4" w:rsidRDefault="00000000">
            <w:pPr>
              <w:spacing w:after="6"/>
            </w:pPr>
            <w:r>
              <w:rPr>
                <w:color w:val="000000"/>
                <w:sz w:val="16"/>
                <w:szCs w:val="16"/>
              </w:rPr>
              <w:t>Moderate at establishment, high in recurrent cost</w:t>
            </w:r>
          </w:p>
        </w:tc>
        <w:tc>
          <w:tcPr>
            <w:tcW w:w="2926" w:type="dxa"/>
            <w:tcBorders>
              <w:top w:val="single" w:sz="4" w:space="0" w:color="BFBFBF"/>
              <w:left w:val="single" w:sz="4" w:space="0" w:color="BFBFBF"/>
              <w:bottom w:val="single" w:sz="4" w:space="0" w:color="BFBFBF"/>
              <w:right w:val="single" w:sz="4" w:space="0" w:color="BFBFBF"/>
            </w:tcBorders>
          </w:tcPr>
          <w:p w14:paraId="4A870154" w14:textId="77777777" w:rsidR="00FE13A4" w:rsidRDefault="00000000">
            <w:pPr>
              <w:spacing w:after="6"/>
            </w:pPr>
            <w:r>
              <w:rPr>
                <w:color w:val="000000"/>
                <w:sz w:val="16"/>
                <w:szCs w:val="16"/>
              </w:rPr>
              <w:t>Data acquisition and refresh dominate running cost and are routinely under-budgeted</w:t>
            </w:r>
          </w:p>
        </w:tc>
      </w:tr>
      <w:tr w:rsidR="00FE13A4" w14:paraId="5916F7CE" w14:textId="77777777">
        <w:trPr>
          <w:cantSplit/>
        </w:trPr>
        <w:tc>
          <w:tcPr>
            <w:tcW w:w="2200" w:type="dxa"/>
            <w:tcBorders>
              <w:top w:val="single" w:sz="4" w:space="0" w:color="BFBFBF"/>
              <w:left w:val="single" w:sz="4" w:space="0" w:color="BFBFBF"/>
              <w:bottom w:val="single" w:sz="4" w:space="0" w:color="BFBFBF"/>
              <w:right w:val="single" w:sz="4" w:space="0" w:color="BFBFBF"/>
            </w:tcBorders>
          </w:tcPr>
          <w:p w14:paraId="2847B2A6" w14:textId="77777777" w:rsidR="00FE13A4" w:rsidRDefault="00000000">
            <w:pPr>
              <w:spacing w:after="6"/>
            </w:pPr>
            <w:r>
              <w:rPr>
                <w:color w:val="000000"/>
                <w:sz w:val="16"/>
                <w:szCs w:val="16"/>
              </w:rPr>
              <w:t>Institutional</w:t>
            </w:r>
          </w:p>
        </w:tc>
        <w:tc>
          <w:tcPr>
            <w:tcW w:w="2599" w:type="dxa"/>
            <w:tcBorders>
              <w:top w:val="single" w:sz="4" w:space="0" w:color="BFBFBF"/>
              <w:left w:val="single" w:sz="4" w:space="0" w:color="BFBFBF"/>
              <w:bottom w:val="single" w:sz="4" w:space="0" w:color="BFBFBF"/>
              <w:right w:val="single" w:sz="4" w:space="0" w:color="BFBFBF"/>
            </w:tcBorders>
          </w:tcPr>
          <w:p w14:paraId="619D407A" w14:textId="77777777" w:rsidR="00FE13A4" w:rsidRDefault="00000000">
            <w:pPr>
              <w:spacing w:after="6"/>
            </w:pPr>
            <w:r>
              <w:rPr>
                <w:color w:val="000000"/>
                <w:sz w:val="16"/>
                <w:szCs w:val="16"/>
              </w:rPr>
              <w:t>Agreements, protocols, standard operating procedures, regulatory authorisation, training, documentation</w:t>
            </w:r>
          </w:p>
        </w:tc>
        <w:tc>
          <w:tcPr>
            <w:tcW w:w="2600" w:type="dxa"/>
            <w:tcBorders>
              <w:top w:val="single" w:sz="4" w:space="0" w:color="BFBFBF"/>
              <w:left w:val="single" w:sz="4" w:space="0" w:color="BFBFBF"/>
              <w:bottom w:val="single" w:sz="4" w:space="0" w:color="BFBFBF"/>
              <w:right w:val="single" w:sz="4" w:space="0" w:color="BFBFBF"/>
            </w:tcBorders>
          </w:tcPr>
          <w:p w14:paraId="68BF6EAC" w14:textId="77777777" w:rsidR="00FE13A4" w:rsidRDefault="00000000">
            <w:pPr>
              <w:spacing w:after="6"/>
            </w:pPr>
            <w:r>
              <w:rPr>
                <w:color w:val="000000"/>
                <w:sz w:val="16"/>
                <w:szCs w:val="16"/>
              </w:rPr>
              <w:t>Dominant in two-thirds of the portfolio</w:t>
            </w:r>
          </w:p>
        </w:tc>
        <w:tc>
          <w:tcPr>
            <w:tcW w:w="2926" w:type="dxa"/>
            <w:tcBorders>
              <w:top w:val="single" w:sz="4" w:space="0" w:color="BFBFBF"/>
              <w:left w:val="single" w:sz="4" w:space="0" w:color="BFBFBF"/>
              <w:bottom w:val="single" w:sz="4" w:space="0" w:color="BFBFBF"/>
              <w:right w:val="single" w:sz="4" w:space="0" w:color="BFBFBF"/>
            </w:tcBorders>
          </w:tcPr>
          <w:p w14:paraId="13059AF9" w14:textId="77777777" w:rsidR="00FE13A4" w:rsidRDefault="00000000">
            <w:pPr>
              <w:spacing w:after="6"/>
            </w:pPr>
            <w:r>
              <w:rPr>
                <w:color w:val="000000"/>
                <w:sz w:val="16"/>
                <w:szCs w:val="16"/>
              </w:rPr>
              <w:t>It cannot be procured as a product and is therefore the part that goes unfunded. It is also the binding constraint identified at section 3.1</w:t>
            </w:r>
          </w:p>
        </w:tc>
      </w:tr>
    </w:tbl>
    <w:p w14:paraId="612D8043" w14:textId="77777777" w:rsidR="00FE13A4" w:rsidRDefault="00000000">
      <w:pPr>
        <w:pStyle w:val="Heading2"/>
        <w:spacing w:before="160" w:after="70"/>
      </w:pPr>
      <w:bookmarkStart w:id="28" w:name="__RefHeading___Toc1856_2543505351"/>
      <w:bookmarkEnd w:id="28"/>
      <w:r>
        <w:rPr>
          <w:b/>
          <w:bCs/>
          <w:color w:val="BF9000"/>
          <w:sz w:val="20"/>
          <w:szCs w:val="20"/>
        </w:rPr>
        <w:t>9.2  What the evidence supports costing today</w:t>
      </w:r>
    </w:p>
    <w:p w14:paraId="299E6FCB" w14:textId="77777777" w:rsidR="00FE13A4" w:rsidRDefault="00000000">
      <w:pPr>
        <w:spacing w:after="100" w:line="264" w:lineRule="auto"/>
        <w:jc w:val="both"/>
      </w:pPr>
      <w:r>
        <w:rPr>
          <w:color w:val="000000"/>
        </w:rPr>
        <w:lastRenderedPageBreak/>
        <w:t>The ten worked examples have been costed bottom-up as a first investment window, on a method that charges first implementation in full and later adoption at a replication rate, and funds running cost only through the transition to national budgets rather than for the life of the Programme.</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3400"/>
        <w:gridCol w:w="2400"/>
        <w:gridCol w:w="4526"/>
      </w:tblGrid>
      <w:tr w:rsidR="00FE13A4" w14:paraId="45150072"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Pr>
          <w:p w14:paraId="3E339656" w14:textId="77777777" w:rsidR="00FE13A4" w:rsidRDefault="00000000">
            <w:pPr>
              <w:spacing w:after="6"/>
            </w:pPr>
            <w:r>
              <w:rPr>
                <w:b/>
                <w:bCs/>
                <w:color w:val="FFFFFF"/>
                <w:sz w:val="16"/>
                <w:szCs w:val="16"/>
              </w:rPr>
              <w:t>Window</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Pr>
          <w:p w14:paraId="5C1B480B" w14:textId="77777777" w:rsidR="00FE13A4" w:rsidRDefault="00000000">
            <w:pPr>
              <w:spacing w:after="6"/>
            </w:pPr>
            <w:r>
              <w:rPr>
                <w:b/>
                <w:bCs/>
                <w:color w:val="FFFFFF"/>
                <w:sz w:val="16"/>
                <w:szCs w:val="16"/>
              </w:rPr>
              <w:t>Indicative range</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Pr>
          <w:p w14:paraId="1DA7AFEE" w14:textId="77777777" w:rsidR="00FE13A4" w:rsidRDefault="00000000">
            <w:pPr>
              <w:spacing w:after="6"/>
            </w:pPr>
            <w:r>
              <w:rPr>
                <w:b/>
                <w:bCs/>
                <w:color w:val="FFFFFF"/>
                <w:sz w:val="16"/>
                <w:szCs w:val="16"/>
              </w:rPr>
              <w:t>Basis</w:t>
            </w:r>
          </w:p>
        </w:tc>
      </w:tr>
      <w:tr w:rsidR="00FE13A4" w14:paraId="656BB804"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51BEFE17" w14:textId="77777777" w:rsidR="00FE13A4" w:rsidRDefault="00000000">
            <w:pPr>
              <w:spacing w:after="6"/>
            </w:pPr>
            <w:r>
              <w:rPr>
                <w:color w:val="000000"/>
                <w:sz w:val="16"/>
                <w:szCs w:val="16"/>
              </w:rPr>
              <w:t>First window: the ten worked examples, eight Member States, five years</w:t>
            </w:r>
          </w:p>
        </w:tc>
        <w:tc>
          <w:tcPr>
            <w:tcW w:w="2400" w:type="dxa"/>
            <w:tcBorders>
              <w:top w:val="single" w:sz="4" w:space="0" w:color="BFBFBF"/>
              <w:left w:val="single" w:sz="4" w:space="0" w:color="BFBFBF"/>
              <w:bottom w:val="single" w:sz="4" w:space="0" w:color="BFBFBF"/>
              <w:right w:val="single" w:sz="4" w:space="0" w:color="BFBFBF"/>
            </w:tcBorders>
          </w:tcPr>
          <w:p w14:paraId="272688AE" w14:textId="77777777" w:rsidR="00FE13A4" w:rsidRDefault="00000000">
            <w:pPr>
              <w:spacing w:after="6"/>
            </w:pPr>
            <w:r>
              <w:rPr>
                <w:color w:val="000000"/>
                <w:sz w:val="16"/>
                <w:szCs w:val="16"/>
              </w:rPr>
              <w:t>United States dollars 55 to 65 million</w:t>
            </w:r>
          </w:p>
        </w:tc>
        <w:tc>
          <w:tcPr>
            <w:tcW w:w="4526" w:type="dxa"/>
            <w:tcBorders>
              <w:top w:val="single" w:sz="4" w:space="0" w:color="BFBFBF"/>
              <w:left w:val="single" w:sz="4" w:space="0" w:color="BFBFBF"/>
              <w:bottom w:val="single" w:sz="4" w:space="0" w:color="BFBFBF"/>
              <w:right w:val="single" w:sz="4" w:space="0" w:color="BFBFBF"/>
            </w:tcBorders>
          </w:tcPr>
          <w:p w14:paraId="0C564A44" w14:textId="77777777" w:rsidR="00FE13A4" w:rsidRDefault="00000000">
            <w:pPr>
              <w:spacing w:after="6"/>
            </w:pPr>
            <w:r>
              <w:rPr>
                <w:color w:val="000000"/>
                <w:sz w:val="16"/>
                <w:szCs w:val="16"/>
              </w:rPr>
              <w:t>Bottom-up from the cost estimation matrix. Management, oversight and indirect recovery are approximately eleven per cent of the total, within every ceiling the funding partners apply</w:t>
            </w:r>
          </w:p>
        </w:tc>
      </w:tr>
      <w:tr w:rsidR="00FE13A4" w14:paraId="120E9B84"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707F5CD3" w14:textId="77777777" w:rsidR="00FE13A4" w:rsidRDefault="00000000">
            <w:pPr>
              <w:spacing w:after="6"/>
            </w:pPr>
            <w:r>
              <w:rPr>
                <w:color w:val="000000"/>
                <w:sz w:val="16"/>
                <w:szCs w:val="16"/>
              </w:rPr>
              <w:t>SHOC integration layer</w:t>
            </w:r>
          </w:p>
        </w:tc>
        <w:tc>
          <w:tcPr>
            <w:tcW w:w="2400" w:type="dxa"/>
            <w:tcBorders>
              <w:top w:val="single" w:sz="4" w:space="0" w:color="BFBFBF"/>
              <w:left w:val="single" w:sz="4" w:space="0" w:color="BFBFBF"/>
              <w:bottom w:val="single" w:sz="4" w:space="0" w:color="BFBFBF"/>
              <w:right w:val="single" w:sz="4" w:space="0" w:color="BFBFBF"/>
            </w:tcBorders>
          </w:tcPr>
          <w:p w14:paraId="6118EFA7" w14:textId="77777777" w:rsidR="00FE13A4" w:rsidRDefault="00000000">
            <w:pPr>
              <w:spacing w:after="6"/>
            </w:pPr>
            <w:r>
              <w:rPr>
                <w:color w:val="000000"/>
                <w:sz w:val="16"/>
                <w:szCs w:val="16"/>
              </w:rPr>
              <w:t>United States dollars 10 to 21 million</w:t>
            </w:r>
          </w:p>
        </w:tc>
        <w:tc>
          <w:tcPr>
            <w:tcW w:w="4526" w:type="dxa"/>
            <w:tcBorders>
              <w:top w:val="single" w:sz="4" w:space="0" w:color="BFBFBF"/>
              <w:left w:val="single" w:sz="4" w:space="0" w:color="BFBFBF"/>
              <w:bottom w:val="single" w:sz="4" w:space="0" w:color="BFBFBF"/>
              <w:right w:val="single" w:sz="4" w:space="0" w:color="BFBFBF"/>
            </w:tcBorders>
          </w:tcPr>
          <w:p w14:paraId="14AED42E" w14:textId="77777777" w:rsidR="00FE13A4" w:rsidRDefault="00000000">
            <w:pPr>
              <w:spacing w:after="6"/>
            </w:pPr>
            <w:r>
              <w:rPr>
                <w:color w:val="000000"/>
                <w:sz w:val="16"/>
                <w:szCs w:val="16"/>
              </w:rPr>
              <w:t>What SHOC itself must build to run the ten as one chain: risk model hosting, situation room integration, the alerting standard, the outstanding procedures, the documentation standard, the surge roster, exercising and the staffing to operate them. Costed at section 9.3, to be confirmed with SHOC</w:t>
            </w:r>
          </w:p>
        </w:tc>
      </w:tr>
      <w:tr w:rsidR="00FE13A4" w14:paraId="21718F91"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5570D046" w14:textId="77777777" w:rsidR="00FE13A4" w:rsidRDefault="00000000">
            <w:pPr>
              <w:spacing w:after="6"/>
            </w:pPr>
            <w:r>
              <w:rPr>
                <w:color w:val="000000"/>
                <w:sz w:val="16"/>
                <w:szCs w:val="16"/>
              </w:rPr>
              <w:t>Regional scale-up to all sixteen Member States</w:t>
            </w:r>
          </w:p>
        </w:tc>
        <w:tc>
          <w:tcPr>
            <w:tcW w:w="2400" w:type="dxa"/>
            <w:tcBorders>
              <w:top w:val="single" w:sz="4" w:space="0" w:color="BFBFBF"/>
              <w:left w:val="single" w:sz="4" w:space="0" w:color="BFBFBF"/>
              <w:bottom w:val="single" w:sz="4" w:space="0" w:color="BFBFBF"/>
              <w:right w:val="single" w:sz="4" w:space="0" w:color="BFBFBF"/>
            </w:tcBorders>
          </w:tcPr>
          <w:p w14:paraId="63F2E58B" w14:textId="77777777" w:rsidR="00FE13A4" w:rsidRDefault="00000000">
            <w:pPr>
              <w:spacing w:after="6"/>
            </w:pPr>
            <w:r>
              <w:rPr>
                <w:color w:val="000000"/>
                <w:sz w:val="16"/>
                <w:szCs w:val="16"/>
              </w:rPr>
              <w:t>Within the indicative envelope</w:t>
            </w:r>
          </w:p>
        </w:tc>
        <w:tc>
          <w:tcPr>
            <w:tcW w:w="4526" w:type="dxa"/>
            <w:tcBorders>
              <w:top w:val="single" w:sz="4" w:space="0" w:color="BFBFBF"/>
              <w:left w:val="single" w:sz="4" w:space="0" w:color="BFBFBF"/>
              <w:bottom w:val="single" w:sz="4" w:space="0" w:color="BFBFBF"/>
              <w:right w:val="single" w:sz="4" w:space="0" w:color="BFBFBF"/>
            </w:tcBorders>
          </w:tcPr>
          <w:p w14:paraId="785CF6B6" w14:textId="77777777" w:rsidR="00FE13A4" w:rsidRDefault="00000000">
            <w:pPr>
              <w:spacing w:after="6"/>
            </w:pPr>
            <w:r>
              <w:rPr>
                <w:color w:val="000000"/>
                <w:sz w:val="16"/>
                <w:szCs w:val="16"/>
              </w:rPr>
              <w:t>The envelope of 5.6 billion United States dollars is a programme-level planning figure for the full regional agenda to 2031. It is not derived from the instrument costings in this document and should not be presented as though it were</w:t>
            </w:r>
          </w:p>
        </w:tc>
      </w:tr>
    </w:tbl>
    <w:p w14:paraId="1C9D7349" w14:textId="77777777" w:rsidR="00FE13A4" w:rsidRDefault="00000000">
      <w:pPr>
        <w:spacing w:after="100" w:line="264" w:lineRule="auto"/>
        <w:jc w:val="both"/>
      </w:pPr>
      <w:r>
        <w:rPr>
          <w:b/>
          <w:bCs/>
          <w:color w:val="000000"/>
        </w:rPr>
        <w:t xml:space="preserve">The relationship between the two tables should be stated plainly rather than reconciled by arithmetic. </w:t>
      </w:r>
      <w:r>
        <w:rPr>
          <w:color w:val="000000"/>
        </w:rPr>
        <w:t>What this document can cost from evidence is a first window of approximately sixty million United States dollars for Member State adoption, and a further ten to twenty-one million for the SHOC integration layer at section 9.3. The indicative envelope is a planning figure for the whole regional agenda across five years, including national-level investment that no regional programme controls. Baseline validation, feasibility and financing appraisal will establish what sits between the two, and this Programme should not claim to have done that work before it has been done.</w:t>
      </w:r>
    </w:p>
    <w:p w14:paraId="5F5C878B" w14:textId="77777777" w:rsidR="00FE13A4" w:rsidRDefault="00000000">
      <w:pPr>
        <w:pStyle w:val="Heading2"/>
        <w:spacing w:before="160" w:after="70"/>
      </w:pPr>
      <w:bookmarkStart w:id="29" w:name="__RefHeading___Toc1858_2543505351"/>
      <w:bookmarkEnd w:id="29"/>
      <w:r>
        <w:rPr>
          <w:b/>
          <w:bCs/>
          <w:color w:val="BF9000"/>
          <w:sz w:val="20"/>
          <w:szCs w:val="20"/>
        </w:rPr>
        <w:t>9.3  What SHOC itself must build, and what it costs</w:t>
      </w:r>
    </w:p>
    <w:p w14:paraId="7BC8B908" w14:textId="77777777" w:rsidR="00FE13A4" w:rsidRDefault="00000000">
      <w:pPr>
        <w:spacing w:after="100" w:line="264" w:lineRule="auto"/>
        <w:jc w:val="both"/>
      </w:pPr>
      <w:r>
        <w:rPr>
          <w:b/>
          <w:bCs/>
          <w:color w:val="000000"/>
        </w:rPr>
        <w:t xml:space="preserve">The first window above finances adoption of the ten instruments by Member States. It does not finance what SHOC must build in order to run them as one chain, and that is a separate cost object which has until now been left open. </w:t>
      </w:r>
      <w:r>
        <w:rPr>
          <w:color w:val="000000"/>
        </w:rPr>
        <w:t>It is costed below on the same method: unit rates, bands for appraisal, replaced by procured prices before financial close. These figures should be confirmed with SHOC, which holds facts about its own establishment that this Programme does not.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900"/>
        <w:gridCol w:w="2100"/>
        <w:gridCol w:w="2000"/>
        <w:gridCol w:w="3326"/>
      </w:tblGrid>
      <w:tr w:rsidR="00FE13A4" w14:paraId="0B25A600" w14:textId="77777777">
        <w:trPr>
          <w:cantSplit/>
          <w:tblHeader/>
        </w:trPr>
        <w:tc>
          <w:tcPr>
            <w:tcW w:w="2899" w:type="dxa"/>
            <w:tcBorders>
              <w:top w:val="single" w:sz="4" w:space="0" w:color="BFBFBF"/>
              <w:left w:val="single" w:sz="4" w:space="0" w:color="BFBFBF"/>
              <w:bottom w:val="single" w:sz="4" w:space="0" w:color="BFBFBF"/>
              <w:right w:val="single" w:sz="4" w:space="0" w:color="BFBFBF"/>
            </w:tcBorders>
            <w:shd w:val="clear" w:color="auto" w:fill="1F3864"/>
          </w:tcPr>
          <w:p w14:paraId="5E6F6A6E" w14:textId="77777777" w:rsidR="00FE13A4" w:rsidRDefault="00000000">
            <w:pPr>
              <w:spacing w:after="6"/>
            </w:pPr>
            <w:r>
              <w:rPr>
                <w:b/>
                <w:bCs/>
                <w:color w:val="FFFFFF"/>
                <w:sz w:val="15"/>
                <w:szCs w:val="15"/>
              </w:rPr>
              <w:t>Component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Pr>
          <w:p w14:paraId="7352E7D5" w14:textId="77777777" w:rsidR="00FE13A4" w:rsidRDefault="00000000">
            <w:pPr>
              <w:spacing w:after="6"/>
            </w:pPr>
            <w:r>
              <w:rPr>
                <w:b/>
                <w:bCs/>
                <w:color w:val="FFFFFF"/>
                <w:sz w:val="15"/>
                <w:szCs w:val="15"/>
              </w:rPr>
              <w:t>Establishment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Pr>
          <w:p w14:paraId="4E94C978" w14:textId="77777777" w:rsidR="00FE13A4" w:rsidRDefault="00000000">
            <w:pPr>
              <w:spacing w:after="6"/>
            </w:pPr>
            <w:r>
              <w:rPr>
                <w:b/>
                <w:bCs/>
                <w:color w:val="FFFFFF"/>
                <w:sz w:val="15"/>
                <w:szCs w:val="15"/>
              </w:rPr>
              <w:t>Each year</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Pr>
          <w:p w14:paraId="3D01DA6F" w14:textId="77777777" w:rsidR="00FE13A4" w:rsidRDefault="00000000">
            <w:pPr>
              <w:spacing w:after="6"/>
            </w:pPr>
            <w:r>
              <w:rPr>
                <w:b/>
                <w:bCs/>
                <w:color w:val="FFFFFF"/>
                <w:sz w:val="15"/>
                <w:szCs w:val="15"/>
              </w:rPr>
              <w:t>What it buys</w:t>
            </w:r>
          </w:p>
        </w:tc>
      </w:tr>
      <w:tr w:rsidR="00FE13A4" w14:paraId="12268D17"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3E5E0107" w14:textId="77777777" w:rsidR="00FE13A4" w:rsidRDefault="00000000">
            <w:pPr>
              <w:spacing w:after="6"/>
            </w:pPr>
            <w:r>
              <w:rPr>
                <w:color w:val="000000"/>
                <w:sz w:val="15"/>
                <w:szCs w:val="15"/>
              </w:rPr>
              <w:t>Regional risk model hosting</w:t>
            </w:r>
          </w:p>
        </w:tc>
        <w:tc>
          <w:tcPr>
            <w:tcW w:w="2100" w:type="dxa"/>
            <w:tcBorders>
              <w:top w:val="single" w:sz="4" w:space="0" w:color="BFBFBF"/>
              <w:left w:val="single" w:sz="4" w:space="0" w:color="BFBFBF"/>
              <w:bottom w:val="single" w:sz="4" w:space="0" w:color="BFBFBF"/>
              <w:right w:val="single" w:sz="4" w:space="0" w:color="BFBFBF"/>
            </w:tcBorders>
          </w:tcPr>
          <w:p w14:paraId="375A37C5" w14:textId="77777777" w:rsidR="00FE13A4" w:rsidRDefault="00000000">
            <w:pPr>
              <w:spacing w:after="6"/>
            </w:pPr>
            <w:r>
              <w:rPr>
                <w:color w:val="000000"/>
                <w:sz w:val="15"/>
                <w:szCs w:val="15"/>
              </w:rPr>
              <w:t>0.6 to 1.2m</w:t>
            </w:r>
          </w:p>
        </w:tc>
        <w:tc>
          <w:tcPr>
            <w:tcW w:w="2000" w:type="dxa"/>
            <w:tcBorders>
              <w:top w:val="single" w:sz="4" w:space="0" w:color="BFBFBF"/>
              <w:left w:val="single" w:sz="4" w:space="0" w:color="BFBFBF"/>
              <w:bottom w:val="single" w:sz="4" w:space="0" w:color="BFBFBF"/>
              <w:right w:val="single" w:sz="4" w:space="0" w:color="BFBFBF"/>
            </w:tcBorders>
          </w:tcPr>
          <w:p w14:paraId="1B1A4C52" w14:textId="77777777" w:rsidR="00FE13A4" w:rsidRDefault="00000000">
            <w:pPr>
              <w:spacing w:after="6"/>
            </w:pPr>
            <w:r>
              <w:rPr>
                <w:color w:val="000000"/>
                <w:sz w:val="15"/>
                <w:szCs w:val="15"/>
              </w:rPr>
              <w:t>0.25 to 0.5m</w:t>
            </w:r>
          </w:p>
        </w:tc>
        <w:tc>
          <w:tcPr>
            <w:tcW w:w="3326" w:type="dxa"/>
            <w:tcBorders>
              <w:top w:val="single" w:sz="4" w:space="0" w:color="BFBFBF"/>
              <w:left w:val="single" w:sz="4" w:space="0" w:color="BFBFBF"/>
              <w:bottom w:val="single" w:sz="4" w:space="0" w:color="BFBFBF"/>
              <w:right w:val="single" w:sz="4" w:space="0" w:color="BFBFBF"/>
            </w:tcBorders>
          </w:tcPr>
          <w:p w14:paraId="5AEEB1C4" w14:textId="77777777" w:rsidR="00FE13A4" w:rsidRDefault="00000000">
            <w:pPr>
              <w:spacing w:after="6"/>
            </w:pPr>
            <w:r>
              <w:rPr>
                <w:color w:val="000000"/>
                <w:sz w:val="15"/>
                <w:szCs w:val="15"/>
              </w:rPr>
              <w:t>Platform, licences, data acquisition and the agreed refresh cycle for the subnational risk model</w:t>
            </w:r>
          </w:p>
        </w:tc>
      </w:tr>
      <w:tr w:rsidR="00FE13A4" w14:paraId="5FC31C48"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6BFF5982" w14:textId="77777777" w:rsidR="00FE13A4" w:rsidRDefault="00000000">
            <w:pPr>
              <w:spacing w:after="6"/>
            </w:pPr>
            <w:r>
              <w:rPr>
                <w:color w:val="000000"/>
                <w:sz w:val="15"/>
                <w:szCs w:val="15"/>
              </w:rPr>
              <w:t>Situation room integration</w:t>
            </w:r>
          </w:p>
        </w:tc>
        <w:tc>
          <w:tcPr>
            <w:tcW w:w="2100" w:type="dxa"/>
            <w:tcBorders>
              <w:top w:val="single" w:sz="4" w:space="0" w:color="BFBFBF"/>
              <w:left w:val="single" w:sz="4" w:space="0" w:color="BFBFBF"/>
              <w:bottom w:val="single" w:sz="4" w:space="0" w:color="BFBFBF"/>
              <w:right w:val="single" w:sz="4" w:space="0" w:color="BFBFBF"/>
            </w:tcBorders>
          </w:tcPr>
          <w:p w14:paraId="3E19CC3C" w14:textId="77777777" w:rsidR="00FE13A4" w:rsidRDefault="00000000">
            <w:pPr>
              <w:spacing w:after="6"/>
            </w:pPr>
            <w:r>
              <w:rPr>
                <w:color w:val="000000"/>
                <w:sz w:val="15"/>
                <w:szCs w:val="15"/>
              </w:rPr>
              <w:t>0.9 to 1.8m</w:t>
            </w:r>
          </w:p>
        </w:tc>
        <w:tc>
          <w:tcPr>
            <w:tcW w:w="2000" w:type="dxa"/>
            <w:tcBorders>
              <w:top w:val="single" w:sz="4" w:space="0" w:color="BFBFBF"/>
              <w:left w:val="single" w:sz="4" w:space="0" w:color="BFBFBF"/>
              <w:bottom w:val="single" w:sz="4" w:space="0" w:color="BFBFBF"/>
              <w:right w:val="single" w:sz="4" w:space="0" w:color="BFBFBF"/>
            </w:tcBorders>
          </w:tcPr>
          <w:p w14:paraId="7EBCE4F2" w14:textId="77777777" w:rsidR="00FE13A4" w:rsidRDefault="00000000">
            <w:pPr>
              <w:spacing w:after="6"/>
            </w:pPr>
            <w:r>
              <w:rPr>
                <w:color w:val="000000"/>
                <w:sz w:val="15"/>
                <w:szCs w:val="15"/>
              </w:rPr>
              <w:t>0.2 to 0.4m</w:t>
            </w:r>
          </w:p>
        </w:tc>
        <w:tc>
          <w:tcPr>
            <w:tcW w:w="3326" w:type="dxa"/>
            <w:tcBorders>
              <w:top w:val="single" w:sz="4" w:space="0" w:color="BFBFBF"/>
              <w:left w:val="single" w:sz="4" w:space="0" w:color="BFBFBF"/>
              <w:bottom w:val="single" w:sz="4" w:space="0" w:color="BFBFBF"/>
              <w:right w:val="single" w:sz="4" w:space="0" w:color="BFBFBF"/>
            </w:tcBorders>
          </w:tcPr>
          <w:p w14:paraId="2FA81F3C" w14:textId="77777777" w:rsidR="00FE13A4" w:rsidRDefault="00000000">
            <w:pPr>
              <w:spacing w:after="6"/>
            </w:pPr>
            <w:r>
              <w:rPr>
                <w:color w:val="000000"/>
                <w:sz w:val="15"/>
                <w:szCs w:val="15"/>
              </w:rPr>
              <w:t>Interfaces and connectivity between SHOC and national situation rooms, to a common data standard</w:t>
            </w:r>
          </w:p>
        </w:tc>
      </w:tr>
      <w:tr w:rsidR="00FE13A4" w14:paraId="031F11DB"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5B20EE0A" w14:textId="77777777" w:rsidR="00FE13A4" w:rsidRDefault="00000000">
            <w:pPr>
              <w:spacing w:after="6"/>
            </w:pPr>
            <w:r>
              <w:rPr>
                <w:color w:val="000000"/>
                <w:sz w:val="15"/>
                <w:szCs w:val="15"/>
              </w:rPr>
              <w:t>Alerting standard and regulatory convening</w:t>
            </w:r>
          </w:p>
        </w:tc>
        <w:tc>
          <w:tcPr>
            <w:tcW w:w="2100" w:type="dxa"/>
            <w:tcBorders>
              <w:top w:val="single" w:sz="4" w:space="0" w:color="BFBFBF"/>
              <w:left w:val="single" w:sz="4" w:space="0" w:color="BFBFBF"/>
              <w:bottom w:val="single" w:sz="4" w:space="0" w:color="BFBFBF"/>
              <w:right w:val="single" w:sz="4" w:space="0" w:color="BFBFBF"/>
            </w:tcBorders>
          </w:tcPr>
          <w:p w14:paraId="1958E774" w14:textId="77777777" w:rsidR="00FE13A4" w:rsidRDefault="00000000">
            <w:pPr>
              <w:spacing w:after="6"/>
            </w:pPr>
            <w:r>
              <w:rPr>
                <w:color w:val="000000"/>
                <w:sz w:val="15"/>
                <w:szCs w:val="15"/>
              </w:rPr>
              <w:t>0.4 to 0.8m</w:t>
            </w:r>
          </w:p>
        </w:tc>
        <w:tc>
          <w:tcPr>
            <w:tcW w:w="2000" w:type="dxa"/>
            <w:tcBorders>
              <w:top w:val="single" w:sz="4" w:space="0" w:color="BFBFBF"/>
              <w:left w:val="single" w:sz="4" w:space="0" w:color="BFBFBF"/>
              <w:bottom w:val="single" w:sz="4" w:space="0" w:color="BFBFBF"/>
              <w:right w:val="single" w:sz="4" w:space="0" w:color="BFBFBF"/>
            </w:tcBorders>
          </w:tcPr>
          <w:p w14:paraId="02B3FD40" w14:textId="77777777" w:rsidR="00FE13A4" w:rsidRDefault="00000000">
            <w:pPr>
              <w:spacing w:after="6"/>
            </w:pPr>
            <w:r>
              <w:rPr>
                <w:color w:val="000000"/>
                <w:sz w:val="15"/>
                <w:szCs w:val="15"/>
              </w:rPr>
              <w:t>0.1 to 0.2m</w:t>
            </w:r>
          </w:p>
        </w:tc>
        <w:tc>
          <w:tcPr>
            <w:tcW w:w="3326" w:type="dxa"/>
            <w:tcBorders>
              <w:top w:val="single" w:sz="4" w:space="0" w:color="BFBFBF"/>
              <w:left w:val="single" w:sz="4" w:space="0" w:color="BFBFBF"/>
              <w:bottom w:val="single" w:sz="4" w:space="0" w:color="BFBFBF"/>
              <w:right w:val="single" w:sz="4" w:space="0" w:color="BFBFBF"/>
            </w:tcBorders>
          </w:tcPr>
          <w:p w14:paraId="4E0724E4" w14:textId="77777777" w:rsidR="00FE13A4" w:rsidRDefault="00000000">
            <w:pPr>
              <w:spacing w:after="6"/>
            </w:pPr>
            <w:r>
              <w:rPr>
                <w:color w:val="000000"/>
                <w:sz w:val="15"/>
                <w:szCs w:val="15"/>
              </w:rPr>
              <w:t>Developing the common alerting standard and convening regulators and operators in each Member State</w:t>
            </w:r>
          </w:p>
        </w:tc>
      </w:tr>
      <w:tr w:rsidR="00FE13A4" w14:paraId="3B76D98B"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59FCAC90" w14:textId="77777777" w:rsidR="00FE13A4" w:rsidRDefault="00000000">
            <w:pPr>
              <w:spacing w:after="6"/>
            </w:pPr>
            <w:r>
              <w:rPr>
                <w:color w:val="000000"/>
                <w:sz w:val="15"/>
                <w:szCs w:val="15"/>
              </w:rPr>
              <w:t>Operating procedures</w:t>
            </w:r>
          </w:p>
        </w:tc>
        <w:tc>
          <w:tcPr>
            <w:tcW w:w="2100" w:type="dxa"/>
            <w:tcBorders>
              <w:top w:val="single" w:sz="4" w:space="0" w:color="BFBFBF"/>
              <w:left w:val="single" w:sz="4" w:space="0" w:color="BFBFBF"/>
              <w:bottom w:val="single" w:sz="4" w:space="0" w:color="BFBFBF"/>
              <w:right w:val="single" w:sz="4" w:space="0" w:color="BFBFBF"/>
            </w:tcBorders>
          </w:tcPr>
          <w:p w14:paraId="4D74FE62" w14:textId="77777777" w:rsidR="00FE13A4" w:rsidRDefault="00000000">
            <w:pPr>
              <w:spacing w:after="6"/>
            </w:pPr>
            <w:r>
              <w:rPr>
                <w:color w:val="000000"/>
                <w:sz w:val="15"/>
                <w:szCs w:val="15"/>
              </w:rPr>
              <w:t>0.3 to 0.6m</w:t>
            </w:r>
          </w:p>
        </w:tc>
        <w:tc>
          <w:tcPr>
            <w:tcW w:w="2000" w:type="dxa"/>
            <w:tcBorders>
              <w:top w:val="single" w:sz="4" w:space="0" w:color="BFBFBF"/>
              <w:left w:val="single" w:sz="4" w:space="0" w:color="BFBFBF"/>
              <w:bottom w:val="single" w:sz="4" w:space="0" w:color="BFBFBF"/>
              <w:right w:val="single" w:sz="4" w:space="0" w:color="BFBFBF"/>
            </w:tcBorders>
          </w:tcPr>
          <w:p w14:paraId="1C4FDFED" w14:textId="77777777" w:rsidR="00FE13A4" w:rsidRDefault="00000000">
            <w:pPr>
              <w:spacing w:after="6"/>
            </w:pPr>
            <w:r>
              <w:rPr>
                <w:color w:val="000000"/>
                <w:sz w:val="15"/>
                <w:szCs w:val="15"/>
              </w:rPr>
              <w:t>0.08 to 0.15m</w:t>
            </w:r>
          </w:p>
        </w:tc>
        <w:tc>
          <w:tcPr>
            <w:tcW w:w="3326" w:type="dxa"/>
            <w:tcBorders>
              <w:top w:val="single" w:sz="4" w:space="0" w:color="BFBFBF"/>
              <w:left w:val="single" w:sz="4" w:space="0" w:color="BFBFBF"/>
              <w:bottom w:val="single" w:sz="4" w:space="0" w:color="BFBFBF"/>
              <w:right w:val="single" w:sz="4" w:space="0" w:color="BFBFBF"/>
            </w:tcBorders>
          </w:tcPr>
          <w:p w14:paraId="3F4E5745" w14:textId="77777777" w:rsidR="00FE13A4" w:rsidRDefault="00000000">
            <w:pPr>
              <w:spacing w:after="6"/>
            </w:pPr>
            <w:r>
              <w:rPr>
                <w:color w:val="000000"/>
                <w:sz w:val="15"/>
                <w:szCs w:val="15"/>
              </w:rPr>
              <w:t>Drafting, consultation and issue of the outstanding procedures, and their annual review</w:t>
            </w:r>
          </w:p>
        </w:tc>
      </w:tr>
      <w:tr w:rsidR="00FE13A4" w14:paraId="2078ABC3"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59847D6A" w14:textId="77777777" w:rsidR="00FE13A4" w:rsidRDefault="00000000">
            <w:pPr>
              <w:spacing w:after="6"/>
            </w:pPr>
            <w:r>
              <w:rPr>
                <w:color w:val="000000"/>
                <w:sz w:val="15"/>
                <w:szCs w:val="15"/>
              </w:rPr>
              <w:t>Documentation standard and regional record</w:t>
            </w:r>
          </w:p>
        </w:tc>
        <w:tc>
          <w:tcPr>
            <w:tcW w:w="2100" w:type="dxa"/>
            <w:tcBorders>
              <w:top w:val="single" w:sz="4" w:space="0" w:color="BFBFBF"/>
              <w:left w:val="single" w:sz="4" w:space="0" w:color="BFBFBF"/>
              <w:bottom w:val="single" w:sz="4" w:space="0" w:color="BFBFBF"/>
              <w:right w:val="single" w:sz="4" w:space="0" w:color="BFBFBF"/>
            </w:tcBorders>
          </w:tcPr>
          <w:p w14:paraId="4ACC3621" w14:textId="77777777" w:rsidR="00FE13A4" w:rsidRDefault="00000000">
            <w:pPr>
              <w:spacing w:after="6"/>
            </w:pPr>
            <w:r>
              <w:rPr>
                <w:color w:val="000000"/>
                <w:sz w:val="15"/>
                <w:szCs w:val="15"/>
              </w:rPr>
              <w:t>0.25 to 0.5m</w:t>
            </w:r>
          </w:p>
        </w:tc>
        <w:tc>
          <w:tcPr>
            <w:tcW w:w="2000" w:type="dxa"/>
            <w:tcBorders>
              <w:top w:val="single" w:sz="4" w:space="0" w:color="BFBFBF"/>
              <w:left w:val="single" w:sz="4" w:space="0" w:color="BFBFBF"/>
              <w:bottom w:val="single" w:sz="4" w:space="0" w:color="BFBFBF"/>
              <w:right w:val="single" w:sz="4" w:space="0" w:color="BFBFBF"/>
            </w:tcBorders>
          </w:tcPr>
          <w:p w14:paraId="17457C0A" w14:textId="77777777" w:rsidR="00FE13A4" w:rsidRDefault="00000000">
            <w:pPr>
              <w:spacing w:after="6"/>
            </w:pPr>
            <w:r>
              <w:rPr>
                <w:color w:val="000000"/>
                <w:sz w:val="15"/>
                <w:szCs w:val="15"/>
              </w:rPr>
              <w:t>0.15 to 0.3m</w:t>
            </w:r>
          </w:p>
        </w:tc>
        <w:tc>
          <w:tcPr>
            <w:tcW w:w="3326" w:type="dxa"/>
            <w:tcBorders>
              <w:top w:val="single" w:sz="4" w:space="0" w:color="BFBFBF"/>
              <w:left w:val="single" w:sz="4" w:space="0" w:color="BFBFBF"/>
              <w:bottom w:val="single" w:sz="4" w:space="0" w:color="BFBFBF"/>
              <w:right w:val="single" w:sz="4" w:space="0" w:color="BFBFBF"/>
            </w:tcBorders>
          </w:tcPr>
          <w:p w14:paraId="5FB43C42" w14:textId="77777777" w:rsidR="00FE13A4" w:rsidRDefault="00000000">
            <w:pPr>
              <w:spacing w:after="6"/>
            </w:pPr>
            <w:r>
              <w:rPr>
                <w:color w:val="000000"/>
                <w:sz w:val="15"/>
                <w:szCs w:val="15"/>
              </w:rPr>
              <w:t>The standard itself and the record that holds what each activation produced</w:t>
            </w:r>
          </w:p>
        </w:tc>
      </w:tr>
      <w:tr w:rsidR="00FE13A4" w14:paraId="4C2B6C1C"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50620E03" w14:textId="77777777" w:rsidR="00FE13A4" w:rsidRDefault="00000000">
            <w:pPr>
              <w:spacing w:after="6"/>
            </w:pPr>
            <w:r>
              <w:rPr>
                <w:color w:val="000000"/>
                <w:sz w:val="15"/>
                <w:szCs w:val="15"/>
              </w:rPr>
              <w:t>Surge roster and expert pooling</w:t>
            </w:r>
          </w:p>
        </w:tc>
        <w:tc>
          <w:tcPr>
            <w:tcW w:w="2100" w:type="dxa"/>
            <w:tcBorders>
              <w:top w:val="single" w:sz="4" w:space="0" w:color="BFBFBF"/>
              <w:left w:val="single" w:sz="4" w:space="0" w:color="BFBFBF"/>
              <w:bottom w:val="single" w:sz="4" w:space="0" w:color="BFBFBF"/>
              <w:right w:val="single" w:sz="4" w:space="0" w:color="BFBFBF"/>
            </w:tcBorders>
          </w:tcPr>
          <w:p w14:paraId="5CC06F71" w14:textId="77777777" w:rsidR="00FE13A4" w:rsidRDefault="00000000">
            <w:pPr>
              <w:spacing w:after="6"/>
            </w:pPr>
            <w:r>
              <w:rPr>
                <w:color w:val="000000"/>
                <w:sz w:val="15"/>
                <w:szCs w:val="15"/>
              </w:rPr>
              <w:t>0.35 to 0.7m</w:t>
            </w:r>
          </w:p>
        </w:tc>
        <w:tc>
          <w:tcPr>
            <w:tcW w:w="2000" w:type="dxa"/>
            <w:tcBorders>
              <w:top w:val="single" w:sz="4" w:space="0" w:color="BFBFBF"/>
              <w:left w:val="single" w:sz="4" w:space="0" w:color="BFBFBF"/>
              <w:bottom w:val="single" w:sz="4" w:space="0" w:color="BFBFBF"/>
              <w:right w:val="single" w:sz="4" w:space="0" w:color="BFBFBF"/>
            </w:tcBorders>
          </w:tcPr>
          <w:p w14:paraId="5D802089" w14:textId="77777777" w:rsidR="00FE13A4" w:rsidRDefault="00000000">
            <w:pPr>
              <w:spacing w:after="6"/>
            </w:pPr>
            <w:r>
              <w:rPr>
                <w:color w:val="000000"/>
                <w:sz w:val="15"/>
                <w:szCs w:val="15"/>
              </w:rPr>
              <w:t>0.2 to 0.4m</w:t>
            </w:r>
          </w:p>
        </w:tc>
        <w:tc>
          <w:tcPr>
            <w:tcW w:w="3326" w:type="dxa"/>
            <w:tcBorders>
              <w:top w:val="single" w:sz="4" w:space="0" w:color="BFBFBF"/>
              <w:left w:val="single" w:sz="4" w:space="0" w:color="BFBFBF"/>
              <w:bottom w:val="single" w:sz="4" w:space="0" w:color="BFBFBF"/>
              <w:right w:val="single" w:sz="4" w:space="0" w:color="BFBFBF"/>
            </w:tcBorders>
          </w:tcPr>
          <w:p w14:paraId="176D037C" w14:textId="77777777" w:rsidR="00FE13A4" w:rsidRDefault="00000000">
            <w:pPr>
              <w:spacing w:after="6"/>
            </w:pPr>
            <w:r>
              <w:rPr>
                <w:color w:val="000000"/>
                <w:sz w:val="15"/>
                <w:szCs w:val="15"/>
              </w:rPr>
              <w:t>Establishing and maintaining a rostered, deployable capability under written procedure</w:t>
            </w:r>
          </w:p>
        </w:tc>
      </w:tr>
      <w:tr w:rsidR="00FE13A4" w14:paraId="31D9B458"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38DF53A0" w14:textId="77777777" w:rsidR="00FE13A4" w:rsidRDefault="00000000">
            <w:pPr>
              <w:spacing w:after="6"/>
            </w:pPr>
            <w:r>
              <w:rPr>
                <w:color w:val="000000"/>
                <w:sz w:val="15"/>
                <w:szCs w:val="15"/>
              </w:rPr>
              <w:t>Training and exercising</w:t>
            </w:r>
          </w:p>
        </w:tc>
        <w:tc>
          <w:tcPr>
            <w:tcW w:w="2100" w:type="dxa"/>
            <w:tcBorders>
              <w:top w:val="single" w:sz="4" w:space="0" w:color="BFBFBF"/>
              <w:left w:val="single" w:sz="4" w:space="0" w:color="BFBFBF"/>
              <w:bottom w:val="single" w:sz="4" w:space="0" w:color="BFBFBF"/>
              <w:right w:val="single" w:sz="4" w:space="0" w:color="BFBFBF"/>
            </w:tcBorders>
          </w:tcPr>
          <w:p w14:paraId="6A97F8B7" w14:textId="77777777" w:rsidR="00FE13A4" w:rsidRDefault="00000000">
            <w:pPr>
              <w:spacing w:after="6"/>
            </w:pPr>
            <w:r>
              <w:rPr>
                <w:color w:val="000000"/>
                <w:sz w:val="15"/>
                <w:szCs w:val="15"/>
              </w:rPr>
              <w:t>0.4 to 0.8m</w:t>
            </w:r>
          </w:p>
        </w:tc>
        <w:tc>
          <w:tcPr>
            <w:tcW w:w="2000" w:type="dxa"/>
            <w:tcBorders>
              <w:top w:val="single" w:sz="4" w:space="0" w:color="BFBFBF"/>
              <w:left w:val="single" w:sz="4" w:space="0" w:color="BFBFBF"/>
              <w:bottom w:val="single" w:sz="4" w:space="0" w:color="BFBFBF"/>
              <w:right w:val="single" w:sz="4" w:space="0" w:color="BFBFBF"/>
            </w:tcBorders>
          </w:tcPr>
          <w:p w14:paraId="632D6B48" w14:textId="77777777" w:rsidR="00FE13A4" w:rsidRDefault="00000000">
            <w:pPr>
              <w:spacing w:after="6"/>
            </w:pPr>
            <w:r>
              <w:rPr>
                <w:color w:val="000000"/>
                <w:sz w:val="15"/>
                <w:szCs w:val="15"/>
              </w:rPr>
              <w:t>0.3 to 0.6m</w:t>
            </w:r>
          </w:p>
        </w:tc>
        <w:tc>
          <w:tcPr>
            <w:tcW w:w="3326" w:type="dxa"/>
            <w:tcBorders>
              <w:top w:val="single" w:sz="4" w:space="0" w:color="BFBFBF"/>
              <w:left w:val="single" w:sz="4" w:space="0" w:color="BFBFBF"/>
              <w:bottom w:val="single" w:sz="4" w:space="0" w:color="BFBFBF"/>
              <w:right w:val="single" w:sz="4" w:space="0" w:color="BFBFBF"/>
            </w:tcBorders>
          </w:tcPr>
          <w:p w14:paraId="60798B16" w14:textId="77777777" w:rsidR="00FE13A4" w:rsidRDefault="00000000">
            <w:pPr>
              <w:spacing w:after="6"/>
            </w:pPr>
            <w:r>
              <w:rPr>
                <w:color w:val="000000"/>
                <w:sz w:val="15"/>
                <w:szCs w:val="15"/>
              </w:rPr>
              <w:t>Annual simulation exercising of the complete chain rather than of separate tools</w:t>
            </w:r>
          </w:p>
        </w:tc>
      </w:tr>
      <w:tr w:rsidR="00FE13A4" w14:paraId="015EF3B4"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07E85649" w14:textId="77777777" w:rsidR="00FE13A4" w:rsidRDefault="00000000">
            <w:pPr>
              <w:spacing w:after="6"/>
            </w:pPr>
            <w:r>
              <w:rPr>
                <w:color w:val="000000"/>
                <w:sz w:val="15"/>
                <w:szCs w:val="15"/>
              </w:rPr>
              <w:t>Platform migration and support</w:t>
            </w:r>
          </w:p>
        </w:tc>
        <w:tc>
          <w:tcPr>
            <w:tcW w:w="2100" w:type="dxa"/>
            <w:tcBorders>
              <w:top w:val="single" w:sz="4" w:space="0" w:color="BFBFBF"/>
              <w:left w:val="single" w:sz="4" w:space="0" w:color="BFBFBF"/>
              <w:bottom w:val="single" w:sz="4" w:space="0" w:color="BFBFBF"/>
              <w:right w:val="single" w:sz="4" w:space="0" w:color="BFBFBF"/>
            </w:tcBorders>
          </w:tcPr>
          <w:p w14:paraId="7742D87A" w14:textId="77777777" w:rsidR="00FE13A4" w:rsidRDefault="00000000">
            <w:pPr>
              <w:spacing w:after="6"/>
            </w:pPr>
            <w:r>
              <w:rPr>
                <w:color w:val="000000"/>
                <w:sz w:val="15"/>
                <w:szCs w:val="15"/>
              </w:rPr>
              <w:t>0.12 to 0.25m</w:t>
            </w:r>
          </w:p>
        </w:tc>
        <w:tc>
          <w:tcPr>
            <w:tcW w:w="2000" w:type="dxa"/>
            <w:tcBorders>
              <w:top w:val="single" w:sz="4" w:space="0" w:color="BFBFBF"/>
              <w:left w:val="single" w:sz="4" w:space="0" w:color="BFBFBF"/>
              <w:bottom w:val="single" w:sz="4" w:space="0" w:color="BFBFBF"/>
              <w:right w:val="single" w:sz="4" w:space="0" w:color="BFBFBF"/>
            </w:tcBorders>
          </w:tcPr>
          <w:p w14:paraId="5A77B5BB" w14:textId="77777777" w:rsidR="00FE13A4" w:rsidRDefault="00000000">
            <w:pPr>
              <w:spacing w:after="6"/>
            </w:pPr>
            <w:r>
              <w:rPr>
                <w:color w:val="000000"/>
                <w:sz w:val="15"/>
                <w:szCs w:val="15"/>
              </w:rPr>
              <w:t>0.06 to 0.12m</w:t>
            </w:r>
          </w:p>
        </w:tc>
        <w:tc>
          <w:tcPr>
            <w:tcW w:w="3326" w:type="dxa"/>
            <w:tcBorders>
              <w:top w:val="single" w:sz="4" w:space="0" w:color="BFBFBF"/>
              <w:left w:val="single" w:sz="4" w:space="0" w:color="BFBFBF"/>
              <w:bottom w:val="single" w:sz="4" w:space="0" w:color="BFBFBF"/>
              <w:right w:val="single" w:sz="4" w:space="0" w:color="BFBFBF"/>
            </w:tcBorders>
          </w:tcPr>
          <w:p w14:paraId="3D83B90D" w14:textId="77777777" w:rsidR="00FE13A4" w:rsidRDefault="00000000">
            <w:pPr>
              <w:spacing w:after="6"/>
            </w:pPr>
            <w:r>
              <w:rPr>
                <w:color w:val="000000"/>
                <w:sz w:val="15"/>
                <w:szCs w:val="15"/>
              </w:rPr>
              <w:t>Moving the delivery platform to hosting the Secretariat controls, with a funded support owner</w:t>
            </w:r>
          </w:p>
        </w:tc>
      </w:tr>
      <w:tr w:rsidR="00FE13A4" w14:paraId="54A9BBC7"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32B7FAE9" w14:textId="77777777" w:rsidR="00FE13A4" w:rsidRDefault="00000000">
            <w:pPr>
              <w:spacing w:after="6"/>
            </w:pPr>
            <w:r>
              <w:rPr>
                <w:color w:val="000000"/>
                <w:sz w:val="15"/>
                <w:szCs w:val="15"/>
              </w:rPr>
              <w:t>Integration staffing at SHOC</w:t>
            </w:r>
          </w:p>
        </w:tc>
        <w:tc>
          <w:tcPr>
            <w:tcW w:w="2100" w:type="dxa"/>
            <w:tcBorders>
              <w:top w:val="single" w:sz="4" w:space="0" w:color="BFBFBF"/>
              <w:left w:val="single" w:sz="4" w:space="0" w:color="BFBFBF"/>
              <w:bottom w:val="single" w:sz="4" w:space="0" w:color="BFBFBF"/>
              <w:right w:val="single" w:sz="4" w:space="0" w:color="BFBFBF"/>
            </w:tcBorders>
          </w:tcPr>
          <w:p w14:paraId="5721912A" w14:textId="77777777" w:rsidR="00FE13A4" w:rsidRDefault="00000000">
            <w:pPr>
              <w:spacing w:after="6"/>
            </w:pPr>
            <w:r>
              <w:rPr>
                <w:color w:val="000000"/>
                <w:sz w:val="15"/>
                <w:szCs w:val="15"/>
              </w:rPr>
              <w:t>—</w:t>
            </w:r>
          </w:p>
        </w:tc>
        <w:tc>
          <w:tcPr>
            <w:tcW w:w="2000" w:type="dxa"/>
            <w:tcBorders>
              <w:top w:val="single" w:sz="4" w:space="0" w:color="BFBFBF"/>
              <w:left w:val="single" w:sz="4" w:space="0" w:color="BFBFBF"/>
              <w:bottom w:val="single" w:sz="4" w:space="0" w:color="BFBFBF"/>
              <w:right w:val="single" w:sz="4" w:space="0" w:color="BFBFBF"/>
            </w:tcBorders>
          </w:tcPr>
          <w:p w14:paraId="3DCAD967" w14:textId="77777777" w:rsidR="00FE13A4" w:rsidRDefault="00000000">
            <w:pPr>
              <w:spacing w:after="6"/>
            </w:pPr>
            <w:r>
              <w:rPr>
                <w:color w:val="000000"/>
                <w:sz w:val="15"/>
                <w:szCs w:val="15"/>
              </w:rPr>
              <w:t>0.45 to 0.9m</w:t>
            </w:r>
          </w:p>
        </w:tc>
        <w:tc>
          <w:tcPr>
            <w:tcW w:w="3326" w:type="dxa"/>
            <w:tcBorders>
              <w:top w:val="single" w:sz="4" w:space="0" w:color="BFBFBF"/>
              <w:left w:val="single" w:sz="4" w:space="0" w:color="BFBFBF"/>
              <w:bottom w:val="single" w:sz="4" w:space="0" w:color="BFBFBF"/>
              <w:right w:val="single" w:sz="4" w:space="0" w:color="BFBFBF"/>
            </w:tcBorders>
          </w:tcPr>
          <w:p w14:paraId="2A031E2F" w14:textId="77777777" w:rsidR="00FE13A4" w:rsidRDefault="00000000">
            <w:pPr>
              <w:spacing w:after="6"/>
            </w:pPr>
            <w:r>
              <w:rPr>
                <w:color w:val="000000"/>
                <w:sz w:val="15"/>
                <w:szCs w:val="15"/>
              </w:rPr>
              <w:t>The posts that operate the above. Without them the components are assets rather than capability</w:t>
            </w:r>
          </w:p>
        </w:tc>
      </w:tr>
      <w:tr w:rsidR="00FE13A4" w14:paraId="23EBDC8A"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0E959ECF" w14:textId="77777777" w:rsidR="00FE13A4" w:rsidRDefault="00000000">
            <w:pPr>
              <w:spacing w:after="6"/>
            </w:pPr>
            <w:r>
              <w:rPr>
                <w:color w:val="000000"/>
                <w:sz w:val="15"/>
                <w:szCs w:val="15"/>
              </w:rPr>
              <w:t>Total, SHOC integration layer</w:t>
            </w:r>
          </w:p>
        </w:tc>
        <w:tc>
          <w:tcPr>
            <w:tcW w:w="2100" w:type="dxa"/>
            <w:tcBorders>
              <w:top w:val="single" w:sz="4" w:space="0" w:color="BFBFBF"/>
              <w:left w:val="single" w:sz="4" w:space="0" w:color="BFBFBF"/>
              <w:bottom w:val="single" w:sz="4" w:space="0" w:color="BFBFBF"/>
              <w:right w:val="single" w:sz="4" w:space="0" w:color="BFBFBF"/>
            </w:tcBorders>
          </w:tcPr>
          <w:p w14:paraId="1CFA12B0" w14:textId="77777777" w:rsidR="00FE13A4" w:rsidRDefault="00000000">
            <w:pPr>
              <w:spacing w:after="6"/>
            </w:pPr>
            <w:r>
              <w:rPr>
                <w:color w:val="000000"/>
                <w:sz w:val="15"/>
                <w:szCs w:val="15"/>
              </w:rPr>
              <w:t>3.3 to 6.7m</w:t>
            </w:r>
          </w:p>
        </w:tc>
        <w:tc>
          <w:tcPr>
            <w:tcW w:w="2000" w:type="dxa"/>
            <w:tcBorders>
              <w:top w:val="single" w:sz="4" w:space="0" w:color="BFBFBF"/>
              <w:left w:val="single" w:sz="4" w:space="0" w:color="BFBFBF"/>
              <w:bottom w:val="single" w:sz="4" w:space="0" w:color="BFBFBF"/>
              <w:right w:val="single" w:sz="4" w:space="0" w:color="BFBFBF"/>
            </w:tcBorders>
          </w:tcPr>
          <w:p w14:paraId="40ABB936" w14:textId="77777777" w:rsidR="00FE13A4" w:rsidRDefault="00000000">
            <w:pPr>
              <w:spacing w:after="6"/>
            </w:pPr>
            <w:r>
              <w:rPr>
                <w:color w:val="000000"/>
                <w:sz w:val="15"/>
                <w:szCs w:val="15"/>
              </w:rPr>
              <w:t>1.8 to 3.6m</w:t>
            </w:r>
          </w:p>
        </w:tc>
        <w:tc>
          <w:tcPr>
            <w:tcW w:w="3326" w:type="dxa"/>
            <w:tcBorders>
              <w:top w:val="single" w:sz="4" w:space="0" w:color="BFBFBF"/>
              <w:left w:val="single" w:sz="4" w:space="0" w:color="BFBFBF"/>
              <w:bottom w:val="single" w:sz="4" w:space="0" w:color="BFBFBF"/>
              <w:right w:val="single" w:sz="4" w:space="0" w:color="BFBFBF"/>
            </w:tcBorders>
          </w:tcPr>
          <w:p w14:paraId="16ED2D34" w14:textId="77777777" w:rsidR="00FE13A4" w:rsidRDefault="00000000">
            <w:pPr>
              <w:spacing w:after="6"/>
            </w:pPr>
            <w:r>
              <w:rPr>
                <w:color w:val="000000"/>
                <w:sz w:val="15"/>
                <w:szCs w:val="15"/>
              </w:rPr>
              <w:t>Five-year total of ten to twenty-one million United States dollars, including four years of running cost</w:t>
            </w:r>
          </w:p>
        </w:tc>
      </w:tr>
    </w:tbl>
    <w:p w14:paraId="2A7859E6" w14:textId="77777777" w:rsidR="00FE13A4" w:rsidRDefault="00000000">
      <w:pPr>
        <w:spacing w:after="100" w:line="264" w:lineRule="auto"/>
        <w:jc w:val="both"/>
      </w:pPr>
      <w:r>
        <w:rPr>
          <w:b/>
          <w:bCs/>
          <w:color w:val="000000"/>
        </w:rPr>
        <w:t xml:space="preserve">The whole ask, stated once. </w:t>
      </w:r>
      <w:r>
        <w:rPr>
          <w:color w:val="000000"/>
        </w:rPr>
        <w:t>Fifty-five to sixty-five million United States dollars for Member State adoption of the ten instruments, and ten to twenty-one million for the SHOC integration layer: a programme of sixty-five to eighty-six million United States dollars over five years. The two must be presented together and funded together, because the first without the second buys ten instruments that do not connect, and the second without the first buys a chain with nothing on it.</w:t>
      </w:r>
    </w:p>
    <w:p w14:paraId="661D9622" w14:textId="77777777" w:rsidR="00FE13A4" w:rsidRDefault="00000000">
      <w:pPr>
        <w:spacing w:after="100" w:line="264" w:lineRule="auto"/>
        <w:jc w:val="both"/>
      </w:pPr>
      <w:r>
        <w:rPr>
          <w:b/>
          <w:bCs/>
          <w:color w:val="000000"/>
        </w:rPr>
        <w:lastRenderedPageBreak/>
        <w:t xml:space="preserve">One accounting rule prevents the obvious error. </w:t>
      </w:r>
      <w:r>
        <w:rPr>
          <w:color w:val="000000"/>
        </w:rPr>
        <w:t>Regional costs sit in the integration layer and national costs sit in the first window, and no cost appears in both. Where a partner is already financing a component regionally, it is recorded as a contribution against that line rather than requested again.</w:t>
      </w:r>
    </w:p>
    <w:p w14:paraId="18157E6E" w14:textId="77777777" w:rsidR="00FE13A4" w:rsidRDefault="00000000">
      <w:pPr>
        <w:pStyle w:val="Heading2"/>
        <w:spacing w:before="160" w:after="70"/>
      </w:pPr>
      <w:bookmarkStart w:id="30" w:name="__RefHeading___Toc1860_2543505351"/>
      <w:bookmarkEnd w:id="30"/>
      <w:r>
        <w:rPr>
          <w:b/>
          <w:bCs/>
          <w:color w:val="BF9000"/>
          <w:sz w:val="20"/>
          <w:szCs w:val="20"/>
        </w:rPr>
        <w:t>9.4  How the funding would be applied</w:t>
      </w:r>
    </w:p>
    <w:p w14:paraId="0BA000E7" w14:textId="77777777" w:rsidR="00FE13A4" w:rsidRDefault="00000000">
      <w:pPr>
        <w:spacing w:after="100" w:line="264" w:lineRule="auto"/>
        <w:jc w:val="both"/>
      </w:pPr>
      <w:r>
        <w:rPr>
          <w:color w:val="000000"/>
        </w:rPr>
        <w:t>Funding is applied by function and released against conditions, not disbursed against a work plan. The rules below are what a financing partner would be asked to accept and what the Unit would be bound by.</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1501"/>
        <w:gridCol w:w="2600"/>
        <w:gridCol w:w="2400"/>
        <w:gridCol w:w="3825"/>
      </w:tblGrid>
      <w:tr w:rsidR="00FE13A4" w14:paraId="1FEE6A61"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Pr>
          <w:p w14:paraId="144F6793" w14:textId="77777777" w:rsidR="00FE13A4" w:rsidRDefault="00000000">
            <w:pPr>
              <w:spacing w:after="6"/>
            </w:pPr>
            <w:r>
              <w:rPr>
                <w:b/>
                <w:bCs/>
                <w:color w:val="FFFFFF"/>
                <w:sz w:val="15"/>
                <w:szCs w:val="15"/>
              </w:rPr>
              <w:t>Tranche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45453B15" w14:textId="77777777" w:rsidR="00FE13A4" w:rsidRDefault="00000000">
            <w:pPr>
              <w:spacing w:after="6"/>
            </w:pPr>
            <w:r>
              <w:rPr>
                <w:b/>
                <w:bCs/>
                <w:color w:val="FFFFFF"/>
                <w:sz w:val="15"/>
                <w:szCs w:val="15"/>
              </w:rPr>
              <w:t>Released when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Pr>
          <w:p w14:paraId="0BF875D0" w14:textId="77777777" w:rsidR="00FE13A4" w:rsidRDefault="00000000">
            <w:pPr>
              <w:spacing w:after="6"/>
            </w:pPr>
            <w:r>
              <w:rPr>
                <w:b/>
                <w:bCs/>
                <w:color w:val="FFFFFF"/>
                <w:sz w:val="15"/>
                <w:szCs w:val="15"/>
              </w:rPr>
              <w:t>Share</w:t>
            </w:r>
          </w:p>
        </w:tc>
        <w:tc>
          <w:tcPr>
            <w:tcW w:w="3825" w:type="dxa"/>
            <w:tcBorders>
              <w:top w:val="single" w:sz="4" w:space="0" w:color="BFBFBF"/>
              <w:left w:val="single" w:sz="4" w:space="0" w:color="BFBFBF"/>
              <w:bottom w:val="single" w:sz="4" w:space="0" w:color="BFBFBF"/>
              <w:right w:val="single" w:sz="4" w:space="0" w:color="BFBFBF"/>
            </w:tcBorders>
            <w:shd w:val="clear" w:color="auto" w:fill="1F3864"/>
          </w:tcPr>
          <w:p w14:paraId="55CC7697" w14:textId="77777777" w:rsidR="00FE13A4" w:rsidRDefault="00000000">
            <w:pPr>
              <w:spacing w:after="6"/>
            </w:pPr>
            <w:r>
              <w:rPr>
                <w:b/>
                <w:bCs/>
                <w:color w:val="FFFFFF"/>
                <w:sz w:val="15"/>
                <w:szCs w:val="15"/>
              </w:rPr>
              <w:t>What it may fund</w:t>
            </w:r>
          </w:p>
        </w:tc>
      </w:tr>
      <w:tr w:rsidR="00FE13A4" w14:paraId="2F6877B7"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1873D7D1" w14:textId="77777777" w:rsidR="00FE13A4" w:rsidRDefault="00000000">
            <w:pPr>
              <w:spacing w:after="6"/>
            </w:pPr>
            <w:r>
              <w:rPr>
                <w:color w:val="000000"/>
                <w:sz w:val="15"/>
                <w:szCs w:val="15"/>
              </w:rPr>
              <w:t>One: institutional</w:t>
            </w:r>
          </w:p>
        </w:tc>
        <w:tc>
          <w:tcPr>
            <w:tcW w:w="2600" w:type="dxa"/>
            <w:tcBorders>
              <w:top w:val="single" w:sz="4" w:space="0" w:color="BFBFBF"/>
              <w:left w:val="single" w:sz="4" w:space="0" w:color="BFBFBF"/>
              <w:bottom w:val="single" w:sz="4" w:space="0" w:color="BFBFBF"/>
              <w:right w:val="single" w:sz="4" w:space="0" w:color="BFBFBF"/>
            </w:tcBorders>
          </w:tcPr>
          <w:p w14:paraId="2F2B38D4" w14:textId="77777777" w:rsidR="00FE13A4" w:rsidRDefault="00000000">
            <w:pPr>
              <w:spacing w:after="6"/>
            </w:pPr>
            <w:r>
              <w:rPr>
                <w:color w:val="000000"/>
                <w:sz w:val="15"/>
                <w:szCs w:val="15"/>
              </w:rPr>
              <w:t>On approval of the Programme</w:t>
            </w:r>
          </w:p>
        </w:tc>
        <w:tc>
          <w:tcPr>
            <w:tcW w:w="2400" w:type="dxa"/>
            <w:tcBorders>
              <w:top w:val="single" w:sz="4" w:space="0" w:color="BFBFBF"/>
              <w:left w:val="single" w:sz="4" w:space="0" w:color="BFBFBF"/>
              <w:bottom w:val="single" w:sz="4" w:space="0" w:color="BFBFBF"/>
              <w:right w:val="single" w:sz="4" w:space="0" w:color="BFBFBF"/>
            </w:tcBorders>
          </w:tcPr>
          <w:p w14:paraId="282FF6EE" w14:textId="77777777" w:rsidR="00FE13A4" w:rsidRDefault="00000000">
            <w:pPr>
              <w:spacing w:after="6"/>
            </w:pPr>
            <w:r>
              <w:rPr>
                <w:color w:val="000000"/>
                <w:sz w:val="15"/>
                <w:szCs w:val="15"/>
              </w:rPr>
              <w:t>About 20 per cent</w:t>
            </w:r>
          </w:p>
        </w:tc>
        <w:tc>
          <w:tcPr>
            <w:tcW w:w="3825" w:type="dxa"/>
            <w:tcBorders>
              <w:top w:val="single" w:sz="4" w:space="0" w:color="BFBFBF"/>
              <w:left w:val="single" w:sz="4" w:space="0" w:color="BFBFBF"/>
              <w:bottom w:val="single" w:sz="4" w:space="0" w:color="BFBFBF"/>
              <w:right w:val="single" w:sz="4" w:space="0" w:color="BFBFBF"/>
            </w:tcBorders>
          </w:tcPr>
          <w:p w14:paraId="5320E11A" w14:textId="77777777" w:rsidR="00FE13A4" w:rsidRDefault="00000000">
            <w:pPr>
              <w:spacing w:after="6"/>
            </w:pPr>
            <w:r>
              <w:rPr>
                <w:color w:val="000000"/>
                <w:sz w:val="15"/>
                <w:szCs w:val="15"/>
              </w:rPr>
              <w:t>Procedures, the alerting standard, regulatory convening, the documentation standard, baseline and indicator definitions. No technology</w:t>
            </w:r>
          </w:p>
        </w:tc>
      </w:tr>
      <w:tr w:rsidR="00FE13A4" w14:paraId="3E9CAF4B"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55C57614" w14:textId="77777777" w:rsidR="00FE13A4" w:rsidRDefault="00000000">
            <w:pPr>
              <w:spacing w:after="6"/>
            </w:pPr>
            <w:r>
              <w:rPr>
                <w:color w:val="000000"/>
                <w:sz w:val="15"/>
                <w:szCs w:val="15"/>
              </w:rPr>
              <w:t>Two: first adoption</w:t>
            </w:r>
          </w:p>
        </w:tc>
        <w:tc>
          <w:tcPr>
            <w:tcW w:w="2600" w:type="dxa"/>
            <w:tcBorders>
              <w:top w:val="single" w:sz="4" w:space="0" w:color="BFBFBF"/>
              <w:left w:val="single" w:sz="4" w:space="0" w:color="BFBFBF"/>
              <w:bottom w:val="single" w:sz="4" w:space="0" w:color="BFBFBF"/>
              <w:right w:val="single" w:sz="4" w:space="0" w:color="BFBFBF"/>
            </w:tcBorders>
          </w:tcPr>
          <w:p w14:paraId="134FCBDD" w14:textId="77777777" w:rsidR="00FE13A4" w:rsidRDefault="00000000">
            <w:pPr>
              <w:spacing w:after="6"/>
            </w:pPr>
            <w:r>
              <w:rPr>
                <w:color w:val="000000"/>
                <w:sz w:val="15"/>
                <w:szCs w:val="15"/>
              </w:rPr>
              <w:t>When the gating arrangement for an instrument is in place and its four conditions are met</w:t>
            </w:r>
          </w:p>
        </w:tc>
        <w:tc>
          <w:tcPr>
            <w:tcW w:w="2400" w:type="dxa"/>
            <w:tcBorders>
              <w:top w:val="single" w:sz="4" w:space="0" w:color="BFBFBF"/>
              <w:left w:val="single" w:sz="4" w:space="0" w:color="BFBFBF"/>
              <w:bottom w:val="single" w:sz="4" w:space="0" w:color="BFBFBF"/>
              <w:right w:val="single" w:sz="4" w:space="0" w:color="BFBFBF"/>
            </w:tcBorders>
          </w:tcPr>
          <w:p w14:paraId="774C94A7" w14:textId="77777777" w:rsidR="00FE13A4" w:rsidRDefault="00000000">
            <w:pPr>
              <w:spacing w:after="6"/>
            </w:pPr>
            <w:r>
              <w:rPr>
                <w:color w:val="000000"/>
                <w:sz w:val="15"/>
                <w:szCs w:val="15"/>
              </w:rPr>
              <w:t>About 35 per cent</w:t>
            </w:r>
          </w:p>
        </w:tc>
        <w:tc>
          <w:tcPr>
            <w:tcW w:w="3825" w:type="dxa"/>
            <w:tcBorders>
              <w:top w:val="single" w:sz="4" w:space="0" w:color="BFBFBF"/>
              <w:left w:val="single" w:sz="4" w:space="0" w:color="BFBFBF"/>
              <w:bottom w:val="single" w:sz="4" w:space="0" w:color="BFBFBF"/>
              <w:right w:val="single" w:sz="4" w:space="0" w:color="BFBFBF"/>
            </w:tcBorders>
          </w:tcPr>
          <w:p w14:paraId="4FEFD3C9" w14:textId="77777777" w:rsidR="00FE13A4" w:rsidRDefault="00000000">
            <w:pPr>
              <w:spacing w:after="6"/>
            </w:pPr>
            <w:r>
              <w:rPr>
                <w:color w:val="000000"/>
                <w:sz w:val="15"/>
                <w:szCs w:val="15"/>
              </w:rPr>
              <w:t>Establishment of instruments in the first adopting Member State, and the regional risk model hosting</w:t>
            </w:r>
          </w:p>
        </w:tc>
      </w:tr>
      <w:tr w:rsidR="00FE13A4" w14:paraId="1F935A68"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1BFDB1F5" w14:textId="77777777" w:rsidR="00FE13A4" w:rsidRDefault="00000000">
            <w:pPr>
              <w:spacing w:after="6"/>
            </w:pPr>
            <w:r>
              <w:rPr>
                <w:color w:val="000000"/>
                <w:sz w:val="15"/>
                <w:szCs w:val="15"/>
              </w:rPr>
              <w:t>Three: replication</w:t>
            </w:r>
          </w:p>
        </w:tc>
        <w:tc>
          <w:tcPr>
            <w:tcW w:w="2600" w:type="dxa"/>
            <w:tcBorders>
              <w:top w:val="single" w:sz="4" w:space="0" w:color="BFBFBF"/>
              <w:left w:val="single" w:sz="4" w:space="0" w:color="BFBFBF"/>
              <w:bottom w:val="single" w:sz="4" w:space="0" w:color="BFBFBF"/>
              <w:right w:val="single" w:sz="4" w:space="0" w:color="BFBFBF"/>
            </w:tcBorders>
          </w:tcPr>
          <w:p w14:paraId="6EA0B215" w14:textId="77777777" w:rsidR="00FE13A4" w:rsidRDefault="00000000">
            <w:pPr>
              <w:spacing w:after="6"/>
            </w:pPr>
            <w:r>
              <w:rPr>
                <w:color w:val="000000"/>
                <w:sz w:val="15"/>
                <w:szCs w:val="15"/>
              </w:rPr>
              <w:t>When the first adoption is operating and documented to the standard</w:t>
            </w:r>
          </w:p>
        </w:tc>
        <w:tc>
          <w:tcPr>
            <w:tcW w:w="2400" w:type="dxa"/>
            <w:tcBorders>
              <w:top w:val="single" w:sz="4" w:space="0" w:color="BFBFBF"/>
              <w:left w:val="single" w:sz="4" w:space="0" w:color="BFBFBF"/>
              <w:bottom w:val="single" w:sz="4" w:space="0" w:color="BFBFBF"/>
              <w:right w:val="single" w:sz="4" w:space="0" w:color="BFBFBF"/>
            </w:tcBorders>
          </w:tcPr>
          <w:p w14:paraId="25DCC4AB" w14:textId="77777777" w:rsidR="00FE13A4" w:rsidRDefault="00000000">
            <w:pPr>
              <w:spacing w:after="6"/>
            </w:pPr>
            <w:r>
              <w:rPr>
                <w:color w:val="000000"/>
                <w:sz w:val="15"/>
                <w:szCs w:val="15"/>
              </w:rPr>
              <w:t>About 30 per cent</w:t>
            </w:r>
          </w:p>
        </w:tc>
        <w:tc>
          <w:tcPr>
            <w:tcW w:w="3825" w:type="dxa"/>
            <w:tcBorders>
              <w:top w:val="single" w:sz="4" w:space="0" w:color="BFBFBF"/>
              <w:left w:val="single" w:sz="4" w:space="0" w:color="BFBFBF"/>
              <w:bottom w:val="single" w:sz="4" w:space="0" w:color="BFBFBF"/>
              <w:right w:val="single" w:sz="4" w:space="0" w:color="BFBFBF"/>
            </w:tcBorders>
          </w:tcPr>
          <w:p w14:paraId="2171A353" w14:textId="77777777" w:rsidR="00FE13A4" w:rsidRDefault="00000000">
            <w:pPr>
              <w:spacing w:after="6"/>
            </w:pPr>
            <w:r>
              <w:rPr>
                <w:color w:val="000000"/>
                <w:sz w:val="15"/>
                <w:szCs w:val="15"/>
              </w:rPr>
              <w:t>Adoption by later Member States at the replication rate, and situation room integration</w:t>
            </w:r>
          </w:p>
        </w:tc>
      </w:tr>
      <w:tr w:rsidR="00FE13A4" w14:paraId="70904F55" w14:textId="77777777">
        <w:trPr>
          <w:cantSplit/>
        </w:trPr>
        <w:tc>
          <w:tcPr>
            <w:tcW w:w="1500" w:type="dxa"/>
            <w:tcBorders>
              <w:top w:val="single" w:sz="4" w:space="0" w:color="BFBFBF"/>
              <w:left w:val="single" w:sz="4" w:space="0" w:color="BFBFBF"/>
              <w:bottom w:val="single" w:sz="4" w:space="0" w:color="BFBFBF"/>
              <w:right w:val="single" w:sz="4" w:space="0" w:color="BFBFBF"/>
            </w:tcBorders>
          </w:tcPr>
          <w:p w14:paraId="7300048C" w14:textId="77777777" w:rsidR="00FE13A4" w:rsidRDefault="00000000">
            <w:pPr>
              <w:spacing w:after="6"/>
            </w:pPr>
            <w:r>
              <w:rPr>
                <w:color w:val="000000"/>
                <w:sz w:val="15"/>
                <w:szCs w:val="15"/>
              </w:rPr>
              <w:t>Four: institutionalisation</w:t>
            </w:r>
          </w:p>
        </w:tc>
        <w:tc>
          <w:tcPr>
            <w:tcW w:w="2600" w:type="dxa"/>
            <w:tcBorders>
              <w:top w:val="single" w:sz="4" w:space="0" w:color="BFBFBF"/>
              <w:left w:val="single" w:sz="4" w:space="0" w:color="BFBFBF"/>
              <w:bottom w:val="single" w:sz="4" w:space="0" w:color="BFBFBF"/>
              <w:right w:val="single" w:sz="4" w:space="0" w:color="BFBFBF"/>
            </w:tcBorders>
          </w:tcPr>
          <w:p w14:paraId="62BB549C" w14:textId="77777777" w:rsidR="00FE13A4" w:rsidRDefault="00000000">
            <w:pPr>
              <w:spacing w:after="6"/>
            </w:pPr>
            <w:r>
              <w:rPr>
                <w:color w:val="000000"/>
                <w:sz w:val="15"/>
                <w:szCs w:val="15"/>
              </w:rPr>
              <w:t>When a named post and a budget line exist for each instrument</w:t>
            </w:r>
          </w:p>
        </w:tc>
        <w:tc>
          <w:tcPr>
            <w:tcW w:w="2400" w:type="dxa"/>
            <w:tcBorders>
              <w:top w:val="single" w:sz="4" w:space="0" w:color="BFBFBF"/>
              <w:left w:val="single" w:sz="4" w:space="0" w:color="BFBFBF"/>
              <w:bottom w:val="single" w:sz="4" w:space="0" w:color="BFBFBF"/>
              <w:right w:val="single" w:sz="4" w:space="0" w:color="BFBFBF"/>
            </w:tcBorders>
          </w:tcPr>
          <w:p w14:paraId="47A9D823" w14:textId="77777777" w:rsidR="00FE13A4" w:rsidRDefault="00000000">
            <w:pPr>
              <w:spacing w:after="6"/>
            </w:pPr>
            <w:r>
              <w:rPr>
                <w:color w:val="000000"/>
                <w:sz w:val="15"/>
                <w:szCs w:val="15"/>
              </w:rPr>
              <w:t>About 15 per cent</w:t>
            </w:r>
          </w:p>
        </w:tc>
        <w:tc>
          <w:tcPr>
            <w:tcW w:w="3825" w:type="dxa"/>
            <w:tcBorders>
              <w:top w:val="single" w:sz="4" w:space="0" w:color="BFBFBF"/>
              <w:left w:val="single" w:sz="4" w:space="0" w:color="BFBFBF"/>
              <w:bottom w:val="single" w:sz="4" w:space="0" w:color="BFBFBF"/>
              <w:right w:val="single" w:sz="4" w:space="0" w:color="BFBFBF"/>
            </w:tcBorders>
          </w:tcPr>
          <w:p w14:paraId="59D58D08" w14:textId="77777777" w:rsidR="00FE13A4" w:rsidRDefault="00000000">
            <w:pPr>
              <w:spacing w:after="6"/>
            </w:pPr>
            <w:r>
              <w:rPr>
                <w:color w:val="000000"/>
                <w:sz w:val="15"/>
                <w:szCs w:val="15"/>
              </w:rPr>
              <w:t>Transition support, final exercising, and handover of the platform</w:t>
            </w:r>
          </w:p>
        </w:tc>
      </w:tr>
    </w:tbl>
    <w:p w14:paraId="6B407181" w14:textId="77777777" w:rsidR="00FE13A4" w:rsidRDefault="00000000">
      <w:pPr>
        <w:spacing w:after="100" w:line="264" w:lineRule="auto"/>
        <w:jc w:val="both"/>
      </w:pPr>
      <w:r>
        <w:rPr>
          <w:b/>
          <w:bCs/>
          <w:color w:val="000000"/>
        </w:rPr>
        <w:t xml:space="preserve">Four conditions apply to every instrument before any tranche touches it, and they are not waivable. </w:t>
      </w:r>
      <w:r>
        <w:rPr>
          <w:color w:val="000000"/>
        </w:rPr>
        <w:t>A named delivery counterpart in the Member State. Nationally priced costs replacing the indicative band. A named post accountable for the recurrent cost from the first full budget year. And, where a trigger is parametric, a stated treatment of basis risk and a pathway from subsidised premium to domestic financing.</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3400"/>
        <w:gridCol w:w="6926"/>
      </w:tblGrid>
      <w:tr w:rsidR="00FE13A4" w14:paraId="61FBA7BB" w14:textId="77777777">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Pr>
          <w:p w14:paraId="224F44D8" w14:textId="77777777" w:rsidR="00FE13A4" w:rsidRDefault="00000000">
            <w:pPr>
              <w:spacing w:after="6"/>
            </w:pPr>
            <w:r>
              <w:rPr>
                <w:b/>
                <w:bCs/>
                <w:color w:val="FFFFFF"/>
                <w:sz w:val="15"/>
                <w:szCs w:val="15"/>
              </w:rPr>
              <w:t>The funding may be applied to</w:t>
            </w:r>
          </w:p>
        </w:tc>
        <w:tc>
          <w:tcPr>
            <w:tcW w:w="6925" w:type="dxa"/>
            <w:tcBorders>
              <w:top w:val="single" w:sz="4" w:space="0" w:color="BFBFBF"/>
              <w:left w:val="single" w:sz="4" w:space="0" w:color="BFBFBF"/>
              <w:bottom w:val="single" w:sz="4" w:space="0" w:color="BFBFBF"/>
              <w:right w:val="single" w:sz="4" w:space="0" w:color="BFBFBF"/>
            </w:tcBorders>
            <w:shd w:val="clear" w:color="auto" w:fill="1F3864"/>
          </w:tcPr>
          <w:p w14:paraId="5610EA5C" w14:textId="77777777" w:rsidR="00FE13A4" w:rsidRDefault="00000000">
            <w:pPr>
              <w:spacing w:after="6"/>
            </w:pPr>
            <w:r>
              <w:rPr>
                <w:b/>
                <w:bCs/>
                <w:color w:val="FFFFFF"/>
                <w:sz w:val="15"/>
                <w:szCs w:val="15"/>
              </w:rPr>
              <w:t>The funding may not be applied to</w:t>
            </w:r>
          </w:p>
        </w:tc>
      </w:tr>
      <w:tr w:rsidR="00FE13A4" w14:paraId="2043249A"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0E5EA8BF" w14:textId="77777777" w:rsidR="00FE13A4" w:rsidRDefault="00000000">
            <w:pPr>
              <w:spacing w:after="6"/>
            </w:pPr>
            <w:r>
              <w:rPr>
                <w:color w:val="000000"/>
                <w:sz w:val="15"/>
                <w:szCs w:val="15"/>
              </w:rPr>
              <w:t>Institutional work: agreements, procedures, standards, regulatory convening, training and documentation</w:t>
            </w:r>
          </w:p>
        </w:tc>
        <w:tc>
          <w:tcPr>
            <w:tcW w:w="6925" w:type="dxa"/>
            <w:tcBorders>
              <w:top w:val="single" w:sz="4" w:space="0" w:color="BFBFBF"/>
              <w:left w:val="single" w:sz="4" w:space="0" w:color="BFBFBF"/>
              <w:bottom w:val="single" w:sz="4" w:space="0" w:color="BFBFBF"/>
              <w:right w:val="single" w:sz="4" w:space="0" w:color="BFBFBF"/>
            </w:tcBorders>
          </w:tcPr>
          <w:p w14:paraId="607C6BDF" w14:textId="77777777" w:rsidR="00FE13A4" w:rsidRDefault="00000000">
            <w:pPr>
              <w:spacing w:after="6"/>
            </w:pPr>
            <w:r>
              <w:rPr>
                <w:color w:val="000000"/>
                <w:sz w:val="15"/>
                <w:szCs w:val="15"/>
              </w:rPr>
              <w:t>Technology whose gating arrangement is not yet in place, or whose authority to operate has not been designated</w:t>
            </w:r>
          </w:p>
        </w:tc>
      </w:tr>
      <w:tr w:rsidR="00FE13A4" w14:paraId="512860E3"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4ADFF293" w14:textId="77777777" w:rsidR="00FE13A4" w:rsidRDefault="00000000">
            <w:pPr>
              <w:spacing w:after="6"/>
            </w:pPr>
            <w:r>
              <w:rPr>
                <w:color w:val="000000"/>
                <w:sz w:val="15"/>
                <w:szCs w:val="15"/>
              </w:rPr>
              <w:t>Establishment of an instrument in a Member State that has met the four conditions</w:t>
            </w:r>
          </w:p>
        </w:tc>
        <w:tc>
          <w:tcPr>
            <w:tcW w:w="6925" w:type="dxa"/>
            <w:tcBorders>
              <w:top w:val="single" w:sz="4" w:space="0" w:color="BFBFBF"/>
              <w:left w:val="single" w:sz="4" w:space="0" w:color="BFBFBF"/>
              <w:bottom w:val="single" w:sz="4" w:space="0" w:color="BFBFBF"/>
              <w:right w:val="single" w:sz="4" w:space="0" w:color="BFBFBF"/>
            </w:tcBorders>
          </w:tcPr>
          <w:p w14:paraId="0C69C7F3" w14:textId="77777777" w:rsidR="00FE13A4" w:rsidRDefault="00000000">
            <w:pPr>
              <w:spacing w:after="6"/>
            </w:pPr>
            <w:r>
              <w:rPr>
                <w:color w:val="000000"/>
                <w:sz w:val="15"/>
                <w:szCs w:val="15"/>
              </w:rPr>
              <w:t>An instrument in a Member State that has not named the post accountable for its recurrent cost</w:t>
            </w:r>
          </w:p>
        </w:tc>
      </w:tr>
      <w:tr w:rsidR="00FE13A4" w14:paraId="06942A15"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1519B35E" w14:textId="77777777" w:rsidR="00FE13A4" w:rsidRDefault="00000000">
            <w:pPr>
              <w:spacing w:after="6"/>
            </w:pPr>
            <w:r>
              <w:rPr>
                <w:color w:val="000000"/>
                <w:sz w:val="15"/>
                <w:szCs w:val="15"/>
              </w:rPr>
              <w:t>Running cost during the transition: in full in year one, at half in years two and three</w:t>
            </w:r>
          </w:p>
        </w:tc>
        <w:tc>
          <w:tcPr>
            <w:tcW w:w="6925" w:type="dxa"/>
            <w:tcBorders>
              <w:top w:val="single" w:sz="4" w:space="0" w:color="BFBFBF"/>
              <w:left w:val="single" w:sz="4" w:space="0" w:color="BFBFBF"/>
              <w:bottom w:val="single" w:sz="4" w:space="0" w:color="BFBFBF"/>
              <w:right w:val="single" w:sz="4" w:space="0" w:color="BFBFBF"/>
            </w:tcBorders>
          </w:tcPr>
          <w:p w14:paraId="1602DAE4" w14:textId="77777777" w:rsidR="00FE13A4" w:rsidRDefault="00000000">
            <w:pPr>
              <w:spacing w:after="6"/>
            </w:pPr>
            <w:r>
              <w:rPr>
                <w:color w:val="000000"/>
                <w:sz w:val="15"/>
                <w:szCs w:val="15"/>
              </w:rPr>
              <w:t>Running cost beyond the transition, which falls to the national or institutional budget</w:t>
            </w:r>
          </w:p>
        </w:tc>
      </w:tr>
      <w:tr w:rsidR="00FE13A4" w14:paraId="2AA442F4"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7D1F2584" w14:textId="77777777" w:rsidR="00FE13A4" w:rsidRDefault="00000000">
            <w:pPr>
              <w:spacing w:after="6"/>
            </w:pPr>
            <w:r>
              <w:rPr>
                <w:color w:val="000000"/>
                <w:sz w:val="15"/>
                <w:szCs w:val="15"/>
              </w:rPr>
              <w:t>Regional components that serve all participating States from a single implementation</w:t>
            </w:r>
          </w:p>
        </w:tc>
        <w:tc>
          <w:tcPr>
            <w:tcW w:w="6925" w:type="dxa"/>
            <w:tcBorders>
              <w:top w:val="single" w:sz="4" w:space="0" w:color="BFBFBF"/>
              <w:left w:val="single" w:sz="4" w:space="0" w:color="BFBFBF"/>
              <w:bottom w:val="single" w:sz="4" w:space="0" w:color="BFBFBF"/>
              <w:right w:val="single" w:sz="4" w:space="0" w:color="BFBFBF"/>
            </w:tcBorders>
          </w:tcPr>
          <w:p w14:paraId="2EEF3A81" w14:textId="77777777" w:rsidR="00FE13A4" w:rsidRDefault="00000000">
            <w:pPr>
              <w:spacing w:after="6"/>
            </w:pPr>
            <w:r>
              <w:rPr>
                <w:color w:val="000000"/>
                <w:sz w:val="15"/>
                <w:szCs w:val="15"/>
              </w:rPr>
              <w:t>A regional component already financed by a partner, which is recorded as a contribution instead</w:t>
            </w:r>
          </w:p>
        </w:tc>
      </w:tr>
      <w:tr w:rsidR="00FE13A4" w14:paraId="253C8547" w14:textId="77777777">
        <w:trPr>
          <w:cantSplit/>
        </w:trPr>
        <w:tc>
          <w:tcPr>
            <w:tcW w:w="3400" w:type="dxa"/>
            <w:tcBorders>
              <w:top w:val="single" w:sz="4" w:space="0" w:color="BFBFBF"/>
              <w:left w:val="single" w:sz="4" w:space="0" w:color="BFBFBF"/>
              <w:bottom w:val="single" w:sz="4" w:space="0" w:color="BFBFBF"/>
              <w:right w:val="single" w:sz="4" w:space="0" w:color="BFBFBF"/>
            </w:tcBorders>
          </w:tcPr>
          <w:p w14:paraId="7AA9472E" w14:textId="77777777" w:rsidR="00FE13A4" w:rsidRDefault="00000000">
            <w:pPr>
              <w:spacing w:after="6"/>
            </w:pPr>
            <w:r>
              <w:rPr>
                <w:color w:val="000000"/>
                <w:sz w:val="15"/>
                <w:szCs w:val="15"/>
              </w:rPr>
              <w:t>Exercising, evaluation and the independent reviews at year three and 2031</w:t>
            </w:r>
          </w:p>
        </w:tc>
        <w:tc>
          <w:tcPr>
            <w:tcW w:w="6925" w:type="dxa"/>
            <w:tcBorders>
              <w:top w:val="single" w:sz="4" w:space="0" w:color="BFBFBF"/>
              <w:left w:val="single" w:sz="4" w:space="0" w:color="BFBFBF"/>
              <w:bottom w:val="single" w:sz="4" w:space="0" w:color="BFBFBF"/>
              <w:right w:val="single" w:sz="4" w:space="0" w:color="BFBFBF"/>
            </w:tcBorders>
          </w:tcPr>
          <w:p w14:paraId="4B1CA6EC" w14:textId="77777777" w:rsidR="00FE13A4" w:rsidRDefault="00000000">
            <w:pPr>
              <w:spacing w:after="6"/>
            </w:pPr>
            <w:r>
              <w:rPr>
                <w:color w:val="000000"/>
                <w:sz w:val="15"/>
                <w:szCs w:val="15"/>
              </w:rPr>
              <w:t>Rehabilitation and reconstruction, which fall outside the mandate of SHOC</w:t>
            </w:r>
          </w:p>
        </w:tc>
      </w:tr>
    </w:tbl>
    <w:p w14:paraId="1DD1AA98" w14:textId="77777777" w:rsidR="00FE13A4" w:rsidRDefault="00000000">
      <w:pPr>
        <w:spacing w:after="100" w:line="264" w:lineRule="auto"/>
        <w:jc w:val="both"/>
      </w:pPr>
      <w:r>
        <w:rPr>
          <w:b/>
          <w:bCs/>
          <w:color w:val="000000"/>
        </w:rPr>
        <w:t xml:space="preserve">Why the sequence is built this way. </w:t>
      </w:r>
      <w:r>
        <w:rPr>
          <w:color w:val="000000"/>
        </w:rPr>
        <w:t>The first tranche buys no equipment at all. That is deliberate, and it follows directly from the finding at section 4.1: the instruments that reach households are blocked by a regulatory decision rather than by cost. Financing technology before that decision is taken produces capability nobody may lawfully use, which is the single most expensive mistake available to this Programme.</w:t>
      </w:r>
    </w:p>
    <w:p w14:paraId="0F8A4CBC" w14:textId="77777777" w:rsidR="00FE13A4" w:rsidRDefault="00000000">
      <w:pPr>
        <w:pStyle w:val="Heading1"/>
        <w:spacing w:before="210" w:after="90"/>
      </w:pPr>
      <w:bookmarkStart w:id="31" w:name="__RefHeading___Toc1862_2543505351"/>
      <w:bookmarkEnd w:id="31"/>
      <w:r>
        <w:rPr>
          <w:b/>
          <w:bCs/>
          <w:color w:val="1F3864"/>
          <w:sz w:val="24"/>
          <w:szCs w:val="24"/>
        </w:rPr>
        <w:t>10.  The business case for investing in innovation at SHOC</w:t>
      </w:r>
    </w:p>
    <w:p w14:paraId="47AE6EA9" w14:textId="77777777" w:rsidR="00FE13A4" w:rsidRDefault="00000000">
      <w:pPr>
        <w:spacing w:after="100" w:line="264" w:lineRule="auto"/>
        <w:jc w:val="both"/>
      </w:pPr>
      <w:r>
        <w:rPr>
          <w:color w:val="000000"/>
        </w:rPr>
        <w:t>The case does not rest on the merits of any instrument. It rests on four propositions, each of which can be checked.</w:t>
      </w:r>
    </w:p>
    <w:p w14:paraId="09D8233D" w14:textId="77777777" w:rsidR="00FE13A4" w:rsidRDefault="00000000">
      <w:pPr>
        <w:spacing w:after="100" w:line="264" w:lineRule="auto"/>
        <w:jc w:val="both"/>
      </w:pPr>
      <w:r>
        <w:rPr>
          <w:color w:val="000000"/>
        </w:rPr>
        <w:t>The published returns below are comparators, not calculated returns for this Programme. Appraisal should test local avoided losses, time saved, operating costs and uncertainty against a without-programme baseline. The decision to invest should rest on an affordable improvement in preparedness, coordination and logistics, with recurrent funding secured; a regional benefit-cost ratio should be reported only when the baseline and loss data support it.</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700"/>
        <w:gridCol w:w="2600"/>
        <w:gridCol w:w="7026"/>
      </w:tblGrid>
      <w:tr w:rsidR="00FE13A4" w14:paraId="457636AF"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Pr>
          <w:p w14:paraId="43CC8678" w14:textId="77777777" w:rsidR="00FE13A4" w:rsidRDefault="00FE13A4">
            <w:pPr>
              <w:spacing w:after="6"/>
            </w:pPr>
          </w:p>
        </w:tc>
        <w:tc>
          <w:tcPr>
            <w:tcW w:w="2600" w:type="dxa"/>
            <w:tcBorders>
              <w:top w:val="single" w:sz="4" w:space="0" w:color="BFBFBF"/>
              <w:left w:val="single" w:sz="4" w:space="0" w:color="BFBFBF"/>
              <w:bottom w:val="single" w:sz="4" w:space="0" w:color="BFBFBF"/>
              <w:right w:val="single" w:sz="4" w:space="0" w:color="BFBFBF"/>
            </w:tcBorders>
            <w:shd w:val="clear" w:color="auto" w:fill="1F3864"/>
          </w:tcPr>
          <w:p w14:paraId="184F82FC" w14:textId="77777777" w:rsidR="00FE13A4" w:rsidRDefault="00000000">
            <w:pPr>
              <w:spacing w:after="6"/>
            </w:pPr>
            <w:r>
              <w:rPr>
                <w:b/>
                <w:bCs/>
                <w:color w:val="FFFFFF"/>
                <w:sz w:val="16"/>
                <w:szCs w:val="16"/>
              </w:rPr>
              <w:t>Proposition</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Pr>
          <w:p w14:paraId="3D60CBC6" w14:textId="77777777" w:rsidR="00FE13A4" w:rsidRDefault="00000000">
            <w:pPr>
              <w:spacing w:after="6"/>
            </w:pPr>
            <w:r>
              <w:rPr>
                <w:b/>
                <w:bCs/>
                <w:color w:val="FFFFFF"/>
                <w:sz w:val="16"/>
                <w:szCs w:val="16"/>
              </w:rPr>
              <w:t>The evidence behind it</w:t>
            </w:r>
          </w:p>
        </w:tc>
      </w:tr>
      <w:tr w:rsidR="00FE13A4" w14:paraId="008F8D2A"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631CA38D" w14:textId="77777777" w:rsidR="00FE13A4" w:rsidRDefault="00000000">
            <w:pPr>
              <w:spacing w:after="6"/>
            </w:pPr>
            <w:r>
              <w:rPr>
                <w:color w:val="000000"/>
                <w:sz w:val="16"/>
                <w:szCs w:val="16"/>
              </w:rPr>
              <w:t>One</w:t>
            </w:r>
          </w:p>
        </w:tc>
        <w:tc>
          <w:tcPr>
            <w:tcW w:w="2600" w:type="dxa"/>
            <w:tcBorders>
              <w:top w:val="single" w:sz="4" w:space="0" w:color="BFBFBF"/>
              <w:left w:val="single" w:sz="4" w:space="0" w:color="BFBFBF"/>
              <w:bottom w:val="single" w:sz="4" w:space="0" w:color="BFBFBF"/>
              <w:right w:val="single" w:sz="4" w:space="0" w:color="BFBFBF"/>
            </w:tcBorders>
          </w:tcPr>
          <w:p w14:paraId="5CBB391A" w14:textId="77777777" w:rsidR="00FE13A4" w:rsidRDefault="00000000">
            <w:pPr>
              <w:spacing w:after="6"/>
            </w:pPr>
            <w:r>
              <w:rPr>
                <w:color w:val="000000"/>
                <w:sz w:val="16"/>
                <w:szCs w:val="16"/>
              </w:rPr>
              <w:t>Readiness bought before an event is cheaper than response bought after it</w:t>
            </w:r>
          </w:p>
        </w:tc>
        <w:tc>
          <w:tcPr>
            <w:tcW w:w="7026" w:type="dxa"/>
            <w:tcBorders>
              <w:top w:val="single" w:sz="4" w:space="0" w:color="BFBFBF"/>
              <w:left w:val="single" w:sz="4" w:space="0" w:color="BFBFBF"/>
              <w:bottom w:val="single" w:sz="4" w:space="0" w:color="BFBFBF"/>
              <w:right w:val="single" w:sz="4" w:space="0" w:color="BFBFBF"/>
            </w:tcBorders>
          </w:tcPr>
          <w:p w14:paraId="158A9555" w14:textId="77777777" w:rsidR="00FE13A4" w:rsidRDefault="00000000">
            <w:pPr>
              <w:spacing w:after="6"/>
            </w:pPr>
            <w:r>
              <w:rPr>
                <w:color w:val="000000"/>
                <w:sz w:val="16"/>
                <w:szCs w:val="16"/>
              </w:rPr>
              <w:t>Investment in early warning in developing countries is independently reported to avoid losses of between four and twenty times its cost. Acting ahead of a disaster returns between one and a half and two times what the same money returns spent afterwards, and a study in Nepal found up to thirty-four dollars saved for each dollar spent before the event</w:t>
            </w:r>
          </w:p>
        </w:tc>
      </w:tr>
      <w:tr w:rsidR="00FE13A4" w14:paraId="486FB683"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1E2728FA" w14:textId="77777777" w:rsidR="00FE13A4" w:rsidRDefault="00000000">
            <w:pPr>
              <w:spacing w:after="6"/>
            </w:pPr>
            <w:r>
              <w:rPr>
                <w:color w:val="000000"/>
                <w:sz w:val="16"/>
                <w:szCs w:val="16"/>
              </w:rPr>
              <w:t>Two</w:t>
            </w:r>
          </w:p>
        </w:tc>
        <w:tc>
          <w:tcPr>
            <w:tcW w:w="2600" w:type="dxa"/>
            <w:tcBorders>
              <w:top w:val="single" w:sz="4" w:space="0" w:color="BFBFBF"/>
              <w:left w:val="single" w:sz="4" w:space="0" w:color="BFBFBF"/>
              <w:bottom w:val="single" w:sz="4" w:space="0" w:color="BFBFBF"/>
              <w:right w:val="single" w:sz="4" w:space="0" w:color="BFBFBF"/>
            </w:tcBorders>
          </w:tcPr>
          <w:p w14:paraId="5F5BB272" w14:textId="77777777" w:rsidR="00FE13A4" w:rsidRDefault="00000000">
            <w:pPr>
              <w:spacing w:after="6"/>
            </w:pPr>
            <w:r>
              <w:rPr>
                <w:color w:val="000000"/>
                <w:sz w:val="16"/>
                <w:szCs w:val="16"/>
              </w:rPr>
              <w:t>SHOC is the only institution positioned to hold the regional record</w:t>
            </w:r>
          </w:p>
        </w:tc>
        <w:tc>
          <w:tcPr>
            <w:tcW w:w="7026" w:type="dxa"/>
            <w:tcBorders>
              <w:top w:val="single" w:sz="4" w:space="0" w:color="BFBFBF"/>
              <w:left w:val="single" w:sz="4" w:space="0" w:color="BFBFBF"/>
              <w:bottom w:val="single" w:sz="4" w:space="0" w:color="BFBFBF"/>
              <w:right w:val="single" w:sz="4" w:space="0" w:color="BFBFBF"/>
            </w:tcBorders>
          </w:tcPr>
          <w:p w14:paraId="5BD9AA86" w14:textId="77777777" w:rsidR="00FE13A4" w:rsidRDefault="00000000">
            <w:pPr>
              <w:spacing w:after="6"/>
            </w:pPr>
            <w:r>
              <w:rPr>
                <w:color w:val="000000"/>
                <w:sz w:val="16"/>
                <w:szCs w:val="16"/>
              </w:rPr>
              <w:t>A Member State can prove an instrument; only a regional body can make that proof available to the other fifteen. The cheapest instrument assessed is the reporting protocol, and its return rises with every instrument it documents</w:t>
            </w:r>
          </w:p>
        </w:tc>
      </w:tr>
      <w:tr w:rsidR="00FE13A4" w14:paraId="10EC4757"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00B9A5A5" w14:textId="77777777" w:rsidR="00FE13A4" w:rsidRDefault="00000000">
            <w:pPr>
              <w:spacing w:after="6"/>
            </w:pPr>
            <w:r>
              <w:rPr>
                <w:color w:val="000000"/>
                <w:sz w:val="16"/>
                <w:szCs w:val="16"/>
              </w:rPr>
              <w:lastRenderedPageBreak/>
              <w:t>Three</w:t>
            </w:r>
          </w:p>
        </w:tc>
        <w:tc>
          <w:tcPr>
            <w:tcW w:w="2600" w:type="dxa"/>
            <w:tcBorders>
              <w:top w:val="single" w:sz="4" w:space="0" w:color="BFBFBF"/>
              <w:left w:val="single" w:sz="4" w:space="0" w:color="BFBFBF"/>
              <w:bottom w:val="single" w:sz="4" w:space="0" w:color="BFBFBF"/>
              <w:right w:val="single" w:sz="4" w:space="0" w:color="BFBFBF"/>
            </w:tcBorders>
          </w:tcPr>
          <w:p w14:paraId="6D146D8D" w14:textId="77777777" w:rsidR="00FE13A4" w:rsidRDefault="00000000">
            <w:pPr>
              <w:spacing w:after="6"/>
            </w:pPr>
            <w:r>
              <w:rPr>
                <w:color w:val="000000"/>
                <w:sz w:val="16"/>
                <w:szCs w:val="16"/>
              </w:rPr>
              <w:t>The binding constraint is institutional, and institutional constraints are cheap to fix</w:t>
            </w:r>
          </w:p>
        </w:tc>
        <w:tc>
          <w:tcPr>
            <w:tcW w:w="7026" w:type="dxa"/>
            <w:tcBorders>
              <w:top w:val="single" w:sz="4" w:space="0" w:color="BFBFBF"/>
              <w:left w:val="single" w:sz="4" w:space="0" w:color="BFBFBF"/>
              <w:bottom w:val="single" w:sz="4" w:space="0" w:color="BFBFBF"/>
              <w:right w:val="single" w:sz="4" w:space="0" w:color="BFBFBF"/>
            </w:tcBorders>
          </w:tcPr>
          <w:p w14:paraId="43BBA66C" w14:textId="77777777" w:rsidR="00FE13A4" w:rsidRDefault="00000000">
            <w:pPr>
              <w:spacing w:after="6"/>
            </w:pPr>
            <w:r>
              <w:rPr>
                <w:color w:val="000000"/>
                <w:sz w:val="16"/>
                <w:szCs w:val="16"/>
              </w:rPr>
              <w:t>The alerting instruments that reach households are blocked by regulatory authorisation, not by cost. Convening regulators and operators costs a fraction of the technology it unblocks, and without it the technology cannot be switched on at all</w:t>
            </w:r>
          </w:p>
        </w:tc>
      </w:tr>
      <w:tr w:rsidR="00FE13A4" w14:paraId="4C3F5EB8"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5379A0BB" w14:textId="77777777" w:rsidR="00FE13A4" w:rsidRDefault="00000000">
            <w:pPr>
              <w:spacing w:after="6"/>
            </w:pPr>
            <w:r>
              <w:rPr>
                <w:color w:val="000000"/>
                <w:sz w:val="16"/>
                <w:szCs w:val="16"/>
              </w:rPr>
              <w:t>Four</w:t>
            </w:r>
          </w:p>
        </w:tc>
        <w:tc>
          <w:tcPr>
            <w:tcW w:w="2600" w:type="dxa"/>
            <w:tcBorders>
              <w:top w:val="single" w:sz="4" w:space="0" w:color="BFBFBF"/>
              <w:left w:val="single" w:sz="4" w:space="0" w:color="BFBFBF"/>
              <w:bottom w:val="single" w:sz="4" w:space="0" w:color="BFBFBF"/>
              <w:right w:val="single" w:sz="4" w:space="0" w:color="BFBFBF"/>
            </w:tcBorders>
          </w:tcPr>
          <w:p w14:paraId="7C1814C0" w14:textId="77777777" w:rsidR="00FE13A4" w:rsidRDefault="00000000">
            <w:pPr>
              <w:spacing w:after="6"/>
            </w:pPr>
            <w:r>
              <w:rPr>
                <w:color w:val="000000"/>
                <w:sz w:val="16"/>
                <w:szCs w:val="16"/>
              </w:rPr>
              <w:t>Integration multiplies instruments that are already paid for</w:t>
            </w:r>
          </w:p>
        </w:tc>
        <w:tc>
          <w:tcPr>
            <w:tcW w:w="7026" w:type="dxa"/>
            <w:tcBorders>
              <w:top w:val="single" w:sz="4" w:space="0" w:color="BFBFBF"/>
              <w:left w:val="single" w:sz="4" w:space="0" w:color="BFBFBF"/>
              <w:bottom w:val="single" w:sz="4" w:space="0" w:color="BFBFBF"/>
              <w:right w:val="single" w:sz="4" w:space="0" w:color="BFBFBF"/>
            </w:tcBorders>
          </w:tcPr>
          <w:p w14:paraId="42E0FC64" w14:textId="77777777" w:rsidR="00FE13A4" w:rsidRDefault="00000000">
            <w:pPr>
              <w:spacing w:after="6"/>
            </w:pPr>
            <w:r>
              <w:rPr>
                <w:color w:val="000000"/>
                <w:sz w:val="16"/>
                <w:szCs w:val="16"/>
              </w:rPr>
              <w:t>Several capabilities SHOC would use are already financed by partners regionally. The investment proposed is substantially in the connective arrangements that let existing assets work together, which is the cheapest capability per unit of effect available to SHOC</w:t>
            </w:r>
          </w:p>
        </w:tc>
      </w:tr>
    </w:tbl>
    <w:p w14:paraId="3621A33E" w14:textId="77777777" w:rsidR="00FE13A4" w:rsidRDefault="00000000">
      <w:pPr>
        <w:pStyle w:val="Heading2"/>
        <w:spacing w:before="160" w:after="70"/>
      </w:pPr>
      <w:bookmarkStart w:id="32" w:name="__RefHeading___Toc1864_2543505351"/>
      <w:bookmarkEnd w:id="32"/>
      <w:r>
        <w:rPr>
          <w:b/>
          <w:bCs/>
          <w:color w:val="BF9000"/>
          <w:sz w:val="20"/>
          <w:szCs w:val="20"/>
        </w:rPr>
        <w:t>10.1  What SHOC gains, stated as outcomes</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2899"/>
        <w:gridCol w:w="7427"/>
      </w:tblGrid>
      <w:tr w:rsidR="00FE13A4" w14:paraId="128C0DD5" w14:textId="77777777">
        <w:trPr>
          <w:cantSplit/>
          <w:tblHeader/>
        </w:trPr>
        <w:tc>
          <w:tcPr>
            <w:tcW w:w="2899" w:type="dxa"/>
            <w:tcBorders>
              <w:top w:val="single" w:sz="4" w:space="0" w:color="BFBFBF"/>
              <w:left w:val="single" w:sz="4" w:space="0" w:color="BFBFBF"/>
              <w:bottom w:val="single" w:sz="4" w:space="0" w:color="BFBFBF"/>
              <w:right w:val="single" w:sz="4" w:space="0" w:color="BFBFBF"/>
            </w:tcBorders>
            <w:shd w:val="clear" w:color="auto" w:fill="1F3864"/>
          </w:tcPr>
          <w:p w14:paraId="438058AA" w14:textId="77777777" w:rsidR="00FE13A4" w:rsidRDefault="00000000">
            <w:pPr>
              <w:spacing w:after="6"/>
            </w:pPr>
            <w:r>
              <w:rPr>
                <w:b/>
                <w:bCs/>
                <w:color w:val="FFFFFF"/>
                <w:sz w:val="16"/>
                <w:szCs w:val="16"/>
              </w:rPr>
              <w:t>Gain</w:t>
            </w:r>
          </w:p>
        </w:tc>
        <w:tc>
          <w:tcPr>
            <w:tcW w:w="7426" w:type="dxa"/>
            <w:tcBorders>
              <w:top w:val="single" w:sz="4" w:space="0" w:color="BFBFBF"/>
              <w:left w:val="single" w:sz="4" w:space="0" w:color="BFBFBF"/>
              <w:bottom w:val="single" w:sz="4" w:space="0" w:color="BFBFBF"/>
              <w:right w:val="single" w:sz="4" w:space="0" w:color="BFBFBF"/>
            </w:tcBorders>
            <w:shd w:val="clear" w:color="auto" w:fill="1F3864"/>
          </w:tcPr>
          <w:p w14:paraId="2DD6551D" w14:textId="77777777" w:rsidR="00FE13A4" w:rsidRDefault="00000000">
            <w:pPr>
              <w:spacing w:after="6"/>
            </w:pPr>
            <w:r>
              <w:rPr>
                <w:b/>
                <w:bCs/>
                <w:color w:val="FFFFFF"/>
                <w:sz w:val="16"/>
                <w:szCs w:val="16"/>
              </w:rPr>
              <w:t>What it looks like in operation</w:t>
            </w:r>
          </w:p>
        </w:tc>
      </w:tr>
      <w:tr w:rsidR="00FE13A4" w14:paraId="261D6D79"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21FB651E" w14:textId="77777777" w:rsidR="00FE13A4" w:rsidRDefault="00000000">
            <w:pPr>
              <w:spacing w:after="6"/>
            </w:pPr>
            <w:r>
              <w:rPr>
                <w:color w:val="000000"/>
                <w:sz w:val="16"/>
                <w:szCs w:val="16"/>
              </w:rPr>
              <w:t>A single regional risk picture</w:t>
            </w:r>
          </w:p>
        </w:tc>
        <w:tc>
          <w:tcPr>
            <w:tcW w:w="7426" w:type="dxa"/>
            <w:tcBorders>
              <w:top w:val="single" w:sz="4" w:space="0" w:color="BFBFBF"/>
              <w:left w:val="single" w:sz="4" w:space="0" w:color="BFBFBF"/>
              <w:bottom w:val="single" w:sz="4" w:space="0" w:color="BFBFBF"/>
              <w:right w:val="single" w:sz="4" w:space="0" w:color="BFBFBF"/>
            </w:tcBorders>
          </w:tcPr>
          <w:p w14:paraId="44630757" w14:textId="77777777" w:rsidR="00FE13A4" w:rsidRDefault="00000000">
            <w:pPr>
              <w:spacing w:after="6"/>
            </w:pPr>
            <w:r>
              <w:rPr>
                <w:color w:val="000000"/>
                <w:sz w:val="16"/>
                <w:szCs w:val="16"/>
              </w:rPr>
              <w:t>The situation room begins each day with a current, regionally consistent picture rather than assembling one from separate national sources</w:t>
            </w:r>
          </w:p>
        </w:tc>
      </w:tr>
      <w:tr w:rsidR="00FE13A4" w14:paraId="481F6131"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51FD7EC4" w14:textId="77777777" w:rsidR="00FE13A4" w:rsidRDefault="00000000">
            <w:pPr>
              <w:spacing w:after="6"/>
            </w:pPr>
            <w:r>
              <w:rPr>
                <w:color w:val="000000"/>
                <w:sz w:val="16"/>
                <w:szCs w:val="16"/>
              </w:rPr>
              <w:t>An advisory that carries</w:t>
            </w:r>
          </w:p>
        </w:tc>
        <w:tc>
          <w:tcPr>
            <w:tcW w:w="7426" w:type="dxa"/>
            <w:tcBorders>
              <w:top w:val="single" w:sz="4" w:space="0" w:color="BFBFBF"/>
              <w:left w:val="single" w:sz="4" w:space="0" w:color="BFBFBF"/>
              <w:bottom w:val="single" w:sz="4" w:space="0" w:color="BFBFBF"/>
              <w:right w:val="single" w:sz="4" w:space="0" w:color="BFBFBF"/>
            </w:tcBorders>
          </w:tcPr>
          <w:p w14:paraId="04F50DCF" w14:textId="77777777" w:rsidR="00FE13A4" w:rsidRDefault="00000000">
            <w:pPr>
              <w:spacing w:after="6"/>
            </w:pPr>
            <w:r>
              <w:rPr>
                <w:color w:val="000000"/>
                <w:sz w:val="16"/>
                <w:szCs w:val="16"/>
              </w:rPr>
              <w:t>An impact-based advisory that reaches a household in a language it uses, through a channel it trusts, because the alerting standard and the authority exist</w:t>
            </w:r>
          </w:p>
        </w:tc>
      </w:tr>
      <w:tr w:rsidR="00FE13A4" w14:paraId="479BAF72"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76E067F8" w14:textId="77777777" w:rsidR="00FE13A4" w:rsidRDefault="00000000">
            <w:pPr>
              <w:spacing w:after="6"/>
            </w:pPr>
            <w:r>
              <w:rPr>
                <w:color w:val="000000"/>
                <w:sz w:val="16"/>
                <w:szCs w:val="16"/>
              </w:rPr>
              <w:t>Anticipatory rather than reactive coordination</w:t>
            </w:r>
          </w:p>
        </w:tc>
        <w:tc>
          <w:tcPr>
            <w:tcW w:w="7426" w:type="dxa"/>
            <w:tcBorders>
              <w:top w:val="single" w:sz="4" w:space="0" w:color="BFBFBF"/>
              <w:left w:val="single" w:sz="4" w:space="0" w:color="BFBFBF"/>
              <w:bottom w:val="single" w:sz="4" w:space="0" w:color="BFBFBF"/>
              <w:right w:val="single" w:sz="4" w:space="0" w:color="BFBFBF"/>
            </w:tcBorders>
          </w:tcPr>
          <w:p w14:paraId="1A0186C3" w14:textId="77777777" w:rsidR="00FE13A4" w:rsidRDefault="00000000">
            <w:pPr>
              <w:spacing w:after="6"/>
            </w:pPr>
            <w:r>
              <w:rPr>
                <w:color w:val="000000"/>
                <w:sz w:val="16"/>
                <w:szCs w:val="16"/>
              </w:rPr>
              <w:t>Pre-agreed triggers release finance and mobilise response before impact rather than after assessment</w:t>
            </w:r>
          </w:p>
        </w:tc>
      </w:tr>
      <w:tr w:rsidR="00FE13A4" w14:paraId="6B99E05C"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3AA682A1" w14:textId="77777777" w:rsidR="00FE13A4" w:rsidRDefault="00000000">
            <w:pPr>
              <w:spacing w:after="6"/>
            </w:pPr>
            <w:r>
              <w:rPr>
                <w:color w:val="000000"/>
                <w:sz w:val="16"/>
                <w:szCs w:val="16"/>
              </w:rPr>
              <w:t>A record that compounds</w:t>
            </w:r>
          </w:p>
        </w:tc>
        <w:tc>
          <w:tcPr>
            <w:tcW w:w="7426" w:type="dxa"/>
            <w:tcBorders>
              <w:top w:val="single" w:sz="4" w:space="0" w:color="BFBFBF"/>
              <w:left w:val="single" w:sz="4" w:space="0" w:color="BFBFBF"/>
              <w:bottom w:val="single" w:sz="4" w:space="0" w:color="BFBFBF"/>
              <w:right w:val="single" w:sz="4" w:space="0" w:color="BFBFBF"/>
            </w:tcBorders>
          </w:tcPr>
          <w:p w14:paraId="20EE28A4" w14:textId="77777777" w:rsidR="00FE13A4" w:rsidRDefault="00000000">
            <w:pPr>
              <w:spacing w:after="6"/>
            </w:pPr>
            <w:r>
              <w:rPr>
                <w:color w:val="000000"/>
                <w:sz w:val="16"/>
                <w:szCs w:val="16"/>
              </w:rPr>
              <w:t>Every activation documented to one standard, so the fifteenth Member State to adopt an instrument starts from the experience of the first fourteen</w:t>
            </w:r>
          </w:p>
        </w:tc>
      </w:tr>
      <w:tr w:rsidR="00FE13A4" w14:paraId="645A7595"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09411FE3" w14:textId="77777777" w:rsidR="00FE13A4" w:rsidRDefault="00000000">
            <w:pPr>
              <w:spacing w:after="6"/>
            </w:pPr>
            <w:r>
              <w:rPr>
                <w:color w:val="000000"/>
                <w:sz w:val="16"/>
                <w:szCs w:val="16"/>
              </w:rPr>
              <w:t>A platform that converts the record</w:t>
            </w:r>
          </w:p>
        </w:tc>
        <w:tc>
          <w:tcPr>
            <w:tcW w:w="7426" w:type="dxa"/>
            <w:tcBorders>
              <w:top w:val="single" w:sz="4" w:space="0" w:color="BFBFBF"/>
              <w:left w:val="single" w:sz="4" w:space="0" w:color="BFBFBF"/>
              <w:bottom w:val="single" w:sz="4" w:space="0" w:color="BFBFBF"/>
              <w:right w:val="single" w:sz="4" w:space="0" w:color="BFBFBF"/>
            </w:tcBorders>
          </w:tcPr>
          <w:p w14:paraId="227101B0" w14:textId="77777777" w:rsidR="00FE13A4" w:rsidRDefault="00000000">
            <w:pPr>
              <w:spacing w:after="6"/>
            </w:pPr>
            <w:r>
              <w:rPr>
                <w:color w:val="000000"/>
                <w:sz w:val="16"/>
                <w:szCs w:val="16"/>
              </w:rPr>
              <w:t>The evidence base held as data and turned into concept notes, adoption plans, tenders and funding proposals on demand, as described at section 8</w:t>
            </w:r>
          </w:p>
        </w:tc>
      </w:tr>
      <w:tr w:rsidR="00FE13A4" w14:paraId="76B3DBA9" w14:textId="77777777">
        <w:trPr>
          <w:cantSplit/>
        </w:trPr>
        <w:tc>
          <w:tcPr>
            <w:tcW w:w="2899" w:type="dxa"/>
            <w:tcBorders>
              <w:top w:val="single" w:sz="4" w:space="0" w:color="BFBFBF"/>
              <w:left w:val="single" w:sz="4" w:space="0" w:color="BFBFBF"/>
              <w:bottom w:val="single" w:sz="4" w:space="0" w:color="BFBFBF"/>
              <w:right w:val="single" w:sz="4" w:space="0" w:color="BFBFBF"/>
            </w:tcBorders>
          </w:tcPr>
          <w:p w14:paraId="7D5DBB41" w14:textId="77777777" w:rsidR="00FE13A4" w:rsidRDefault="00000000">
            <w:pPr>
              <w:spacing w:after="6"/>
            </w:pPr>
            <w:r>
              <w:rPr>
                <w:color w:val="000000"/>
                <w:sz w:val="16"/>
                <w:szCs w:val="16"/>
              </w:rPr>
              <w:t>Demonstrable readiness</w:t>
            </w:r>
          </w:p>
        </w:tc>
        <w:tc>
          <w:tcPr>
            <w:tcW w:w="7426" w:type="dxa"/>
            <w:tcBorders>
              <w:top w:val="single" w:sz="4" w:space="0" w:color="BFBFBF"/>
              <w:left w:val="single" w:sz="4" w:space="0" w:color="BFBFBF"/>
              <w:bottom w:val="single" w:sz="4" w:space="0" w:color="BFBFBF"/>
              <w:right w:val="single" w:sz="4" w:space="0" w:color="BFBFBF"/>
            </w:tcBorders>
          </w:tcPr>
          <w:p w14:paraId="0FE59C8F" w14:textId="77777777" w:rsidR="00FE13A4" w:rsidRDefault="00000000">
            <w:pPr>
              <w:spacing w:after="6"/>
            </w:pPr>
            <w:r>
              <w:rPr>
                <w:color w:val="000000"/>
                <w:sz w:val="16"/>
                <w:szCs w:val="16"/>
              </w:rPr>
              <w:t>A regional simulation exercise that tests an operating chain rather than a set of separate tools</w:t>
            </w:r>
          </w:p>
        </w:tc>
      </w:tr>
    </w:tbl>
    <w:p w14:paraId="6CFEC7B2" w14:textId="77777777" w:rsidR="00FE13A4" w:rsidRDefault="00000000">
      <w:pPr>
        <w:pStyle w:val="Heading2"/>
        <w:spacing w:before="160" w:after="70"/>
      </w:pPr>
      <w:bookmarkStart w:id="33" w:name="__RefHeading___Toc1866_2543505351"/>
      <w:bookmarkEnd w:id="33"/>
      <w:r>
        <w:rPr>
          <w:b/>
          <w:bCs/>
          <w:color w:val="BF9000"/>
          <w:sz w:val="20"/>
          <w:szCs w:val="20"/>
        </w:rPr>
        <w:t>10.2  The cost of not investing</w:t>
      </w:r>
    </w:p>
    <w:p w14:paraId="053FE7B0" w14:textId="77777777" w:rsidR="00FE13A4" w:rsidRDefault="00000000">
      <w:pPr>
        <w:spacing w:after="100" w:line="264" w:lineRule="auto"/>
        <w:jc w:val="both"/>
      </w:pPr>
      <w:r>
        <w:rPr>
          <w:color w:val="000000"/>
        </w:rPr>
        <w:t>If the Programme is not taken forward, three things follow from the evidence rather than from supposition. The instruments that reach households stay switched off, because nothing else in the region is convening the regulators required to authorise them. What each Member State learns stays with that Member State, because no documentation standard obliges otherwise and none is otherwise being issued. And SHOC continues to coordinate response rather than anticipate it, because anticipation requires the pre-arranged triggers and the authorised channels that this Programme is designed to put in place.</w:t>
      </w:r>
    </w:p>
    <w:p w14:paraId="7FA7ED53" w14:textId="77777777" w:rsidR="00FE13A4" w:rsidRDefault="00000000">
      <w:pPr>
        <w:pStyle w:val="Heading1"/>
        <w:spacing w:before="210" w:after="90"/>
      </w:pPr>
      <w:bookmarkStart w:id="34" w:name="__RefHeading___Toc1868_2543505351"/>
      <w:bookmarkEnd w:id="34"/>
      <w:r>
        <w:rPr>
          <w:b/>
          <w:bCs/>
          <w:color w:val="1F3864"/>
          <w:sz w:val="24"/>
          <w:szCs w:val="24"/>
        </w:rPr>
        <w:t>11.  What is asked</w:t>
      </w:r>
    </w:p>
    <w:tbl>
      <w:tblPr>
        <w:tblW w:w="10326" w:type="dxa"/>
        <w:tblLayout w:type="fixed"/>
        <w:tblCellMar>
          <w:top w:w="44" w:type="dxa"/>
          <w:left w:w="70" w:type="dxa"/>
          <w:bottom w:w="44" w:type="dxa"/>
          <w:right w:w="70" w:type="dxa"/>
        </w:tblCellMar>
        <w:tblLook w:val="0000" w:firstRow="0" w:lastRow="0" w:firstColumn="0" w:lastColumn="0" w:noHBand="0" w:noVBand="0"/>
      </w:tblPr>
      <w:tblGrid>
        <w:gridCol w:w="700"/>
        <w:gridCol w:w="3598"/>
        <w:gridCol w:w="6028"/>
      </w:tblGrid>
      <w:tr w:rsidR="00FE13A4" w14:paraId="7AD7D91A"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Pr>
          <w:p w14:paraId="684897AA" w14:textId="77777777" w:rsidR="00FE13A4" w:rsidRDefault="00FE13A4">
            <w:pPr>
              <w:spacing w:after="6"/>
            </w:pPr>
          </w:p>
        </w:tc>
        <w:tc>
          <w:tcPr>
            <w:tcW w:w="3598" w:type="dxa"/>
            <w:tcBorders>
              <w:top w:val="single" w:sz="4" w:space="0" w:color="BFBFBF"/>
              <w:left w:val="single" w:sz="4" w:space="0" w:color="BFBFBF"/>
              <w:bottom w:val="single" w:sz="4" w:space="0" w:color="BFBFBF"/>
              <w:right w:val="single" w:sz="4" w:space="0" w:color="BFBFBF"/>
            </w:tcBorders>
            <w:shd w:val="clear" w:color="auto" w:fill="1F3864"/>
          </w:tcPr>
          <w:p w14:paraId="43EF4107" w14:textId="77777777" w:rsidR="00FE13A4" w:rsidRDefault="00000000">
            <w:pPr>
              <w:spacing w:after="6"/>
            </w:pPr>
            <w:r>
              <w:rPr>
                <w:b/>
                <w:bCs/>
                <w:color w:val="FFFFFF"/>
                <w:sz w:val="16"/>
                <w:szCs w:val="16"/>
              </w:rPr>
              <w:t>Request</w:t>
            </w:r>
          </w:p>
        </w:tc>
        <w:tc>
          <w:tcPr>
            <w:tcW w:w="6028" w:type="dxa"/>
            <w:tcBorders>
              <w:top w:val="single" w:sz="4" w:space="0" w:color="BFBFBF"/>
              <w:left w:val="single" w:sz="4" w:space="0" w:color="BFBFBF"/>
              <w:bottom w:val="single" w:sz="4" w:space="0" w:color="BFBFBF"/>
              <w:right w:val="single" w:sz="4" w:space="0" w:color="BFBFBF"/>
            </w:tcBorders>
            <w:shd w:val="clear" w:color="auto" w:fill="1F3864"/>
          </w:tcPr>
          <w:p w14:paraId="4C9E9570" w14:textId="77777777" w:rsidR="00FE13A4" w:rsidRDefault="00000000">
            <w:pPr>
              <w:spacing w:after="6"/>
            </w:pPr>
            <w:r>
              <w:rPr>
                <w:b/>
                <w:bCs/>
                <w:color w:val="FFFFFF"/>
                <w:sz w:val="16"/>
                <w:szCs w:val="16"/>
              </w:rPr>
              <w:t>Of whom</w:t>
            </w:r>
          </w:p>
        </w:tc>
      </w:tr>
      <w:tr w:rsidR="00FE13A4" w14:paraId="0B788B30"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45B0BE78" w14:textId="77777777" w:rsidR="00FE13A4" w:rsidRDefault="00000000">
            <w:pPr>
              <w:spacing w:after="6"/>
            </w:pPr>
            <w:r>
              <w:rPr>
                <w:color w:val="000000"/>
                <w:sz w:val="16"/>
                <w:szCs w:val="16"/>
              </w:rPr>
              <w:t>1</w:t>
            </w:r>
          </w:p>
        </w:tc>
        <w:tc>
          <w:tcPr>
            <w:tcW w:w="3598" w:type="dxa"/>
            <w:tcBorders>
              <w:top w:val="single" w:sz="4" w:space="0" w:color="BFBFBF"/>
              <w:left w:val="single" w:sz="4" w:space="0" w:color="BFBFBF"/>
              <w:bottom w:val="single" w:sz="4" w:space="0" w:color="BFBFBF"/>
              <w:right w:val="single" w:sz="4" w:space="0" w:color="BFBFBF"/>
            </w:tcBorders>
          </w:tcPr>
          <w:p w14:paraId="2887DD62" w14:textId="77777777" w:rsidR="00FE13A4" w:rsidRDefault="00000000">
            <w:pPr>
              <w:spacing w:after="6"/>
            </w:pPr>
            <w:r>
              <w:rPr>
                <w:color w:val="000000"/>
                <w:sz w:val="16"/>
                <w:szCs w:val="16"/>
              </w:rPr>
              <w:t>Endorse the integrated approach: instruments adopted as one operating chain under common procedure, rather than as separate acquisitions</w:t>
            </w:r>
          </w:p>
        </w:tc>
        <w:tc>
          <w:tcPr>
            <w:tcW w:w="6028" w:type="dxa"/>
            <w:tcBorders>
              <w:top w:val="single" w:sz="4" w:space="0" w:color="BFBFBF"/>
              <w:left w:val="single" w:sz="4" w:space="0" w:color="BFBFBF"/>
              <w:bottom w:val="single" w:sz="4" w:space="0" w:color="BFBFBF"/>
              <w:right w:val="single" w:sz="4" w:space="0" w:color="BFBFBF"/>
            </w:tcBorders>
          </w:tcPr>
          <w:p w14:paraId="7F44BFA1" w14:textId="77777777" w:rsidR="00FE13A4" w:rsidRDefault="00000000">
            <w:pPr>
              <w:spacing w:after="6"/>
            </w:pPr>
            <w:r>
              <w:rPr>
                <w:color w:val="000000"/>
                <w:sz w:val="16"/>
                <w:szCs w:val="16"/>
              </w:rPr>
              <w:t>Committee of Ministers responsible for disaster risk management, through the Disaster Risk Reduction Unit</w:t>
            </w:r>
          </w:p>
        </w:tc>
      </w:tr>
      <w:tr w:rsidR="00FE13A4" w14:paraId="7B747A4D"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2A80621E" w14:textId="77777777" w:rsidR="00FE13A4" w:rsidRDefault="00000000">
            <w:pPr>
              <w:spacing w:after="6"/>
            </w:pPr>
            <w:r>
              <w:rPr>
                <w:color w:val="000000"/>
                <w:sz w:val="16"/>
                <w:szCs w:val="16"/>
              </w:rPr>
              <w:t>2</w:t>
            </w:r>
          </w:p>
        </w:tc>
        <w:tc>
          <w:tcPr>
            <w:tcW w:w="3598" w:type="dxa"/>
            <w:tcBorders>
              <w:top w:val="single" w:sz="4" w:space="0" w:color="BFBFBF"/>
              <w:left w:val="single" w:sz="4" w:space="0" w:color="BFBFBF"/>
              <w:bottom w:val="single" w:sz="4" w:space="0" w:color="BFBFBF"/>
              <w:right w:val="single" w:sz="4" w:space="0" w:color="BFBFBF"/>
            </w:tcBorders>
          </w:tcPr>
          <w:p w14:paraId="1A40DCC9" w14:textId="77777777" w:rsidR="00FE13A4" w:rsidRDefault="00000000">
            <w:pPr>
              <w:spacing w:after="6"/>
            </w:pPr>
            <w:r>
              <w:rPr>
                <w:color w:val="000000"/>
                <w:sz w:val="16"/>
                <w:szCs w:val="16"/>
              </w:rPr>
              <w:t>Confirm SHOC integration layer and the decisions it depends on, so that it can be costed</w:t>
            </w:r>
          </w:p>
        </w:tc>
        <w:tc>
          <w:tcPr>
            <w:tcW w:w="6028" w:type="dxa"/>
            <w:tcBorders>
              <w:top w:val="single" w:sz="4" w:space="0" w:color="BFBFBF"/>
              <w:left w:val="single" w:sz="4" w:space="0" w:color="BFBFBF"/>
              <w:bottom w:val="single" w:sz="4" w:space="0" w:color="BFBFBF"/>
              <w:right w:val="single" w:sz="4" w:space="0" w:color="BFBFBF"/>
            </w:tcBorders>
          </w:tcPr>
          <w:p w14:paraId="4562D439" w14:textId="77777777" w:rsidR="00FE13A4" w:rsidRDefault="00000000">
            <w:pPr>
              <w:spacing w:after="6"/>
            </w:pPr>
            <w:r>
              <w:rPr>
                <w:color w:val="000000"/>
                <w:sz w:val="16"/>
                <w:szCs w:val="16"/>
              </w:rPr>
              <w:t>SHOC Secretariat</w:t>
            </w:r>
          </w:p>
        </w:tc>
      </w:tr>
      <w:tr w:rsidR="00FE13A4" w14:paraId="491BC956"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3E84D5E2" w14:textId="77777777" w:rsidR="00FE13A4" w:rsidRDefault="00000000">
            <w:pPr>
              <w:spacing w:after="6"/>
            </w:pPr>
            <w:r>
              <w:rPr>
                <w:color w:val="000000"/>
                <w:sz w:val="16"/>
                <w:szCs w:val="16"/>
              </w:rPr>
              <w:t>3</w:t>
            </w:r>
          </w:p>
        </w:tc>
        <w:tc>
          <w:tcPr>
            <w:tcW w:w="3598" w:type="dxa"/>
            <w:tcBorders>
              <w:top w:val="single" w:sz="4" w:space="0" w:color="BFBFBF"/>
              <w:left w:val="single" w:sz="4" w:space="0" w:color="BFBFBF"/>
              <w:bottom w:val="single" w:sz="4" w:space="0" w:color="BFBFBF"/>
              <w:right w:val="single" w:sz="4" w:space="0" w:color="BFBFBF"/>
            </w:tcBorders>
          </w:tcPr>
          <w:p w14:paraId="090E06F6" w14:textId="77777777" w:rsidR="00FE13A4" w:rsidRDefault="00000000">
            <w:pPr>
              <w:spacing w:after="6"/>
            </w:pPr>
            <w:r>
              <w:rPr>
                <w:color w:val="000000"/>
                <w:sz w:val="16"/>
                <w:szCs w:val="16"/>
              </w:rPr>
              <w:t>Designate who may lawfully issue a public warning, and on what channel</w:t>
            </w:r>
          </w:p>
        </w:tc>
        <w:tc>
          <w:tcPr>
            <w:tcW w:w="6028" w:type="dxa"/>
            <w:tcBorders>
              <w:top w:val="single" w:sz="4" w:space="0" w:color="BFBFBF"/>
              <w:left w:val="single" w:sz="4" w:space="0" w:color="BFBFBF"/>
              <w:bottom w:val="single" w:sz="4" w:space="0" w:color="BFBFBF"/>
              <w:right w:val="single" w:sz="4" w:space="0" w:color="BFBFBF"/>
            </w:tcBorders>
          </w:tcPr>
          <w:p w14:paraId="7A2DC642" w14:textId="77777777" w:rsidR="00FE13A4" w:rsidRDefault="00000000">
            <w:pPr>
              <w:spacing w:after="6"/>
            </w:pPr>
            <w:r>
              <w:rPr>
                <w:color w:val="000000"/>
                <w:sz w:val="16"/>
                <w:szCs w:val="16"/>
              </w:rPr>
              <w:t>Member States, through their regulators and national disaster management authorities</w:t>
            </w:r>
          </w:p>
        </w:tc>
      </w:tr>
      <w:tr w:rsidR="00FE13A4" w14:paraId="238472EA"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4A07CFB8" w14:textId="77777777" w:rsidR="00FE13A4" w:rsidRDefault="00000000">
            <w:pPr>
              <w:spacing w:after="6"/>
            </w:pPr>
            <w:r>
              <w:rPr>
                <w:color w:val="000000"/>
                <w:sz w:val="16"/>
                <w:szCs w:val="16"/>
              </w:rPr>
              <w:t>4</w:t>
            </w:r>
          </w:p>
        </w:tc>
        <w:tc>
          <w:tcPr>
            <w:tcW w:w="3598" w:type="dxa"/>
            <w:tcBorders>
              <w:top w:val="single" w:sz="4" w:space="0" w:color="BFBFBF"/>
              <w:left w:val="single" w:sz="4" w:space="0" w:color="BFBFBF"/>
              <w:bottom w:val="single" w:sz="4" w:space="0" w:color="BFBFBF"/>
              <w:right w:val="single" w:sz="4" w:space="0" w:color="BFBFBF"/>
            </w:tcBorders>
          </w:tcPr>
          <w:p w14:paraId="28B899C4" w14:textId="77777777" w:rsidR="00FE13A4" w:rsidRDefault="00000000">
            <w:pPr>
              <w:spacing w:after="6"/>
            </w:pPr>
            <w:r>
              <w:rPr>
                <w:color w:val="000000"/>
                <w:sz w:val="16"/>
                <w:szCs w:val="16"/>
              </w:rPr>
              <w:t>Name the post accountable for the recurrent cost of each instrument adopted</w:t>
            </w:r>
          </w:p>
        </w:tc>
        <w:tc>
          <w:tcPr>
            <w:tcW w:w="6028" w:type="dxa"/>
            <w:tcBorders>
              <w:top w:val="single" w:sz="4" w:space="0" w:color="BFBFBF"/>
              <w:left w:val="single" w:sz="4" w:space="0" w:color="BFBFBF"/>
              <w:bottom w:val="single" w:sz="4" w:space="0" w:color="BFBFBF"/>
              <w:right w:val="single" w:sz="4" w:space="0" w:color="BFBFBF"/>
            </w:tcBorders>
          </w:tcPr>
          <w:p w14:paraId="4CEFB876" w14:textId="77777777" w:rsidR="00FE13A4" w:rsidRDefault="00000000">
            <w:pPr>
              <w:spacing w:after="6"/>
            </w:pPr>
            <w:r>
              <w:rPr>
                <w:color w:val="000000"/>
                <w:sz w:val="16"/>
                <w:szCs w:val="16"/>
              </w:rPr>
              <w:t>Member States</w:t>
            </w:r>
          </w:p>
        </w:tc>
      </w:tr>
      <w:tr w:rsidR="00FE13A4" w14:paraId="161C8423"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2B395200" w14:textId="77777777" w:rsidR="00FE13A4" w:rsidRDefault="00000000">
            <w:pPr>
              <w:spacing w:after="6"/>
            </w:pPr>
            <w:r>
              <w:rPr>
                <w:color w:val="000000"/>
                <w:sz w:val="16"/>
                <w:szCs w:val="16"/>
              </w:rPr>
              <w:t>5</w:t>
            </w:r>
          </w:p>
        </w:tc>
        <w:tc>
          <w:tcPr>
            <w:tcW w:w="3598" w:type="dxa"/>
            <w:tcBorders>
              <w:top w:val="single" w:sz="4" w:space="0" w:color="BFBFBF"/>
              <w:left w:val="single" w:sz="4" w:space="0" w:color="BFBFBF"/>
              <w:bottom w:val="single" w:sz="4" w:space="0" w:color="BFBFBF"/>
              <w:right w:val="single" w:sz="4" w:space="0" w:color="BFBFBF"/>
            </w:tcBorders>
          </w:tcPr>
          <w:p w14:paraId="510B9F6B" w14:textId="77777777" w:rsidR="00FE13A4" w:rsidRDefault="00000000">
            <w:pPr>
              <w:spacing w:after="6"/>
            </w:pPr>
            <w:r>
              <w:rPr>
                <w:color w:val="000000"/>
                <w:sz w:val="16"/>
                <w:szCs w:val="16"/>
              </w:rPr>
              <w:t>Commission the baseline validation and feasibility appraisal that sits between the costed first window and the indicative envelope</w:t>
            </w:r>
          </w:p>
        </w:tc>
        <w:tc>
          <w:tcPr>
            <w:tcW w:w="6028" w:type="dxa"/>
            <w:tcBorders>
              <w:top w:val="single" w:sz="4" w:space="0" w:color="BFBFBF"/>
              <w:left w:val="single" w:sz="4" w:space="0" w:color="BFBFBF"/>
              <w:bottom w:val="single" w:sz="4" w:space="0" w:color="BFBFBF"/>
              <w:right w:val="single" w:sz="4" w:space="0" w:color="BFBFBF"/>
            </w:tcBorders>
          </w:tcPr>
          <w:p w14:paraId="45EFA868" w14:textId="77777777" w:rsidR="00FE13A4" w:rsidRDefault="00000000">
            <w:pPr>
              <w:spacing w:after="6"/>
            </w:pPr>
            <w:r>
              <w:rPr>
                <w:color w:val="000000"/>
                <w:sz w:val="16"/>
                <w:szCs w:val="16"/>
              </w:rPr>
              <w:t>Secretariat, with the funding partner</w:t>
            </w:r>
          </w:p>
        </w:tc>
      </w:tr>
      <w:tr w:rsidR="00FE13A4" w14:paraId="1FFF6F22" w14:textId="77777777">
        <w:trPr>
          <w:cantSplit/>
        </w:trPr>
        <w:tc>
          <w:tcPr>
            <w:tcW w:w="700" w:type="dxa"/>
            <w:tcBorders>
              <w:top w:val="single" w:sz="4" w:space="0" w:color="BFBFBF"/>
              <w:left w:val="single" w:sz="4" w:space="0" w:color="BFBFBF"/>
              <w:bottom w:val="single" w:sz="4" w:space="0" w:color="BFBFBF"/>
              <w:right w:val="single" w:sz="4" w:space="0" w:color="BFBFBF"/>
            </w:tcBorders>
          </w:tcPr>
          <w:p w14:paraId="5F05EAD6" w14:textId="77777777" w:rsidR="00FE13A4" w:rsidRDefault="00000000">
            <w:pPr>
              <w:spacing w:after="6"/>
            </w:pPr>
            <w:r>
              <w:rPr>
                <w:color w:val="000000"/>
                <w:sz w:val="16"/>
                <w:szCs w:val="16"/>
              </w:rPr>
              <w:t>6</w:t>
            </w:r>
          </w:p>
        </w:tc>
        <w:tc>
          <w:tcPr>
            <w:tcW w:w="3598" w:type="dxa"/>
            <w:tcBorders>
              <w:top w:val="single" w:sz="4" w:space="0" w:color="BFBFBF"/>
              <w:left w:val="single" w:sz="4" w:space="0" w:color="BFBFBF"/>
              <w:bottom w:val="single" w:sz="4" w:space="0" w:color="BFBFBF"/>
              <w:right w:val="single" w:sz="4" w:space="0" w:color="BFBFBF"/>
            </w:tcBorders>
          </w:tcPr>
          <w:p w14:paraId="010EEF75" w14:textId="77777777" w:rsidR="00FE13A4" w:rsidRDefault="00000000">
            <w:pPr>
              <w:spacing w:after="6"/>
            </w:pPr>
            <w:r>
              <w:rPr>
                <w:color w:val="000000"/>
                <w:sz w:val="16"/>
                <w:szCs w:val="16"/>
              </w:rPr>
              <w:t>Agree the resource mobilisation and recurrent-financing plan at section 9.3, and authorise preparation of appraised funding packages</w:t>
            </w:r>
          </w:p>
        </w:tc>
        <w:tc>
          <w:tcPr>
            <w:tcW w:w="6028" w:type="dxa"/>
            <w:tcBorders>
              <w:top w:val="single" w:sz="4" w:space="0" w:color="BFBFBF"/>
              <w:left w:val="single" w:sz="4" w:space="0" w:color="BFBFBF"/>
              <w:bottom w:val="single" w:sz="4" w:space="0" w:color="BFBFBF"/>
              <w:right w:val="single" w:sz="4" w:space="0" w:color="BFBFBF"/>
            </w:tcBorders>
          </w:tcPr>
          <w:p w14:paraId="35051B92" w14:textId="77777777" w:rsidR="00FE13A4" w:rsidRDefault="00000000">
            <w:pPr>
              <w:spacing w:after="6"/>
            </w:pPr>
            <w:r>
              <w:rPr>
                <w:color w:val="000000"/>
                <w:sz w:val="16"/>
                <w:szCs w:val="16"/>
              </w:rPr>
              <w:t>Disaster Risk Reduction Unit, with SHOC, Member States and financing partners</w:t>
            </w:r>
          </w:p>
        </w:tc>
      </w:tr>
    </w:tbl>
    <w:p w14:paraId="0E09D17B" w14:textId="77777777" w:rsidR="00BC7C17" w:rsidRDefault="00BC7C17">
      <w:pPr>
        <w:spacing w:after="100" w:line="264" w:lineRule="auto"/>
        <w:jc w:val="both"/>
        <w:rPr>
          <w:b/>
          <w:bCs/>
          <w:color w:val="000000"/>
        </w:rPr>
      </w:pPr>
    </w:p>
    <w:p w14:paraId="25572815" w14:textId="038E8826" w:rsidR="00FE13A4" w:rsidRDefault="00000000">
      <w:pPr>
        <w:spacing w:after="100" w:line="264" w:lineRule="auto"/>
        <w:jc w:val="both"/>
      </w:pPr>
      <w:r>
        <w:rPr>
          <w:b/>
          <w:bCs/>
          <w:color w:val="000000"/>
        </w:rPr>
        <w:t xml:space="preserve">The first three cost nothing and unblock most of the rest. </w:t>
      </w:r>
      <w:r>
        <w:rPr>
          <w:color w:val="000000"/>
        </w:rPr>
        <w:t>The chain described in this document stops one step short of the household until the third is settled, and that step is a regulatory decision rather than an investment.</w:t>
      </w:r>
    </w:p>
    <w:p w14:paraId="1BA97CB8" w14:textId="77777777" w:rsidR="00FE13A4" w:rsidRDefault="00000000">
      <w:pPr>
        <w:spacing w:before="160"/>
      </w:pPr>
      <w:r>
        <w:rPr>
          <w:i/>
          <w:iCs/>
          <w:color w:val="595959"/>
          <w:sz w:val="16"/>
          <w:szCs w:val="16"/>
        </w:rPr>
        <w:t>References are issued as a separate document accompanying this submission. Sources for every factual claim about SHOC’s current operations, for the published returns cited in the business case, and for the evidence base are listed and linked there.</w:t>
      </w:r>
    </w:p>
    <w:sectPr w:rsidR="00FE13A4">
      <w:headerReference w:type="even" r:id="rId12"/>
      <w:headerReference w:type="default" r:id="rId13"/>
      <w:footerReference w:type="even" r:id="rId14"/>
      <w:footerReference w:type="default" r:id="rId15"/>
      <w:headerReference w:type="first" r:id="rId16"/>
      <w:footerReference w:type="first" r:id="rId17"/>
      <w:pgSz w:w="11906" w:h="16838"/>
      <w:pgMar w:top="1850" w:right="800" w:bottom="1350" w:left="800" w:header="150" w:footer="120" w:gutter="0"/>
      <w:cols w:space="720"/>
      <w:formProt w:val="0"/>
      <w:docGrid w:linePitch="36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ACAC0" w14:textId="77777777" w:rsidR="00094434" w:rsidRDefault="00094434">
      <w:r>
        <w:separator/>
      </w:r>
    </w:p>
  </w:endnote>
  <w:endnote w:type="continuationSeparator" w:id="0">
    <w:p w14:paraId="67436D33" w14:textId="77777777" w:rsidR="00094434" w:rsidRDefault="00094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7AA8C" w14:textId="77777777" w:rsidR="00FE13A4" w:rsidRDefault="00FE1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30292" w14:textId="77777777" w:rsidR="00FE13A4" w:rsidRDefault="00000000">
    <w:pPr>
      <w:spacing w:after="14"/>
      <w:jc w:val="center"/>
    </w:pPr>
    <w:r>
      <w:rPr>
        <w:noProof/>
      </w:rPr>
      <w:drawing>
        <wp:inline distT="0" distB="0" distL="0" distR="0" wp14:anchorId="11F37E8C" wp14:editId="454A86FE">
          <wp:extent cx="6667500" cy="457200"/>
          <wp:effectExtent l="0" t="0" r="0" b="0"/>
          <wp:docPr id="8" name="Picture 33166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31664488"/>
                  <pic:cNvPicPr>
                    <a:picLocks noChangeAspect="1" noChangeArrowheads="1"/>
                  </pic:cNvPicPr>
                </pic:nvPicPr>
                <pic:blipFill>
                  <a:blip r:embed="rId1"/>
                  <a:stretch>
                    <a:fillRect/>
                  </a:stretch>
                </pic:blipFill>
                <pic:spPr bwMode="auto">
                  <a:xfrm>
                    <a:off x="0" y="0"/>
                    <a:ext cx="6667500" cy="457200"/>
                  </a:xfrm>
                  <a:prstGeom prst="rect">
                    <a:avLst/>
                  </a:prstGeom>
                </pic:spPr>
              </pic:pic>
            </a:graphicData>
          </a:graphic>
        </wp:inline>
      </w:drawing>
    </w:r>
  </w:p>
  <w:p w14:paraId="7406704E" w14:textId="77777777" w:rsidR="00FE13A4" w:rsidRDefault="00000000">
    <w:pPr>
      <w:jc w:val="center"/>
    </w:pPr>
    <w:r>
      <w:rPr>
        <w:color w:val="808080"/>
        <w:sz w:val="14"/>
        <w:szCs w:val="14"/>
      </w:rPr>
      <w:t xml:space="preserve">Deliverable D4  ·  Draft Innovation Programme for Regional Preparedness and Response  ·  Page </w:t>
    </w:r>
    <w:r>
      <w:rPr>
        <w:color w:val="808080"/>
        <w:sz w:val="14"/>
        <w:szCs w:val="14"/>
      </w:rPr>
      <w:fldChar w:fldCharType="begin"/>
    </w:r>
    <w:r>
      <w:rPr>
        <w:color w:val="808080"/>
        <w:sz w:val="14"/>
        <w:szCs w:val="14"/>
      </w:rPr>
      <w:instrText xml:space="preserve"> PAGE </w:instrText>
    </w:r>
    <w:r>
      <w:rPr>
        <w:color w:val="808080"/>
        <w:sz w:val="14"/>
        <w:szCs w:val="14"/>
      </w:rPr>
      <w:fldChar w:fldCharType="separate"/>
    </w:r>
    <w:r>
      <w:rPr>
        <w:color w:val="808080"/>
        <w:sz w:val="14"/>
        <w:szCs w:val="14"/>
      </w:rPr>
      <w:t>16</w:t>
    </w:r>
    <w:r>
      <w:rPr>
        <w:color w:val="8080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3359C5" w14:textId="77777777" w:rsidR="00FE13A4" w:rsidRDefault="00000000">
    <w:pPr>
      <w:spacing w:after="14"/>
      <w:jc w:val="center"/>
    </w:pPr>
    <w:r>
      <w:rPr>
        <w:noProof/>
      </w:rPr>
      <w:drawing>
        <wp:inline distT="0" distB="0" distL="0" distR="0" wp14:anchorId="7BA0B3C4" wp14:editId="5F1D5DDD">
          <wp:extent cx="6667500" cy="457200"/>
          <wp:effectExtent l="0" t="0" r="0" b="0"/>
          <wp:docPr id="9" name="Picture 33166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1664488"/>
                  <pic:cNvPicPr>
                    <a:picLocks noChangeAspect="1" noChangeArrowheads="1"/>
                  </pic:cNvPicPr>
                </pic:nvPicPr>
                <pic:blipFill>
                  <a:blip r:embed="rId1"/>
                  <a:stretch>
                    <a:fillRect/>
                  </a:stretch>
                </pic:blipFill>
                <pic:spPr bwMode="auto">
                  <a:xfrm>
                    <a:off x="0" y="0"/>
                    <a:ext cx="6667500" cy="457200"/>
                  </a:xfrm>
                  <a:prstGeom prst="rect">
                    <a:avLst/>
                  </a:prstGeom>
                </pic:spPr>
              </pic:pic>
            </a:graphicData>
          </a:graphic>
        </wp:inline>
      </w:drawing>
    </w:r>
  </w:p>
  <w:p w14:paraId="5A07C437" w14:textId="77777777" w:rsidR="00FE13A4" w:rsidRDefault="00000000">
    <w:pPr>
      <w:jc w:val="center"/>
    </w:pPr>
    <w:r>
      <w:rPr>
        <w:color w:val="808080"/>
        <w:sz w:val="14"/>
        <w:szCs w:val="14"/>
      </w:rPr>
      <w:t xml:space="preserve">Deliverable D4  ·  Draft Innovation Programme for Regional Preparedness and Response  ·  Page </w:t>
    </w:r>
    <w:r>
      <w:rPr>
        <w:color w:val="808080"/>
        <w:sz w:val="14"/>
        <w:szCs w:val="14"/>
      </w:rPr>
      <w:fldChar w:fldCharType="begin"/>
    </w:r>
    <w:r>
      <w:rPr>
        <w:color w:val="808080"/>
        <w:sz w:val="14"/>
        <w:szCs w:val="14"/>
      </w:rPr>
      <w:instrText xml:space="preserve"> PAGE </w:instrText>
    </w:r>
    <w:r>
      <w:rPr>
        <w:color w:val="808080"/>
        <w:sz w:val="14"/>
        <w:szCs w:val="14"/>
      </w:rPr>
      <w:fldChar w:fldCharType="separate"/>
    </w:r>
    <w:r>
      <w:rPr>
        <w:color w:val="808080"/>
        <w:sz w:val="14"/>
        <w:szCs w:val="14"/>
      </w:rPr>
      <w:t>16</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94782" w14:textId="77777777" w:rsidR="00094434" w:rsidRDefault="00094434">
      <w:r>
        <w:separator/>
      </w:r>
    </w:p>
  </w:footnote>
  <w:footnote w:type="continuationSeparator" w:id="0">
    <w:p w14:paraId="47F56251" w14:textId="77777777" w:rsidR="00094434" w:rsidRDefault="00094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D7208" w14:textId="77777777" w:rsidR="00FE13A4" w:rsidRDefault="00FE1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B5CA58" w14:textId="77777777" w:rsidR="00FE13A4" w:rsidRDefault="00000000">
    <w:pPr>
      <w:jc w:val="center"/>
    </w:pPr>
    <w:r>
      <w:rPr>
        <w:noProof/>
      </w:rPr>
      <w:drawing>
        <wp:inline distT="0" distB="0" distL="0" distR="0" wp14:anchorId="66E31C6A" wp14:editId="31C5F277">
          <wp:extent cx="6667500" cy="942975"/>
          <wp:effectExtent l="0" t="0" r="0" b="0"/>
          <wp:docPr id="6" name="Picture 529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290214"/>
                  <pic:cNvPicPr>
                    <a:picLocks noChangeAspect="1" noChangeArrowheads="1"/>
                  </pic:cNvPicPr>
                </pic:nvPicPr>
                <pic:blipFill>
                  <a:blip r:embed="rId1"/>
                  <a:stretch>
                    <a:fillRect/>
                  </a:stretch>
                </pic:blipFill>
                <pic:spPr bwMode="auto">
                  <a:xfrm>
                    <a:off x="0" y="0"/>
                    <a:ext cx="6667500" cy="9429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83348" w14:textId="77777777" w:rsidR="00FE13A4" w:rsidRDefault="00000000">
    <w:pPr>
      <w:jc w:val="center"/>
    </w:pPr>
    <w:r>
      <w:rPr>
        <w:noProof/>
      </w:rPr>
      <w:drawing>
        <wp:inline distT="0" distB="0" distL="0" distR="0" wp14:anchorId="572998B6" wp14:editId="71D4612B">
          <wp:extent cx="6667500" cy="942975"/>
          <wp:effectExtent l="0" t="0" r="0" b="0"/>
          <wp:docPr id="7" name="Picture 529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290214"/>
                  <pic:cNvPicPr>
                    <a:picLocks noChangeAspect="1" noChangeArrowheads="1"/>
                  </pic:cNvPicPr>
                </pic:nvPicPr>
                <pic:blipFill>
                  <a:blip r:embed="rId1"/>
                  <a:stretch>
                    <a:fillRect/>
                  </a:stretch>
                </pic:blipFill>
                <pic:spPr bwMode="auto">
                  <a:xfrm>
                    <a:off x="0" y="0"/>
                    <a:ext cx="6667500" cy="942975"/>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A4"/>
    <w:rsid w:val="0000589A"/>
    <w:rsid w:val="00094434"/>
    <w:rsid w:val="00217D2E"/>
    <w:rsid w:val="00404224"/>
    <w:rsid w:val="00874BEB"/>
    <w:rsid w:val="00BC7C17"/>
    <w:rsid w:val="00CB2F86"/>
    <w:rsid w:val="00EB757E"/>
    <w:rsid w:val="00FE13A4"/>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529BD"/>
  <w15:docId w15:val="{BFF69359-935F-BC48-A001-4D6E95E7B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ZA"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AF20C4"/>
    <w:rPr>
      <w:sz w:val="16"/>
      <w:szCs w:val="16"/>
    </w:rPr>
  </w:style>
  <w:style w:type="character" w:customStyle="1" w:styleId="CommentTextChar">
    <w:name w:val="Comment Text Char"/>
    <w:basedOn w:val="DefaultParagraphFont"/>
    <w:link w:val="CommentText"/>
    <w:uiPriority w:val="99"/>
    <w:semiHidden/>
    <w:qFormat/>
    <w:rsid w:val="00AF20C4"/>
    <w:rPr>
      <w:sz w:val="20"/>
      <w:szCs w:val="20"/>
    </w:rPr>
  </w:style>
  <w:style w:type="character" w:customStyle="1" w:styleId="CommentSubjectChar">
    <w:name w:val="Comment Subject Char"/>
    <w:basedOn w:val="CommentTextChar"/>
    <w:link w:val="CommentSubject"/>
    <w:uiPriority w:val="99"/>
    <w:semiHidden/>
    <w:qFormat/>
    <w:rsid w:val="00AF20C4"/>
    <w:rPr>
      <w:b/>
      <w:bCs/>
      <w:sz w:val="20"/>
      <w:szCs w:val="20"/>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417035"/>
  </w:style>
  <w:style w:type="paragraph" w:styleId="CommentText">
    <w:name w:val="annotation text"/>
    <w:basedOn w:val="Normal"/>
    <w:link w:val="CommentTextChar"/>
    <w:uiPriority w:val="99"/>
    <w:semiHidden/>
    <w:unhideWhenUsed/>
    <w:rsid w:val="00AF20C4"/>
    <w:rPr>
      <w:sz w:val="20"/>
      <w:szCs w:val="20"/>
    </w:rPr>
  </w:style>
  <w:style w:type="paragraph" w:styleId="CommentSubject">
    <w:name w:val="annotation subject"/>
    <w:basedOn w:val="CommentText"/>
    <w:next w:val="CommentText"/>
    <w:link w:val="CommentSubjectChar"/>
    <w:uiPriority w:val="99"/>
    <w:semiHidden/>
    <w:unhideWhenUsed/>
    <w:qFormat/>
    <w:rsid w:val="00AF20C4"/>
    <w:rPr>
      <w:b/>
      <w:bCs/>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Normal"/>
    <w:next w:val="Normal"/>
    <w:autoRedefine/>
    <w:uiPriority w:val="39"/>
    <w:unhideWhenUsed/>
    <w:pPr>
      <w:tabs>
        <w:tab w:val="right" w:leader="dot" w:pos="10306"/>
      </w:tabs>
      <w:spacing w:after="80" w:line="264" w:lineRule="auto"/>
    </w:pPr>
    <w:rPr>
      <w:b/>
      <w:bCs/>
      <w:color w:val="1F3864"/>
      <w:sz w:val="21"/>
      <w:szCs w:val="21"/>
    </w:rPr>
  </w:style>
  <w:style w:type="paragraph" w:styleId="TOC2">
    <w:name w:val="toc 2"/>
    <w:basedOn w:val="Normal"/>
    <w:next w:val="Normal"/>
    <w:autoRedefine/>
    <w:uiPriority w:val="39"/>
    <w:unhideWhenUsed/>
    <w:pPr>
      <w:tabs>
        <w:tab w:val="right" w:leader="dot" w:pos="10306"/>
      </w:tabs>
      <w:spacing w:after="60" w:line="264" w:lineRule="auto"/>
      <w:ind w:left="240"/>
    </w:pPr>
    <w:rPr>
      <w:color w:val="BF9000"/>
    </w:rPr>
  </w:style>
  <w:style w:type="character" w:styleId="UnresolvedMention">
    <w:name w:val="Unresolved Mention"/>
    <w:basedOn w:val="DefaultParagraphFont"/>
    <w:uiPriority w:val="99"/>
    <w:semiHidden/>
    <w:unhideWhenUsed/>
    <w:rsid w:val="00CB2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rc-d4-programme-generator-c7qdwgesqvnwjafgvpxgat.streamlit.app/"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8754</Words>
  <Characters>49901</Characters>
  <Application>Microsoft Office Word</Application>
  <DocSecurity>0</DocSecurity>
  <Lines>415</Lines>
  <Paragraphs>117</Paragraphs>
  <ScaleCrop>false</ScaleCrop>
  <Company/>
  <LinksUpToDate>false</LinksUpToDate>
  <CharactersWithSpaces>58538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User 1</cp:lastModifiedBy>
  <cp:revision>3</cp:revision>
  <cp:lastPrinted>2026-10-10T06:31:00Z</cp:lastPrinted>
  <dcterms:created xsi:type="dcterms:W3CDTF">2026-10-10T06:31:00Z</dcterms:created>
  <dcterms:modified xsi:type="dcterms:W3CDTF">2026-10-10T06:31:00Z</dcterms:modified>
  <dc:language>en-US</dc:language>
</cp:coreProperties>
</file>