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before="0" w:after="60" w:line="240" w:lineRule="auto"/>
        <w:jc w:val="left"/>
      </w:pPr>
      <w:r>
        <w:rPr>
          <w:rFonts w:ascii="Times New Roman" w:hAnsi="Times New Roman" w:eastAsia="Times New Roman"/>
          <w:b/>
          <w:color w:val="004A93"/>
          <w:sz w:val="32"/>
        </w:rPr>
        <w:t>PLaND Path to Least Non Determinism</w:t>
      </w:r>
    </w:p>
    <w:p>
      <w:pPr>
        <w:keepNext/>
        <w:spacing w:before="0" w:after="60" w:line="240" w:lineRule="auto"/>
        <w:jc w:val="left"/>
      </w:pPr>
      <w:r>
        <w:rPr>
          <w:rFonts w:ascii="Times New Roman" w:hAnsi="Times New Roman" w:eastAsia="Times New Roman"/>
          <w:b/>
          <w:sz w:val="20"/>
        </w:rPr>
        <w:t>Maddipatla Naga Venkata Sai Krishna</w:t>
      </w:r>
      <w:r>
        <w:rPr>
          <w:rFonts w:ascii="Times New Roman" w:hAnsi="Times New Roman" w:eastAsia="Times New Roman"/>
          <w:sz w:val="20"/>
        </w:rPr>
        <w:t xml:space="preserve">, </w:t>
      </w:r>
      <w:r>
        <w:rPr>
          <w:rFonts w:ascii="Times New Roman" w:hAnsi="Times New Roman" w:eastAsia="Times New Roman"/>
          <w:b/>
          <w:sz w:val="20"/>
        </w:rPr>
        <w:t>Asit Kumar Sahoo</w:t>
      </w:r>
    </w:p>
    <w:p>
      <w:pPr>
        <w:keepNext/>
        <w:spacing w:before="0" w:after="160" w:line="240" w:lineRule="auto"/>
        <w:jc w:val="center"/>
      </w:pPr>
      <w:r>
        <w:rPr>
          <w:rFonts w:ascii="Times New Roman" w:hAnsi="Times New Roman" w:eastAsia="Times New Roman"/>
          <w:i/>
          <w:sz w:val="20"/>
        </w:rPr>
        <w:t>Affiliations: Both authors are Independent Researchers, San Francisco, CA, USA. Corresponding author: Maddipatla Naga Venkata Sai Krishna; mnvsk97@gmail.com.</w:t>
      </w:r>
    </w:p>
    <w:p>
      <w:pPr>
        <w:pStyle w:val="Heading1"/>
        <w:shd w:fill="001A50"/>
      </w:pPr>
      <w:r>
        <w:rPr>
          <w:rFonts w:ascii="Times New Roman" w:hAnsi="Times New Roman" w:eastAsia="Times New Roman"/>
          <w:b/>
          <w:color w:val="FFFFFF"/>
          <w:sz w:val="24"/>
        </w:rPr>
        <w:t>Abstract</w:t>
      </w:r>
    </w:p>
    <w:p>
      <w:pPr>
        <w:keepNext w:val="0"/>
        <w:spacing w:before="0" w:after="80" w:line="240" w:lineRule="auto"/>
        <w:ind w:firstLine="0"/>
        <w:jc w:val="both"/>
        <w:shd w:fill="F1F5E8"/>
      </w:pPr>
      <w:r>
        <w:rPr>
          <w:rFonts w:ascii="Times New Roman" w:hAnsi="Times New Roman" w:eastAsia="Times New Roman"/>
          <w:sz w:val="20"/>
        </w:rPr>
        <w:t>Language-model workflows often mix ambiguous decisions with routine decisions that explicit rules could handle. We present Path to Least Non Determinism (PLaND), a methodology for moving suitable work from natural-language instructions into executable code. A workflow starts with an English standard operating procedure (SOP). An evolver skill guides a host agent to propose changes using development examples and execution records. Each candidate is compared with the baseline under fixed quality and token-use criteria. We evaluate fixed natural-language and hybrid SOPs on three classification tasks: LEDGAR legal clauses, CFPB consumer complaints, and SpamAssassin email. The reported evaluations use 1,000 LEDGAR clauses, 100 CFPB complaints, and 100 SpamAssassin emails. On LEDGAR, accuracy changed from 93.5% to 92.7%, within the study's two-percentage-point tolerance after accounting for sampling uncertainty. Model calls fell from 1,000 to 589 and token use fell 40.02%. CFPB and SpamAssassin did not meet the acceptance criteria. Three additional paired runs per dataset reproduced these acceptance decisions. These results show that deterministic routing can substantially reduce model use, but the benefit depends on both the task and the allowed accuracy loss. The experiments measure the execution of fixed SOPs; they do not measure how reliably an agent can discover useful rules from run histories without researcher involvement.</w:t>
      </w:r>
    </w:p>
    <w:p>
      <w:pPr>
        <w:keepNext w:val="0"/>
        <w:spacing w:before="0" w:after="80" w:line="240" w:lineRule="auto"/>
        <w:ind w:firstLine="0"/>
        <w:shd w:fill="F1F5E8"/>
      </w:pPr>
      <w:r>
        <w:rPr>
          <w:rFonts w:ascii="Times New Roman" w:hAnsi="Times New Roman" w:eastAsia="Times New Roman"/>
          <w:b/>
          <w:sz w:val="20"/>
        </w:rPr>
        <w:t>Keywords:</w:t>
      </w:r>
      <w:r>
        <w:rPr>
          <w:rFonts w:ascii="Times New Roman" w:hAnsi="Times New Roman" w:eastAsia="Times New Roman"/>
          <w:sz w:val="20"/>
        </w:rPr>
        <w:t xml:space="preserve"> agentic workflows, agent skills, deterministic execution, language-model agents, workflow optimization, token efficiency, hybrid systems</w:t>
      </w:r>
    </w:p>
    <w:p>
      <w:pPr>
        <w:sectPr>
          <w:footerReference w:type="default" r:id="rId9"/>
          <w:pgSz w:w="11906" w:h="16838"/>
          <w:pgMar w:top="1077" w:right="1077" w:bottom="1077" w:left="1077" w:header="720" w:footer="720" w:gutter="0"/>
          <w:cols w:space="340" w:num="1"/>
          <w:docGrid w:linePitch="360"/>
        </w:sectPr>
      </w:pPr>
    </w:p>
    <w:p>
      <w:pPr>
        <w:pStyle w:val="Heading1"/>
      </w:pPr>
      <w:r>
        <w:rPr>
          <w:rFonts w:ascii="Times New Roman" w:hAnsi="Times New Roman" w:eastAsia="Times New Roman"/>
          <w:b/>
          <w:sz w:val="24"/>
        </w:rPr>
        <w:t>1 Introduction</w:t>
      </w:r>
    </w:p>
    <w:p>
      <w:pPr>
        <w:keepNext w:val="0"/>
        <w:spacing w:before="0" w:after="80" w:line="240" w:lineRule="auto"/>
        <w:ind w:firstLine="288"/>
        <w:jc w:val="both"/>
      </w:pPr>
      <w:r>
        <w:rPr>
          <w:rFonts w:ascii="Times New Roman" w:hAnsi="Times New Roman" w:eastAsia="Times New Roman"/>
          <w:sz w:val="20"/>
        </w:rPr>
        <w:t>Business processes often contain both stable and ambiguous decisions. A language model can interpret unfamiliar inputs and handle exceptions, but it may also spend tokens repeatedly applying the same recognizable rule. For example, a contract clause that explicitly specifies its governing law may be easier to classify than a clause that combines several legal functions. The practical question is which decisions can be handled by code while keeping the workflow's quality within an acceptable range.</w:t>
      </w:r>
    </w:p>
    <w:p>
      <w:pPr>
        <w:keepNext w:val="0"/>
        <w:spacing w:before="0" w:after="80" w:line="240" w:lineRule="auto"/>
        <w:ind w:firstLine="288"/>
        <w:jc w:val="both"/>
      </w:pPr>
      <w:r>
        <w:rPr>
          <w:rFonts w:ascii="Times New Roman" w:hAnsi="Times New Roman" w:eastAsia="Times New Roman"/>
          <w:sz w:val="20"/>
        </w:rPr>
        <w:t xml:space="preserve">Existing infrastructure provides ways to package and execute these workflows. The Agent Skills specification organizes reusable instructions in a </w:t>
      </w:r>
      <w:r>
        <w:rPr>
          <w:rFonts w:ascii="Courier New" w:hAnsi="Courier New" w:eastAsia="Times New Roman"/>
          <w:sz w:val="20"/>
        </w:rPr>
        <w:t>SKILL.md</w:t>
      </w:r>
      <w:r>
        <w:rPr>
          <w:rFonts w:ascii="Times New Roman" w:hAnsi="Times New Roman" w:eastAsia="Times New Roman"/>
          <w:sz w:val="20"/>
        </w:rPr>
        <w:t xml:space="preserve"> file with optional supporting files [1]. DeepAgents supports loading skills [2], while LangGraph provides graph-based workflow orchestration [3]. These are existing systems on which a methodology can build, not components introduced or independently benchmarked in this paper.</w:t>
      </w:r>
    </w:p>
    <w:p>
      <w:pPr>
        <w:keepNext w:val="0"/>
        <w:spacing w:before="0" w:after="80" w:line="240" w:lineRule="auto"/>
        <w:ind w:firstLine="288"/>
        <w:jc w:val="both"/>
      </w:pPr>
      <w:r>
        <w:rPr>
          <w:rFonts w:ascii="Times New Roman" w:hAnsi="Times New Roman" w:eastAsia="Times New Roman"/>
          <w:sz w:val="20"/>
        </w:rPr>
        <w:t>Related research optimizes model programs, prompts, workflows, and reusable skills. DSPy optimizes language-model pipelines against task metrics [4]. AutoFlow and AFlow generate and improve workflows [5, 6], while Automated Design of Agentic Systems searches over agent designs [7]. SkillOpt, SkillRevise, SkillReducer, and ACES study the optimization or evaluation of reusable skills [8-11]. PLaND focuses on a specific change within a workflow: replacing suitable model-mediated decisions with explicit computation, while retaining model reasoning for the remaining inputs and evaluating the complete result.</w:t>
      </w:r>
    </w:p>
    <w:p>
      <w:pPr>
        <w:keepNext w:val="0"/>
        <w:spacing w:before="0" w:after="80" w:line="240" w:lineRule="auto"/>
        <w:ind w:firstLine="288"/>
        <w:jc w:val="both"/>
      </w:pPr>
      <w:r>
        <w:rPr>
          <w:rFonts w:ascii="Times New Roman" w:hAnsi="Times New Roman" w:eastAsia="Times New Roman"/>
          <w:sz w:val="20"/>
        </w:rPr>
        <w:t>PLaND begins with an English standard operating procedure (SOP), then permits a hybrid SOP that combines model instructions with executable rules. Further changes may produce a workflow whose stable steps are explicit graph nodes. This last stage is a proposed direction, not an outcome demonstrated here. In this paper, reducing non-determinism means reducing dependence on model-mediated execution. It does not mean finding a globally optimal workflow or proving that repeated model outputs become less variable.</w:t>
      </w:r>
    </w:p>
    <w:p>
      <w:pPr>
        <w:keepNext w:val="0"/>
        <w:spacing w:before="0" w:after="80" w:line="240" w:lineRule="auto"/>
        <w:ind w:firstLine="288"/>
        <w:jc w:val="both"/>
      </w:pPr>
      <w:r>
        <w:rPr>
          <w:rFonts w:ascii="Times New Roman" w:hAnsi="Times New Roman" w:eastAsia="Times New Roman"/>
          <w:sz w:val="20"/>
        </w:rPr>
        <w:t>We evaluate this approach on LEDGAR, CFPB, and SpamAssassin. These tasks let us test whether code can avoid model calls, whether accuracy remains within a stated tolerance, and whether the same acceptance decision holds across repeated runs. They are individual classification tasks, not complete business processes.</w:t>
      </w:r>
    </w:p>
    <w:p>
      <w:pPr>
        <w:pStyle w:val="Heading1"/>
      </w:pPr>
      <w:r>
        <w:rPr>
          <w:rFonts w:ascii="Times New Roman" w:hAnsi="Times New Roman" w:eastAsia="Times New Roman"/>
          <w:b/>
          <w:sz w:val="24"/>
        </w:rPr>
        <w:t>2 Material and Methods</w:t>
      </w:r>
    </w:p>
    <w:p>
      <w:pPr>
        <w:pStyle w:val="Heading2"/>
      </w:pPr>
      <w:r>
        <w:rPr>
          <w:rFonts w:ascii="Times New Roman" w:hAnsi="Times New Roman" w:eastAsia="Times New Roman"/>
          <w:b/>
          <w:sz w:val="22"/>
        </w:rPr>
        <w:t>2.1 Skill structure and executable steps</w:t>
      </w:r>
    </w:p>
    <w:p>
      <w:pPr>
        <w:keepNext w:val="0"/>
        <w:spacing w:before="0" w:after="80" w:line="240" w:lineRule="auto"/>
        <w:ind w:firstLine="288"/>
        <w:jc w:val="both"/>
      </w:pPr>
      <w:r>
        <w:rPr>
          <w:rFonts w:ascii="Times New Roman" w:hAnsi="Times New Roman" w:eastAsia="Times New Roman"/>
          <w:sz w:val="20"/>
        </w:rPr>
        <w:t xml:space="preserve">A skill is a directory whose main instructions are written in </w:t>
      </w:r>
      <w:r>
        <w:rPr>
          <w:rFonts w:ascii="Courier New" w:hAnsi="Courier New" w:eastAsia="Times New Roman"/>
          <w:sz w:val="20"/>
        </w:rPr>
        <w:t>SKILL.md</w:t>
      </w:r>
      <w:r>
        <w:rPr>
          <w:rFonts w:ascii="Times New Roman" w:hAnsi="Times New Roman" w:eastAsia="Times New Roman"/>
          <w:sz w:val="20"/>
        </w:rPr>
        <w:t xml:space="preserve">. Optional </w:t>
      </w:r>
      <w:r>
        <w:rPr>
          <w:rFonts w:ascii="Courier New" w:hAnsi="Courier New" w:eastAsia="Times New Roman"/>
          <w:sz w:val="20"/>
        </w:rPr>
        <w:t>references/</w:t>
      </w:r>
      <w:r>
        <w:rPr>
          <w:rFonts w:ascii="Times New Roman" w:hAnsi="Times New Roman" w:eastAsia="Times New Roman"/>
          <w:sz w:val="20"/>
        </w:rPr>
        <w:t xml:space="preserve"> files provide supporting instructions or domain material, </w:t>
      </w:r>
      <w:r>
        <w:rPr>
          <w:rFonts w:ascii="Courier New" w:hAnsi="Courier New" w:eastAsia="Times New Roman"/>
          <w:sz w:val="20"/>
        </w:rPr>
        <w:t>scripts/</w:t>
      </w:r>
      <w:r>
        <w:rPr>
          <w:rFonts w:ascii="Times New Roman" w:hAnsi="Times New Roman" w:eastAsia="Times New Roman"/>
          <w:sz w:val="20"/>
        </w:rPr>
        <w:t xml:space="preserve"> contains executable code, and </w:t>
      </w:r>
      <w:r>
        <w:rPr>
          <w:rFonts w:ascii="Courier New" w:hAnsi="Courier New" w:eastAsia="Times New Roman"/>
          <w:sz w:val="20"/>
        </w:rPr>
        <w:t>assets/</w:t>
      </w:r>
      <w:r>
        <w:rPr>
          <w:rFonts w:ascii="Times New Roman" w:hAnsi="Times New Roman" w:eastAsia="Times New Roman"/>
          <w:sz w:val="20"/>
        </w:rPr>
        <w:t xml:space="preserve"> holds resources such as templates [1]. A reference file in this directory is supporting material for the agent; it is not a bibliographic citation and does not make a decision deterministic by itself.</w:t>
      </w:r>
    </w:p>
    <w:p>
      <w:pPr>
        <w:keepNext w:val="0"/>
        <w:spacing w:before="0" w:after="80" w:line="240" w:lineRule="auto"/>
        <w:ind w:firstLine="288"/>
        <w:jc w:val="both"/>
      </w:pPr>
      <w:r>
        <w:rPr>
          <w:rFonts w:ascii="Times New Roman" w:hAnsi="Times New Roman" w:eastAsia="Times New Roman"/>
          <w:sz w:val="20"/>
        </w:rPr>
        <w:t>PLaND distinguishes instructions that a model interprets from code that the runtime executes. We use the term executable step for a Python or Bash operation with defined inputs and outputs. Earlier SOPs call this a command. An executable step contributes to deterministic execution only if the runtime actually calls the code and uses its result. Merely mentioning code in a prompt does not establish that it ran.</w:t>
      </w:r>
    </w:p>
    <w:p>
      <w:pPr>
        <w:keepNext w:val="0"/>
        <w:spacing w:before="0" w:after="80" w:line="240" w:lineRule="auto"/>
        <w:ind w:firstLine="288"/>
        <w:jc w:val="both"/>
      </w:pPr>
      <w:r>
        <w:rPr>
          <w:rFonts w:ascii="Times New Roman" w:hAnsi="Times New Roman" w:eastAsia="Times New Roman"/>
          <w:sz w:val="20"/>
        </w:rPr>
        <w:t>Figure 1 illustrates the progression using LEDGAR. The English SOP asks the model to read a clause, identify its legal function, compare the allowed labels, and choose one. The hybrid SOP adds a rule-based classifier. Inputs that the rules cannot resolve return to the model. Section 3.2 explains how the benchmark executes this choice.</w:t>
      </w:r>
    </w:p>
    <w:p>
      <w:pPr>
        <w:keepNext/>
        <w:spacing w:before="60" w:after="120" w:line="240" w:lineRule="auto"/>
        <w:jc w:val="center"/>
      </w:pPr>
      <w:r>
        <w:drawing>
          <wp:inline xmlns:a="http://schemas.openxmlformats.org/drawingml/2006/main" xmlns:pic="http://schemas.openxmlformats.org/drawingml/2006/picture">
            <wp:extent cx="2880360" cy="3103759"/>
            <wp:docPr id="1" name="Picture 1" descr="Evolution Path"/>
            <wp:cNvGraphicFramePr>
              <a:graphicFrameLocks noChangeAspect="1"/>
            </wp:cNvGraphicFramePr>
            <a:graphic>
              <a:graphicData uri="http://schemas.openxmlformats.org/drawingml/2006/picture">
                <pic:pic>
                  <pic:nvPicPr>
                    <pic:cNvPr id="0" name="evolution-path.png"/>
                    <pic:cNvPicPr/>
                  </pic:nvPicPr>
                  <pic:blipFill>
                    <a:blip r:embed="rId10"/>
                    <a:stretch>
                      <a:fillRect/>
                    </a:stretch>
                  </pic:blipFill>
                  <pic:spPr>
                    <a:xfrm>
                      <a:off x="0" y="0"/>
                      <a:ext cx="2880360" cy="3103759"/>
                    </a:xfrm>
                    <a:prstGeom prst="rect"/>
                  </pic:spPr>
                </pic:pic>
              </a:graphicData>
            </a:graphic>
          </wp:inline>
        </w:drawing>
      </w:r>
    </w:p>
    <w:p>
      <w:pPr>
        <w:keepNext w:val="0"/>
        <w:keepLines/>
        <w:spacing w:before="0" w:after="120" w:line="240" w:lineRule="auto"/>
        <w:jc w:val="center"/>
      </w:pPr>
      <w:r>
        <w:rPr>
          <w:rFonts w:ascii="Times New Roman" w:hAnsi="Times New Roman" w:eastAsia="Times New Roman"/>
          <w:b/>
          <w:sz w:val="20"/>
        </w:rPr>
        <w:t>Figure 1. From English instructions to selective code execution.</w:t>
      </w:r>
      <w:r>
        <w:rPr>
          <w:rFonts w:ascii="Times New Roman" w:hAnsi="Times New Roman" w:eastAsia="Times New Roman"/>
          <w:sz w:val="20"/>
        </w:rPr>
        <w:t xml:space="preserve"> The first two stages summarize the evaluated LEDGAR SOPs. The third is a proposed future organization of a workflow, not a measured result. A graph implementation need not use a particular orchestration framework.</w:t>
      </w:r>
    </w:p>
    <w:p>
      <w:pPr>
        <w:pStyle w:val="Heading2"/>
      </w:pPr>
      <w:r>
        <w:rPr>
          <w:rFonts w:ascii="Times New Roman" w:hAnsi="Times New Roman" w:eastAsia="Times New Roman"/>
          <w:b/>
          <w:sz w:val="22"/>
        </w:rPr>
        <w:t>2.2 Evolution and the fixed evaluation boundary</w:t>
      </w:r>
    </w:p>
    <w:p>
      <w:pPr>
        <w:keepNext w:val="0"/>
        <w:spacing w:before="0" w:after="80" w:line="240" w:lineRule="auto"/>
        <w:ind w:firstLine="288"/>
        <w:jc w:val="both"/>
      </w:pPr>
      <w:r>
        <w:rPr>
          <w:rFonts w:ascii="Times New Roman" w:hAnsi="Times New Roman" w:eastAsia="Times New Roman"/>
          <w:sz w:val="20"/>
        </w:rPr>
        <w:t xml:space="preserve">PLaND uses two skills. </w:t>
      </w:r>
      <w:r>
        <w:rPr>
          <w:rFonts w:ascii="Courier New" w:hAnsi="Courier New" w:eastAsia="Times New Roman"/>
          <w:sz w:val="20"/>
        </w:rPr>
        <w:t>generate-initial-version</w:t>
      </w:r>
      <w:r>
        <w:rPr>
          <w:rFonts w:ascii="Times New Roman" w:hAnsi="Times New Roman" w:eastAsia="Times New Roman"/>
          <w:sz w:val="20"/>
        </w:rPr>
        <w:t xml:space="preserve"> turns task requirements, approved data sources, and evaluation examples into an initial agent and English SOP. </w:t>
      </w:r>
      <w:r>
        <w:rPr>
          <w:rFonts w:ascii="Courier New" w:hAnsi="Courier New" w:eastAsia="Times New Roman"/>
          <w:sz w:val="20"/>
        </w:rPr>
        <w:t>pland-evolver</w:t>
      </w:r>
      <w:r>
        <w:rPr>
          <w:rFonts w:ascii="Times New Roman" w:hAnsi="Times New Roman" w:eastAsia="Times New Roman"/>
          <w:sz w:val="20"/>
        </w:rPr>
        <w:t xml:space="preserve"> guides a host reasoning agent to inspect development runs and propose a bounded change to that SOP and its supporting files. The methodology is task-agnostic: a task-specific runner executes the workflow, and a task-specific scorer checks the output.</w:t>
      </w:r>
    </w:p>
    <w:p>
      <w:pPr>
        <w:keepNext w:val="0"/>
        <w:spacing w:before="0" w:after="80" w:line="240" w:lineRule="auto"/>
        <w:ind w:firstLine="288"/>
        <w:jc w:val="both"/>
      </w:pPr>
      <w:r>
        <w:rPr>
          <w:rFonts w:ascii="Times New Roman" w:hAnsi="Times New Roman" w:eastAsia="Times New Roman"/>
          <w:sz w:val="20"/>
        </w:rPr>
        <w:t>The dataset supplies inputs and expected answers. Running a workflow on development inputs produces execution records, including its output, errors, routing decisions, model calls, and tokens. These records can guide candidate revision. Validation cases serve a different purpose: they decide whether the resulting candidate is acceptable. Reserved test cases provide a final assessment after that decision. Thus, datasets and run histories are complementary; the histories are produced by running the workflow on examples from the dataset.</w:t>
      </w:r>
    </w:p>
    <w:p>
      <w:pPr>
        <w:keepNext w:val="0"/>
        <w:spacing w:before="0" w:after="80" w:line="240" w:lineRule="auto"/>
        <w:ind w:firstLine="288"/>
        <w:jc w:val="both"/>
      </w:pPr>
      <w:r>
        <w:rPr>
          <w:rFonts w:ascii="Times New Roman" w:hAnsi="Times New Roman" w:eastAsia="Times New Roman"/>
          <w:sz w:val="20"/>
        </w:rPr>
        <w:t>Only the SOP package and its directly related files may change during a paired comparison. The task, model, system prompt, data snapshot, scorer, runtime settings, permissions, and acceptance criteria remain fixed. The comparison tools check case identifiers and recorded fingerprints for mismatches. Figure 2 shows this boundary. The evolver policy permits a bounded search, with a default limit of ten candidates; this policy limit is not a claim that ten candidates were generated in every reported experiment.</w:t>
      </w:r>
    </w:p>
    <w:p>
      <w:pPr>
        <w:keepNext/>
        <w:spacing w:before="60" w:after="120" w:line="240" w:lineRule="auto"/>
        <w:jc w:val="center"/>
      </w:pPr>
      <w:r>
        <w:drawing>
          <wp:inline xmlns:a="http://schemas.openxmlformats.org/drawingml/2006/main" xmlns:pic="http://schemas.openxmlformats.org/drawingml/2006/picture">
            <wp:extent cx="2880360" cy="3723320"/>
            <wp:docPr id="2" name="Picture 2" descr="Architecture"/>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2880360" cy="3723320"/>
                    </a:xfrm>
                    <a:prstGeom prst="rect"/>
                  </pic:spPr>
                </pic:pic>
              </a:graphicData>
            </a:graphic>
          </wp:inline>
        </w:drawing>
      </w:r>
    </w:p>
    <w:p>
      <w:pPr>
        <w:keepNext w:val="0"/>
        <w:keepLines/>
        <w:spacing w:before="0" w:after="120" w:line="240" w:lineRule="auto"/>
        <w:jc w:val="center"/>
      </w:pPr>
      <w:r>
        <w:rPr>
          <w:rFonts w:ascii="Times New Roman" w:hAnsi="Times New Roman" w:eastAsia="Times New Roman"/>
          <w:b/>
          <w:sz w:val="20"/>
        </w:rPr>
        <w:t>Figure 2. What can change during a comparison.</w:t>
      </w:r>
      <w:r>
        <w:rPr>
          <w:rFonts w:ascii="Times New Roman" w:hAnsi="Times New Roman" w:eastAsia="Times New Roman"/>
          <w:sz w:val="20"/>
        </w:rPr>
        <w:t xml:space="preserve"> Candidate changes are confined to the SOP package. The same evaluation conditions apply to the baseline and candidate. Development records can guide revisions, but validation and test answers are not supplied as agent inputs.</w:t>
      </w:r>
    </w:p>
    <w:p>
      <w:pPr>
        <w:keepNext w:val="0"/>
        <w:spacing w:before="0" w:after="80" w:line="240" w:lineRule="auto"/>
        <w:ind w:firstLine="288"/>
        <w:jc w:val="both"/>
      </w:pPr>
      <w:r>
        <w:rPr>
          <w:rFonts w:ascii="Times New Roman" w:hAnsi="Times New Roman" w:eastAsia="Times New Roman"/>
          <w:sz w:val="20"/>
        </w:rPr>
        <w:t>The experiments below evaluate saved, fixed SOPs and scripts. They establish how those packages behave when executed. They do not separately measure the success rate of the earlier generation step across independent agent attempts. An evaluation of automatic rule discovery would need to record the development histories supplied to the agent, the code it generates, and its performance on new cases. That question is distinct from whether a fixed rule-based route saves model calls.</w:t>
      </w:r>
    </w:p>
    <w:p>
      <w:pPr>
        <w:pStyle w:val="Heading2"/>
      </w:pPr>
      <w:r>
        <w:rPr>
          <w:rFonts w:ascii="Times New Roman" w:hAnsi="Times New Roman" w:eastAsia="Times New Roman"/>
          <w:b/>
          <w:sz w:val="22"/>
        </w:rPr>
        <w:t>2.3 Quality and expense</w:t>
      </w:r>
    </w:p>
    <w:p>
      <w:pPr>
        <w:keepNext w:val="0"/>
        <w:spacing w:before="0" w:after="80" w:line="240" w:lineRule="auto"/>
        <w:ind w:firstLine="288"/>
        <w:jc w:val="both"/>
      </w:pPr>
      <w:r>
        <w:rPr>
          <w:rFonts w:ascii="Times New Roman" w:hAnsi="Times New Roman" w:eastAsia="Times New Roman"/>
          <w:sz w:val="20"/>
        </w:rPr>
        <w:t>Let W denote the baseline workflow and W′ a proposed replacement. Q(W) is its task quality, measured here as classification accuracy. E(W) is its expense, measured here as total model input and output tokens. Qmin is the minimum acceptable accuracy. We call a workflow usable under the study criteria when it reaches Qmin; this is the meaning of baseline viability. The symbol ε denotes the largest allowed decrease in accuracy relative to the baseline.</w:t>
      </w:r>
    </w:p>
    <w:p>
      <w:pPr>
        <w:keepNext w:val="0"/>
        <w:spacing w:before="0" w:after="80" w:line="240" w:lineRule="auto"/>
        <w:ind w:firstLine="288"/>
        <w:jc w:val="both"/>
      </w:pPr>
      <w:r>
        <w:rPr>
          <w:rFonts w:ascii="Times New Roman" w:hAnsi="Times New Roman" w:eastAsia="Times New Roman"/>
          <w:sz w:val="20"/>
        </w:rPr>
        <w:t>The intended comparison is:</w:t>
      </w:r>
    </w:p>
    <w:p>
      <w:pPr>
        <w:keepNext w:val="0"/>
        <w:spacing w:before="0" w:after="60" w:line="240" w:lineRule="auto"/>
        <w:jc w:val="center"/>
      </w:pPr>
      <m:oMath>
        <m:r>
          <m:t xml:space="preserve">E(W′) &lt; E(W)</m:t>
        </m:r>
      </m:oMath>
    </w:p>
    <w:p>
      <w:pPr>
        <w:keepNext w:val="0"/>
        <w:spacing w:before="0" w:after="60" w:line="240" w:lineRule="auto"/>
        <w:jc w:val="center"/>
      </w:pPr>
      <m:oMath>
        <m:r>
          <m:t xml:space="preserve">Q(W) ≥ </m:t>
        </m:r>
        <m:sSub>
          <m:e>
            <m:r>
              <m:t>Q</m:t>
            </m:r>
          </m:e>
          <m:sub>
            <m:r>
              <m:t>min</m:t>
            </m:r>
          </m:sub>
        </m:sSub>
        <m:r>
          <m:t xml:space="preserve">, Q(W′) ≥ </m:t>
        </m:r>
        <m:sSub>
          <m:e>
            <m:r>
              <m:t>Q</m:t>
            </m:r>
          </m:e>
          <m:sub>
            <m:r>
              <m:t>min</m:t>
            </m:r>
          </m:sub>
        </m:sSub>
      </m:oMath>
    </w:p>
    <w:p>
      <w:pPr>
        <w:keepNext w:val="0"/>
        <w:spacing w:before="0" w:after="60" w:line="240" w:lineRule="auto"/>
        <w:jc w:val="center"/>
      </w:pPr>
      <m:oMath>
        <m:r>
          <m:t xml:space="preserve">Q(W′) − Q(W) ≥ −ε</m:t>
        </m:r>
      </m:oMath>
    </w:p>
    <w:p>
      <w:pPr>
        <w:keepNext w:val="0"/>
        <w:spacing w:before="0" w:after="80" w:line="240" w:lineRule="auto"/>
        <w:ind w:firstLine="288"/>
        <w:jc w:val="both"/>
      </w:pPr>
      <w:r>
        <w:rPr>
          <w:rFonts w:ascii="Times New Roman" w:hAnsi="Times New Roman" w:eastAsia="Times New Roman"/>
          <w:sz w:val="20"/>
        </w:rPr>
        <w:t>For these experiments, Qmin is 0.80 and ε is 0.02. In plain terms, both workflows must classify at least 80% of cases correctly, and the candidate may lose at most two percentage points of accuracy. A change from 93.5% to 91.5% is a two-point decrease; it is not a 2% relative decrease. Section 3.3 gives the full decision rule, including uncertainty and the minimum token reduction.</w:t>
      </w:r>
    </w:p>
    <w:p>
      <w:pPr>
        <w:keepNext w:val="0"/>
        <w:spacing w:before="0" w:after="80" w:line="240" w:lineRule="auto"/>
        <w:ind w:firstLine="288"/>
        <w:jc w:val="both"/>
      </w:pPr>
      <w:r>
        <w:rPr>
          <w:rFonts w:ascii="Times New Roman" w:hAnsi="Times New Roman" w:eastAsia="Times New Roman"/>
          <w:sz w:val="20"/>
        </w:rPr>
        <w:t>These values are study-specific engineering choices recorded in the comparison configuration [12]. They are not thresholds established by the dataset creators or universal standards for these tasks. The records do not provide an application-specific error-cost analysis that would justify 80% or two points for deployment. We therefore interpret acceptance only under these stated tolerances. A real application should choose its accuracy requirements before evaluation, based on the consequences of its errors. Non-inferiority testing provides a framework for assessing an allowed loss [13]; it does not supply the numerical margin used here.</w:t>
      </w:r>
    </w:p>
    <w:p>
      <w:pPr>
        <w:pStyle w:val="Heading1"/>
      </w:pPr>
      <w:r>
        <w:rPr>
          <w:rFonts w:ascii="Times New Roman" w:hAnsi="Times New Roman" w:eastAsia="Times New Roman"/>
          <w:b/>
          <w:sz w:val="24"/>
        </w:rPr>
        <w:t>3 Experimental Setup</w:t>
      </w:r>
    </w:p>
    <w:p>
      <w:pPr>
        <w:pStyle w:val="Heading2"/>
      </w:pPr>
      <w:r>
        <w:rPr>
          <w:rFonts w:ascii="Times New Roman" w:hAnsi="Times New Roman" w:eastAsia="Times New Roman"/>
          <w:b/>
          <w:sz w:val="22"/>
        </w:rPr>
        <w:t>3.1 Evaluation datasets</w:t>
      </w:r>
    </w:p>
    <w:p>
      <w:pPr>
        <w:keepNext w:val="0"/>
        <w:spacing w:before="0" w:after="80" w:line="240" w:lineRule="auto"/>
        <w:ind w:firstLine="288"/>
        <w:jc w:val="both"/>
      </w:pPr>
      <w:r>
        <w:rPr>
          <w:rFonts w:ascii="Times New Roman" w:hAnsi="Times New Roman" w:eastAsia="Times New Roman"/>
          <w:sz w:val="20"/>
        </w:rPr>
        <w:t>We use three public sources: LEDGAR contract clauses through the LexGLUE task [14, 15], consumer complaint narratives from the Consumer Financial Protection Bureau (CFPB) [16], and the SpamAssassin public email corpus [17]. Table 1 lists the examples used in the reported comparisons. These balanced subsets support controlled comparisons; their label frequencies do not represent the natural frequency of cases in production.</w:t>
      </w:r>
    </w:p>
    <w:p>
      <w:pPr>
        <w:sectPr>
          <w:type w:val="continuous"/>
          <w:pgSz w:w="11906" w:h="16838"/>
          <w:pgMar w:top="1077" w:right="1077" w:bottom="1077" w:left="1077" w:header="720" w:footer="720" w:gutter="0"/>
          <w:cols w:space="340" w:num="2"/>
          <w:docGrid w:linePitch="360"/>
        </w:sectPr>
      </w:pPr>
    </w:p>
    <w:p>
      <w:pPr>
        <w:keepNext/>
        <w:spacing w:before="80" w:after="40" w:line="240" w:lineRule="auto"/>
      </w:pPr>
      <w:r>
        <w:rPr>
          <w:rFonts w:ascii="Times New Roman" w:hAnsi="Times New Roman" w:eastAsia="Times New Roman"/>
          <w:b/>
          <w:sz w:val="20"/>
        </w:rPr>
        <w:t>Table 1. Evaluation datasets</w:t>
      </w:r>
    </w:p>
    <w:tbl>
      <w:tblPr>
        <w:tblW w:type="dxa" w:w="9751"/>
        <w:jc w:val="left"/>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6000"/>
        <w:gridCol w:w="1400"/>
        <w:gridCol w:w="2351"/>
      </w:tblGrid>
      <w:tr>
        <w:trPr>
          <w:tblHeader w:val="true"/>
          <w:cantSplit w:val="true"/>
        </w:trPr>
        <w:tc>
          <w:tcPr>
            <w:tcW w:type="dxa" w:w="6000"/>
            <w:tcMar>
              <w:top w:w="80" w:type="dxa"/>
              <w:start w:w="100" w:type="dxa"/>
              <w:bottom w:w="80" w:type="dxa"/>
              <w:end w:w="100" w:type="dxa"/>
            </w:tcMar>
            <w:shd w:fill="E8EEF3"/>
            <w:vAlign w:val="center"/>
          </w:tcPr>
          <w:p>
            <w:pPr>
              <w:keepNext/>
              <w:spacing w:before="0" w:after="0" w:line="240" w:lineRule="auto"/>
            </w:pPr>
            <w:r>
              <w:rPr>
                <w:rFonts w:ascii="Times New Roman" w:hAnsi="Times New Roman" w:eastAsia="Times New Roman"/>
                <w:b/>
                <w:sz w:val="20"/>
              </w:rPr>
              <w:t>Dataset and classification task</w:t>
            </w:r>
          </w:p>
        </w:tc>
        <w:tc>
          <w:tcPr>
            <w:tcW w:type="dxa" w:w="1400"/>
            <w:tcMar>
              <w:top w:w="80" w:type="dxa"/>
              <w:start w:w="100" w:type="dxa"/>
              <w:bottom w:w="80" w:type="dxa"/>
              <w:end w:w="100" w:type="dxa"/>
            </w:tcMar>
            <w:shd w:fill="E8EEF3"/>
            <w:vAlign w:val="center"/>
          </w:tcPr>
          <w:p>
            <w:pPr>
              <w:keepNext/>
              <w:spacing w:before="0" w:after="0" w:line="240" w:lineRule="auto"/>
              <w:jc w:val="center"/>
            </w:pPr>
            <w:r>
              <w:rPr>
                <w:rFonts w:ascii="Times New Roman" w:hAnsi="Times New Roman" w:eastAsia="Times New Roman"/>
                <w:b/>
                <w:sz w:val="20"/>
              </w:rPr>
              <w:t>Labels</w:t>
            </w:r>
          </w:p>
        </w:tc>
        <w:tc>
          <w:tcPr>
            <w:tcW w:type="dxa" w:w="2351"/>
            <w:tcMar>
              <w:top w:w="80" w:type="dxa"/>
              <w:start w:w="100" w:type="dxa"/>
              <w:bottom w:w="80" w:type="dxa"/>
              <w:end w:w="100" w:type="dxa"/>
            </w:tcMar>
            <w:shd w:fill="E8EEF3"/>
            <w:vAlign w:val="center"/>
          </w:tcPr>
          <w:p>
            <w:pPr>
              <w:keepNext/>
              <w:spacing w:before="0" w:after="0" w:line="240" w:lineRule="auto"/>
              <w:jc w:val="center"/>
            </w:pPr>
            <w:r>
              <w:rPr>
                <w:rFonts w:ascii="Times New Roman" w:hAnsi="Times New Roman" w:eastAsia="Times New Roman"/>
                <w:b/>
                <w:sz w:val="20"/>
              </w:rPr>
              <w:t>Evaluated examples</w:t>
            </w:r>
          </w:p>
        </w:tc>
      </w:tr>
      <w:tr>
        <w:trPr>
          <w:cantSplit w:val="true"/>
        </w:trPr>
        <w:tc>
          <w:tcPr>
            <w:tcW w:type="dxa" w:w="6000"/>
            <w:tcMar>
              <w:top w:w="80" w:type="dxa"/>
              <w:start w:w="100" w:type="dxa"/>
              <w:bottom w:w="80" w:type="dxa"/>
              <w:end w:w="100" w:type="dxa"/>
            </w:tcMar>
            <w:vAlign w:val="center"/>
          </w:tcPr>
          <w:p>
            <w:pPr>
              <w:keepNext/>
              <w:spacing w:before="0" w:after="0" w:line="240" w:lineRule="auto"/>
            </w:pPr>
            <w:r>
              <w:rPr>
                <w:rFonts w:ascii="Times New Roman" w:hAnsi="Times New Roman" w:eastAsia="Times New Roman"/>
                <w:b w:val="0"/>
                <w:sz w:val="20"/>
              </w:rPr>
              <w:t>LEDGAR legal clause type</w:t>
            </w:r>
          </w:p>
        </w:tc>
        <w:tc>
          <w:tcPr>
            <w:tcW w:type="dxa" w:w="1400"/>
            <w:tcMar>
              <w:top w:w="80" w:type="dxa"/>
              <w:start w:w="100" w:type="dxa"/>
              <w:bottom w:w="80" w:type="dxa"/>
              <w:end w:w="100" w:type="dxa"/>
            </w:tcMar>
            <w:vAlign w:val="center"/>
          </w:tcPr>
          <w:p>
            <w:pPr>
              <w:keepNext/>
              <w:spacing w:before="0" w:after="0" w:line="240" w:lineRule="auto"/>
              <w:jc w:val="center"/>
            </w:pPr>
            <w:r>
              <w:rPr>
                <w:rFonts w:ascii="Times New Roman" w:hAnsi="Times New Roman" w:eastAsia="Times New Roman"/>
                <w:b w:val="0"/>
                <w:sz w:val="20"/>
              </w:rPr>
              <w:t>10</w:t>
            </w:r>
          </w:p>
        </w:tc>
        <w:tc>
          <w:tcPr>
            <w:tcW w:type="dxa" w:w="2351"/>
            <w:tcMar>
              <w:top w:w="80" w:type="dxa"/>
              <w:start w:w="100" w:type="dxa"/>
              <w:bottom w:w="80" w:type="dxa"/>
              <w:end w:w="100" w:type="dxa"/>
            </w:tcMar>
            <w:vAlign w:val="center"/>
          </w:tcPr>
          <w:p>
            <w:pPr>
              <w:keepNext/>
              <w:spacing w:before="0" w:after="0" w:line="240" w:lineRule="auto"/>
              <w:jc w:val="center"/>
            </w:pPr>
            <w:r>
              <w:rPr>
                <w:rFonts w:ascii="Times New Roman" w:hAnsi="Times New Roman" w:eastAsia="Times New Roman"/>
                <w:b w:val="0"/>
                <w:sz w:val="20"/>
              </w:rPr>
              <w:t>1,000</w:t>
            </w:r>
          </w:p>
        </w:tc>
      </w:tr>
      <w:tr>
        <w:trPr>
          <w:cantSplit w:val="true"/>
        </w:trPr>
        <w:tc>
          <w:tcPr>
            <w:tcW w:type="dxa" w:w="6000"/>
            <w:tcMar>
              <w:top w:w="80" w:type="dxa"/>
              <w:start w:w="100" w:type="dxa"/>
              <w:bottom w:w="80" w:type="dxa"/>
              <w:end w:w="100" w:type="dxa"/>
            </w:tcMar>
            <w:vAlign w:val="center"/>
          </w:tcPr>
          <w:p>
            <w:pPr>
              <w:keepNext/>
              <w:spacing w:before="0" w:after="0" w:line="240" w:lineRule="auto"/>
            </w:pPr>
            <w:r>
              <w:rPr>
                <w:rFonts w:ascii="Times New Roman" w:hAnsi="Times New Roman" w:eastAsia="Times New Roman"/>
                <w:b w:val="0"/>
                <w:sz w:val="20"/>
              </w:rPr>
              <w:t>CFPB complaint product</w:t>
            </w:r>
          </w:p>
        </w:tc>
        <w:tc>
          <w:tcPr>
            <w:tcW w:type="dxa" w:w="1400"/>
            <w:tcMar>
              <w:top w:w="80" w:type="dxa"/>
              <w:start w:w="100" w:type="dxa"/>
              <w:bottom w:w="80" w:type="dxa"/>
              <w:end w:w="100" w:type="dxa"/>
            </w:tcMar>
            <w:vAlign w:val="center"/>
          </w:tcPr>
          <w:p>
            <w:pPr>
              <w:keepNext/>
              <w:spacing w:before="0" w:after="0" w:line="240" w:lineRule="auto"/>
              <w:jc w:val="center"/>
            </w:pPr>
            <w:r>
              <w:rPr>
                <w:rFonts w:ascii="Times New Roman" w:hAnsi="Times New Roman" w:eastAsia="Times New Roman"/>
                <w:b w:val="0"/>
                <w:sz w:val="20"/>
              </w:rPr>
              <w:t>10</w:t>
            </w:r>
          </w:p>
        </w:tc>
        <w:tc>
          <w:tcPr>
            <w:tcW w:type="dxa" w:w="2351"/>
            <w:tcMar>
              <w:top w:w="80" w:type="dxa"/>
              <w:start w:w="100" w:type="dxa"/>
              <w:bottom w:w="80" w:type="dxa"/>
              <w:end w:w="100" w:type="dxa"/>
            </w:tcMar>
            <w:vAlign w:val="center"/>
          </w:tcPr>
          <w:p>
            <w:pPr>
              <w:keepNext/>
              <w:spacing w:before="0" w:after="0" w:line="240" w:lineRule="auto"/>
              <w:jc w:val="center"/>
            </w:pPr>
            <w:r>
              <w:rPr>
                <w:rFonts w:ascii="Times New Roman" w:hAnsi="Times New Roman" w:eastAsia="Times New Roman"/>
                <w:b w:val="0"/>
                <w:sz w:val="20"/>
              </w:rPr>
              <w:t>100</w:t>
            </w:r>
          </w:p>
        </w:tc>
      </w:tr>
      <w:tr>
        <w:trPr>
          <w:cantSplit w:val="true"/>
        </w:trPr>
        <w:tc>
          <w:tcPr>
            <w:tcW w:type="dxa" w:w="600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SpamAssassin spam or legitimate email</w:t>
            </w:r>
          </w:p>
        </w:tc>
        <w:tc>
          <w:tcPr>
            <w:tcW w:type="dxa" w:w="1400"/>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2</w:t>
            </w:r>
          </w:p>
        </w:tc>
        <w:tc>
          <w:tcPr>
            <w:tcW w:type="dxa" w:w="2351"/>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100</w:t>
            </w:r>
          </w:p>
        </w:tc>
      </w:tr>
    </w:tbl>
    <w:p>
      <w:pPr>
        <w:keepNext w:val="0"/>
        <w:spacing w:before="0" w:after="40" w:line="240" w:lineRule="auto"/>
      </w:pPr>
    </w:p>
    <w:p>
      <w:pPr>
        <w:sectPr>
          <w:type w:val="continuous"/>
          <w:pgSz w:w="11906" w:h="16838"/>
          <w:pgMar w:top="1077" w:right="1077" w:bottom="1077" w:left="1077" w:header="720" w:footer="720" w:gutter="0"/>
          <w:cols w:space="340" w:num="1"/>
          <w:docGrid w:linePitch="360"/>
        </w:sectPr>
      </w:pPr>
    </w:p>
    <w:p>
      <w:pPr>
        <w:keepNext w:val="0"/>
        <w:spacing w:before="0" w:after="80" w:line="240" w:lineRule="auto"/>
        <w:ind w:firstLine="288"/>
        <w:jc w:val="both"/>
      </w:pPr>
      <w:r>
        <w:rPr>
          <w:rFonts w:ascii="Times New Roman" w:hAnsi="Times New Roman" w:eastAsia="Times New Roman"/>
          <w:sz w:val="20"/>
        </w:rPr>
        <w:t>LEDGAR uses ten clause labels: Governing Laws, Counterparts, Notices, Entire Agreements, Severability, Amendments, Survival, Assignments, Expenses, and Terms. Selection preserves the source dataset's training, validation, and test boundaries. CFPB uses ten product categories from a saved complaint-data snapshot. SpamAssassin uses spam and legitimate email from its public archives. The dataset manifests list the exact labels, source identifiers, selection settings, and exclusions [12]. Each split is balanced across the selected labels. Checks found no duplicate cases or content overlap between the prepared splits or with earlier development material.</w:t>
      </w:r>
    </w:p>
    <w:p>
      <w:pPr>
        <w:keepNext w:val="0"/>
        <w:spacing w:before="0" w:after="80" w:line="240" w:lineRule="auto"/>
        <w:ind w:firstLine="288"/>
        <w:jc w:val="both"/>
      </w:pPr>
      <w:r>
        <w:rPr>
          <w:rFonts w:ascii="Times New Roman" w:hAnsi="Times New Roman" w:eastAsia="Times New Roman"/>
          <w:sz w:val="20"/>
        </w:rPr>
        <w:t>Before the reported evaluation, the LEDGAR hybrid was selected using separate development examples and a 100-clause validation check. It was then fixed and evaluated on the 1,000 different clauses reported here as LEDGAR. The earlier selection check is not a second result in this paper. CFPB and SpamAssassin results come from their 100-case validation sets; their reserved tests were not run because the candidates failed the acceptance criteria. This difference in evaluation stage limits direct comparisons across tasks.</w:t>
      </w:r>
    </w:p>
    <w:p>
      <w:pPr>
        <w:pStyle w:val="Heading2"/>
      </w:pPr>
      <w:r>
        <w:rPr>
          <w:rFonts w:ascii="Times New Roman" w:hAnsi="Times New Roman" w:eastAsia="Times New Roman"/>
          <w:b/>
          <w:sz w:val="22"/>
        </w:rPr>
        <w:t>3.2 How the baseline and hybrid workflows run</w:t>
      </w:r>
    </w:p>
    <w:p>
      <w:pPr>
        <w:keepNext w:val="0"/>
        <w:spacing w:before="0" w:after="80" w:line="240" w:lineRule="auto"/>
        <w:ind w:firstLine="288"/>
        <w:jc w:val="both"/>
      </w:pPr>
      <w:r>
        <w:rPr>
          <w:rFonts w:ascii="Times New Roman" w:hAnsi="Times New Roman" w:eastAsia="Times New Roman"/>
          <w:sz w:val="20"/>
        </w:rPr>
        <w:t>For each case, the baseline sends the input, allowed labels, and English SOP to the model. The scorer compares the returned label with the expected answer. Token use is the model's reported input-token count plus output-token count, summed across cases.</w:t>
      </w:r>
    </w:p>
    <w:p>
      <w:pPr>
        <w:keepNext w:val="0"/>
        <w:spacing w:before="0" w:after="80" w:line="240" w:lineRule="auto"/>
        <w:ind w:firstLine="288"/>
        <w:jc w:val="both"/>
      </w:pPr>
      <w:r>
        <w:rPr>
          <w:rFonts w:ascii="Times New Roman" w:hAnsi="Times New Roman" w:eastAsia="Times New Roman"/>
          <w:sz w:val="20"/>
        </w:rPr>
        <w:t xml:space="preserve">For the hybrid, the benchmark runner first calls the classifier function in </w:t>
      </w:r>
      <w:r>
        <w:rPr>
          <w:rFonts w:ascii="Courier New" w:hAnsi="Courier New" w:eastAsia="Times New Roman"/>
          <w:sz w:val="20"/>
        </w:rPr>
        <w:t>classify.py</w:t>
      </w:r>
      <w:r>
        <w:rPr>
          <w:rFonts w:ascii="Times New Roman" w:hAnsi="Times New Roman" w:eastAsia="Times New Roman"/>
          <w:sz w:val="20"/>
        </w:rPr>
        <w:t xml:space="preserve"> with the input text and allowed labels. LEDGAR and CFPB use explicit text-pattern rules that return a label only when the matches identify one label group. SpamAssassin returns the spam label for a single matching rule. If the script returns a permitted label, the runner uses it without a model call. If the script cannot decide, it returns no label, and the runner sends the case to the model using the hybrid SOP's fallback instructions. This return-to-model behavior is called fallback.</w:t>
      </w:r>
    </w:p>
    <w:p>
      <w:pPr>
        <w:keepNext w:val="0"/>
        <w:spacing w:before="0" w:after="80" w:line="240" w:lineRule="auto"/>
        <w:ind w:firstLine="288"/>
        <w:jc w:val="both"/>
      </w:pPr>
      <w:r>
        <w:rPr>
          <w:rFonts w:ascii="Times New Roman" w:hAnsi="Times New Roman" w:eastAsia="Times New Roman"/>
          <w:sz w:val="20"/>
        </w:rPr>
        <w:t xml:space="preserve">The saved SOP describes the script as </w:t>
      </w:r>
      <w:r>
        <w:rPr>
          <w:rFonts w:ascii="Courier New" w:hAnsi="Courier New" w:eastAsia="Times New Roman"/>
          <w:sz w:val="20"/>
        </w:rPr>
        <w:t>python classify.py</w:t>
      </w:r>
      <w:r>
        <w:rPr>
          <w:rFonts w:ascii="Times New Roman" w:hAnsi="Times New Roman" w:eastAsia="Times New Roman"/>
          <w:sz w:val="20"/>
        </w:rPr>
        <w:t>, but the benchmark imports and calls its Python function rather than asking an agent to execute a shell command. The scripts return a fixed confidence value of 0.99 with a match; that value is a routing marker, not a calibrated probability of correctness. The runner checks that the returned label is allowed. It does not independently verify a 99% confidence threshold. Actual accuracy must be measured from labeled cases.</w:t>
      </w:r>
    </w:p>
    <w:p>
      <w:pPr>
        <w:keepNext w:val="0"/>
        <w:spacing w:before="0" w:after="80" w:line="240" w:lineRule="auto"/>
        <w:ind w:firstLine="288"/>
        <w:jc w:val="both"/>
      </w:pPr>
      <w:r>
        <w:rPr>
          <w:rFonts w:ascii="Times New Roman" w:hAnsi="Times New Roman" w:eastAsia="Times New Roman"/>
          <w:sz w:val="20"/>
        </w:rPr>
        <w:t>The evaluated hybrid SOPs also changed the wording of the model fallback. The comparison therefore measures the combined effect of adding rules and changing those instructions. In LEDGAR, the fallback became shorter during candidate generation; prompt shortening was not a separately specified architectural change. A separate comparison with unchanged fallback wording would be needed to isolate the effect of routing alone. Section 4.1 reports where the observed token savings occurred without treating that accounting as such an isolated experiment.</w:t>
      </w:r>
    </w:p>
    <w:p>
      <w:pPr>
        <w:pStyle w:val="Heading2"/>
      </w:pPr>
      <w:r>
        <w:rPr>
          <w:rFonts w:ascii="Times New Roman" w:hAnsi="Times New Roman" w:eastAsia="Times New Roman"/>
          <w:b/>
          <w:sz w:val="22"/>
        </w:rPr>
        <w:t>3.3 Acceptance criteria and uncertainty</w:t>
      </w:r>
    </w:p>
    <w:p>
      <w:pPr>
        <w:keepNext w:val="0"/>
        <w:spacing w:before="0" w:after="80" w:line="240" w:lineRule="auto"/>
        <w:ind w:firstLine="288"/>
        <w:jc w:val="both"/>
      </w:pPr>
      <w:r>
        <w:rPr>
          <w:rFonts w:ascii="Times New Roman" w:hAnsi="Times New Roman" w:eastAsia="Times New Roman"/>
          <w:sz w:val="20"/>
        </w:rPr>
        <w:t>The same four requirements apply to all three datasets [12]:</w:t>
      </w:r>
    </w:p>
    <w:p>
      <w:pPr>
        <w:keepNext w:val="0"/>
        <w:spacing w:before="0" w:after="40" w:line="240" w:lineRule="auto"/>
        <w:ind w:left="432" w:hanging="288"/>
      </w:pPr>
      <w:r>
        <w:rPr>
          <w:rFonts w:ascii="Times New Roman" w:hAnsi="Times New Roman" w:eastAsia="Times New Roman"/>
          <w:sz w:val="20"/>
        </w:rPr>
        <w:t>1. Both the baseline and candidate must achieve at least 80% accuracy.</w:t>
      </w:r>
    </w:p>
    <w:p>
      <w:pPr>
        <w:keepNext w:val="0"/>
        <w:spacing w:before="0" w:after="40" w:line="240" w:lineRule="auto"/>
        <w:ind w:left="432" w:hanging="288"/>
      </w:pPr>
      <w:r>
        <w:rPr>
          <w:rFonts w:ascii="Times New Roman" w:hAnsi="Times New Roman" w:eastAsia="Times New Roman"/>
          <w:sz w:val="20"/>
        </w:rPr>
        <w:t>2. The lower end of the paired 95% interval for the candidate's accuracy change must be no worse than minus two percentage points.</w:t>
      </w:r>
    </w:p>
    <w:p>
      <w:pPr>
        <w:keepNext w:val="0"/>
        <w:spacing w:before="0" w:after="40" w:line="240" w:lineRule="auto"/>
        <w:ind w:left="432" w:hanging="288"/>
      </w:pPr>
      <w:r>
        <w:rPr>
          <w:rFonts w:ascii="Times New Roman" w:hAnsi="Times New Roman" w:eastAsia="Times New Roman"/>
          <w:sz w:val="20"/>
        </w:rPr>
        <w:t>3. Total model tokens must decrease by at least 5%.</w:t>
      </w:r>
    </w:p>
    <w:p>
      <w:pPr>
        <w:keepNext w:val="0"/>
        <w:spacing w:before="0" w:after="40" w:line="240" w:lineRule="auto"/>
        <w:ind w:left="432" w:hanging="288"/>
      </w:pPr>
      <w:r>
        <w:rPr>
          <w:rFonts w:ascii="Times New Roman" w:hAnsi="Times New Roman" w:eastAsia="Times New Roman"/>
          <w:sz w:val="20"/>
        </w:rPr>
        <w:t>4. The lower end of the paired 95% interval for token reduction must be above zero.</w:t>
      </w:r>
    </w:p>
    <w:p>
      <w:pPr>
        <w:keepNext w:val="0"/>
        <w:spacing w:before="0" w:after="80" w:line="240" w:lineRule="auto"/>
        <w:ind w:firstLine="288"/>
        <w:jc w:val="both"/>
      </w:pPr>
      <w:r>
        <w:rPr>
          <w:rFonts w:ascii="Times New Roman" w:hAnsi="Times New Roman" w:eastAsia="Times New Roman"/>
          <w:sz w:val="20"/>
        </w:rPr>
        <w:t>All four must pass. The first requirement checks minimum quality. The second checks whether the data support an accuracy loss no larger than the chosen tolerance. The last two require a meaningful observed token reduction and evidence that the reduction is positive. Like the accuracy thresholds in Section 2.3, the 5% target is a study setting, not an externally established optimum.</w:t>
      </w:r>
    </w:p>
    <w:p>
      <w:pPr>
        <w:keepNext w:val="0"/>
        <w:spacing w:before="0" w:after="80" w:line="240" w:lineRule="auto"/>
        <w:ind w:firstLine="288"/>
        <w:jc w:val="both"/>
      </w:pPr>
      <w:r>
        <w:rPr>
          <w:rFonts w:ascii="Times New Roman" w:hAnsi="Times New Roman" w:eastAsia="Times New Roman"/>
          <w:sz w:val="20"/>
        </w:rPr>
        <w:t>We estimate uncertainty with 5,000 paired bootstrap resamples [18]. Each resample selects case identifiers with replacement and includes both workflows' outcomes for each selected case. We recompute the accuracy difference and token reduction, then use the 2.5th and 97.5th percentiles as the interval endpoints. Pairing preserves the fact that the two workflows saw the same inputs. These intervals describe sampling uncertainty within the prepared task, not reliability under arbitrary future data or model changes.</w:t>
      </w:r>
    </w:p>
    <w:p>
      <w:pPr>
        <w:keepNext w:val="0"/>
        <w:spacing w:before="0" w:after="80" w:line="240" w:lineRule="auto"/>
        <w:ind w:firstLine="288"/>
        <w:jc w:val="both"/>
      </w:pPr>
      <w:r>
        <w:rPr>
          <w:rFonts w:ascii="Times New Roman" w:hAnsi="Times New Roman" w:eastAsia="Times New Roman"/>
          <w:sz w:val="20"/>
        </w:rPr>
        <w:t>Figure 3 separates candidate revision from evaluation. We report one paired comparison for each dataset: the same examples are processed by the English-only baseline and the fixed hybrid. The three main comparisons comprise six workflow runs. The earlier LEDGAR selection check is documented in Section 3.1 and retained in the archive, but is not included in these result tables or run totals.</w:t>
      </w:r>
    </w:p>
    <w:p>
      <w:pPr>
        <w:keepNext/>
        <w:spacing w:before="60" w:after="120" w:line="240" w:lineRule="auto"/>
        <w:jc w:val="center"/>
      </w:pPr>
      <w:r>
        <w:drawing>
          <wp:inline xmlns:a="http://schemas.openxmlformats.org/drawingml/2006/main" xmlns:pic="http://schemas.openxmlformats.org/drawingml/2006/picture">
            <wp:extent cx="2880360" cy="3970548"/>
            <wp:docPr id="3" name="Picture 3" descr="Evolution Loop"/>
            <wp:cNvGraphicFramePr>
              <a:graphicFrameLocks noChangeAspect="1"/>
            </wp:cNvGraphicFramePr>
            <a:graphic>
              <a:graphicData uri="http://schemas.openxmlformats.org/drawingml/2006/picture">
                <pic:pic>
                  <pic:nvPicPr>
                    <pic:cNvPr id="0" name="evolution-loop.png"/>
                    <pic:cNvPicPr/>
                  </pic:nvPicPr>
                  <pic:blipFill>
                    <a:blip r:embed="rId12"/>
                    <a:stretch>
                      <a:fillRect/>
                    </a:stretch>
                  </pic:blipFill>
                  <pic:spPr>
                    <a:xfrm>
                      <a:off x="0" y="0"/>
                      <a:ext cx="2880360" cy="3970548"/>
                    </a:xfrm>
                    <a:prstGeom prst="rect"/>
                  </pic:spPr>
                </pic:pic>
              </a:graphicData>
            </a:graphic>
          </wp:inline>
        </w:drawing>
      </w:r>
    </w:p>
    <w:p>
      <w:pPr>
        <w:keepNext w:val="0"/>
        <w:keepLines/>
        <w:spacing w:before="0" w:after="120" w:line="240" w:lineRule="auto"/>
        <w:jc w:val="center"/>
      </w:pPr>
      <w:r>
        <w:rPr>
          <w:rFonts w:ascii="Times New Roman" w:hAnsi="Times New Roman" w:eastAsia="Times New Roman"/>
          <w:b/>
          <w:sz w:val="20"/>
        </w:rPr>
        <w:t>Figure 3. Candidate revision and evaluation use different examples.</w:t>
      </w:r>
      <w:r>
        <w:rPr>
          <w:rFonts w:ascii="Times New Roman" w:hAnsi="Times New Roman" w:eastAsia="Times New Roman"/>
          <w:sz w:val="20"/>
        </w:rPr>
        <w:t xml:space="preserve"> Development runs guide changes. A fixed candidate is evaluated on validation cases. A passing candidate proceeds to the reserved test without further tuning; a failing candidate is rejected. A revised candidate needs a new, unused evaluation boundary.</w:t>
      </w:r>
    </w:p>
    <w:p>
      <w:pPr>
        <w:pStyle w:val="Heading2"/>
      </w:pPr>
      <w:r>
        <w:rPr>
          <w:rFonts w:ascii="Times New Roman" w:hAnsi="Times New Roman" w:eastAsia="Times New Roman"/>
          <w:b/>
          <w:sz w:val="22"/>
        </w:rPr>
        <w:t>3.4 Execution environment and repeated runs</w:t>
      </w:r>
    </w:p>
    <w:p>
      <w:pPr>
        <w:keepNext w:val="0"/>
        <w:spacing w:before="0" w:after="80" w:line="240" w:lineRule="auto"/>
        <w:ind w:firstLine="288"/>
        <w:jc w:val="both"/>
      </w:pPr>
      <w:r>
        <w:rPr>
          <w:rFonts w:ascii="Times New Roman" w:hAnsi="Times New Roman" w:eastAsia="Times New Roman"/>
          <w:sz w:val="20"/>
        </w:rPr>
        <w:t xml:space="preserve">The text experiments used local Ollama with </w:t>
      </w:r>
      <w:r>
        <w:rPr>
          <w:rFonts w:ascii="Courier New" w:hAnsi="Courier New" w:eastAsia="Times New Roman"/>
          <w:sz w:val="20"/>
        </w:rPr>
        <w:t>qwen3:14b</w:t>
      </w:r>
      <w:r>
        <w:rPr>
          <w:rFonts w:ascii="Times New Roman" w:hAnsi="Times New Roman" w:eastAsia="Times New Roman"/>
          <w:sz w:val="20"/>
        </w:rPr>
        <w:t xml:space="preserve"> on an Apple M5 Pro with 48 GB unified memory. The main runs were sequential, with temperature set to zero, thinking and streaming disabled, JSON output, and a 128-token response limit. Exact model identifiers and implementation details are recorded in Appendix B rather than in the main description.</w:t>
      </w:r>
    </w:p>
    <w:p>
      <w:pPr>
        <w:keepNext w:val="0"/>
        <w:spacing w:before="0" w:after="80" w:line="240" w:lineRule="auto"/>
        <w:ind w:firstLine="288"/>
        <w:jc w:val="both"/>
      </w:pPr>
      <w:r>
        <w:rPr>
          <w:rFonts w:ascii="Times New Roman" w:hAnsi="Times New Roman" w:eastAsia="Times New Roman"/>
          <w:sz w:val="20"/>
        </w:rPr>
        <w:t>We also performed three additional paired runs per dataset using the same fixed SOPs and prepared cases. These runs reused the same LEDGAR, CFPB, and SpamAssassin examples listed in Table 1. They check repeatability; they are not new tests on unseen examples. Each pair used the same inference seed and runtime configuration for its two variants. A seed sets the starting state for a pseudo-random procedure. Dataset selection, model inference, and bootstrap resampling use seeds for different purposes; changing an inference seed does not create a new dataset split.</w:t>
      </w:r>
    </w:p>
    <w:p>
      <w:pPr>
        <w:keepNext w:val="0"/>
        <w:spacing w:before="0" w:after="80" w:line="240" w:lineRule="auto"/>
        <w:ind w:firstLine="288"/>
        <w:jc w:val="both"/>
      </w:pPr>
      <w:r>
        <w:rPr>
          <w:rFonts w:ascii="Times New Roman" w:hAnsi="Times New Roman" w:eastAsia="Times New Roman"/>
          <w:sz w:val="20"/>
        </w:rPr>
        <w:t>The repeated runs used a more explicit runtime configuration, including structured output and two parallel requests. Two-worker concurrency was a constraint of the available local execution environment, not a requirement of PLaND or a factor tested by the experiment. Because these settings differ from the original sequential runs, we report the repeated results separately in Appendix A. The three repeats across three datasets add nine pairs, or eighteen workflow runs, for twelve pairs and twenty-four runs in the evidence reported here. This count excludes development, the earlier LEDGAR selection check, and other archived experiments.</w:t>
      </w:r>
    </w:p>
    <w:p>
      <w:pPr>
        <w:pStyle w:val="Heading1"/>
      </w:pPr>
      <w:r>
        <w:rPr>
          <w:rFonts w:ascii="Times New Roman" w:hAnsi="Times New Roman" w:eastAsia="Times New Roman"/>
          <w:b/>
          <w:sz w:val="24"/>
        </w:rPr>
        <w:t>4 Results</w:t>
      </w:r>
    </w:p>
    <w:p>
      <w:pPr>
        <w:keepNext w:val="0"/>
        <w:spacing w:before="0" w:after="80" w:line="240" w:lineRule="auto"/>
        <w:ind w:firstLine="288"/>
        <w:jc w:val="both"/>
      </w:pPr>
      <w:r>
        <w:rPr>
          <w:rFonts w:ascii="Times New Roman" w:hAnsi="Times New Roman" w:eastAsia="Times New Roman"/>
          <w:sz w:val="20"/>
        </w:rPr>
        <w:t>Table 2 presents the main results. All accuracy and token comparisons show the natural-language baseline first and the hybrid second. A pass means that all four criteria in Section 3.3 were met; it does not mean that accuracy was identical.</w:t>
      </w:r>
    </w:p>
    <w:p>
      <w:pPr>
        <w:sectPr>
          <w:type w:val="continuous"/>
          <w:pgSz w:w="11906" w:h="16838"/>
          <w:pgMar w:top="1077" w:right="1077" w:bottom="1077" w:left="1077" w:header="720" w:footer="720" w:gutter="0"/>
          <w:cols w:space="340" w:num="2"/>
          <w:docGrid w:linePitch="360"/>
        </w:sectPr>
      </w:pPr>
    </w:p>
    <w:p>
      <w:pPr>
        <w:keepNext/>
        <w:spacing w:before="80" w:after="40" w:line="240" w:lineRule="auto"/>
      </w:pPr>
      <w:r>
        <w:rPr>
          <w:rFonts w:ascii="Times New Roman" w:hAnsi="Times New Roman" w:eastAsia="Times New Roman"/>
          <w:b/>
          <w:sz w:val="20"/>
        </w:rPr>
        <w:t>Table 2. Main evaluation results</w:t>
      </w:r>
    </w:p>
    <w:tbl>
      <w:tblPr>
        <w:tblW w:type="dxa" w:w="9751"/>
        <w:jc w:val="left"/>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442"/>
        <w:gridCol w:w="1480"/>
        <w:gridCol w:w="2722"/>
        <w:gridCol w:w="1188"/>
        <w:gridCol w:w="1919"/>
      </w:tblGrid>
      <w:tr>
        <w:trPr>
          <w:tblHeader w:val="true"/>
          <w:cantSplit w:val="true"/>
        </w:trPr>
        <w:tc>
          <w:tcPr>
            <w:tcW w:type="dxa" w:w="2442"/>
            <w:tcMar>
              <w:top w:w="80" w:type="dxa"/>
              <w:start w:w="100" w:type="dxa"/>
              <w:bottom w:w="80" w:type="dxa"/>
              <w:end w:w="100" w:type="dxa"/>
            </w:tcMar>
            <w:shd w:fill="E8EEF3"/>
            <w:vAlign w:val="center"/>
          </w:tcPr>
          <w:p>
            <w:pPr>
              <w:keepNext/>
              <w:spacing w:before="0" w:after="0" w:line="240" w:lineRule="auto"/>
            </w:pPr>
            <w:r>
              <w:rPr>
                <w:rFonts w:ascii="Times New Roman" w:hAnsi="Times New Roman" w:eastAsia="Times New Roman"/>
                <w:b/>
                <w:sz w:val="20"/>
              </w:rPr>
              <w:t>Dataset and stage</w:t>
            </w:r>
          </w:p>
        </w:tc>
        <w:tc>
          <w:tcPr>
            <w:tcW w:type="dxa" w:w="1480"/>
            <w:tcMar>
              <w:top w:w="80" w:type="dxa"/>
              <w:start w:w="100" w:type="dxa"/>
              <w:bottom w:w="80" w:type="dxa"/>
              <w:end w:w="100" w:type="dxa"/>
            </w:tcMar>
            <w:shd w:fill="E8EEF3"/>
            <w:vAlign w:val="center"/>
          </w:tcPr>
          <w:p>
            <w:pPr>
              <w:keepNext/>
              <w:spacing w:before="0" w:after="0" w:line="240" w:lineRule="auto"/>
              <w:jc w:val="center"/>
            </w:pPr>
            <w:r>
              <w:rPr>
                <w:rFonts w:ascii="Times New Roman" w:hAnsi="Times New Roman" w:eastAsia="Times New Roman"/>
                <w:b/>
                <w:sz w:val="20"/>
              </w:rPr>
              <w:t>Accuracy</w:t>
            </w:r>
          </w:p>
        </w:tc>
        <w:tc>
          <w:tcPr>
            <w:tcW w:type="dxa" w:w="2722"/>
            <w:tcMar>
              <w:top w:w="80" w:type="dxa"/>
              <w:start w:w="100" w:type="dxa"/>
              <w:bottom w:w="80" w:type="dxa"/>
              <w:end w:w="100" w:type="dxa"/>
            </w:tcMar>
            <w:shd w:fill="E8EEF3"/>
            <w:vAlign w:val="center"/>
          </w:tcPr>
          <w:p>
            <w:pPr>
              <w:keepNext/>
              <w:spacing w:before="0" w:after="0" w:line="240" w:lineRule="auto"/>
              <w:jc w:val="center"/>
            </w:pPr>
            <w:r>
              <w:rPr>
                <w:rFonts w:ascii="Times New Roman" w:hAnsi="Times New Roman" w:eastAsia="Times New Roman"/>
                <w:b/>
                <w:sz w:val="20"/>
              </w:rPr>
              <w:t>Total model tokens</w:t>
            </w:r>
          </w:p>
        </w:tc>
        <w:tc>
          <w:tcPr>
            <w:tcW w:type="dxa" w:w="1188"/>
            <w:tcMar>
              <w:top w:w="80" w:type="dxa"/>
              <w:start w:w="100" w:type="dxa"/>
              <w:bottom w:w="80" w:type="dxa"/>
              <w:end w:w="100" w:type="dxa"/>
            </w:tcMar>
            <w:shd w:fill="E8EEF3"/>
            <w:vAlign w:val="center"/>
          </w:tcPr>
          <w:p>
            <w:pPr>
              <w:keepNext/>
              <w:spacing w:before="0" w:after="0" w:line="240" w:lineRule="auto"/>
              <w:jc w:val="center"/>
            </w:pPr>
            <w:r>
              <w:rPr>
                <w:rFonts w:ascii="Times New Roman" w:hAnsi="Times New Roman" w:eastAsia="Times New Roman"/>
                <w:b/>
                <w:sz w:val="20"/>
              </w:rPr>
              <w:t>Token reduction</w:t>
            </w:r>
          </w:p>
        </w:tc>
        <w:tc>
          <w:tcPr>
            <w:tcW w:type="dxa" w:w="1919"/>
            <w:tcMar>
              <w:top w:w="80" w:type="dxa"/>
              <w:start w:w="100" w:type="dxa"/>
              <w:bottom w:w="80" w:type="dxa"/>
              <w:end w:w="100" w:type="dxa"/>
            </w:tcMar>
            <w:shd w:fill="E8EEF3"/>
            <w:vAlign w:val="center"/>
          </w:tcPr>
          <w:p>
            <w:pPr>
              <w:keepNext/>
              <w:spacing w:before="0" w:after="0" w:line="240" w:lineRule="auto"/>
              <w:jc w:val="center"/>
            </w:pPr>
            <w:r>
              <w:rPr>
                <w:rFonts w:ascii="Times New Roman" w:hAnsi="Times New Roman" w:eastAsia="Times New Roman"/>
                <w:b/>
                <w:sz w:val="20"/>
              </w:rPr>
              <w:t>Decision</w:t>
            </w:r>
          </w:p>
        </w:tc>
      </w:tr>
      <w:tr>
        <w:trPr>
          <w:cantSplit w:val="true"/>
        </w:trPr>
        <w:tc>
          <w:tcPr>
            <w:tcW w:type="dxa" w:w="2442"/>
            <w:tcMar>
              <w:top w:w="80" w:type="dxa"/>
              <w:start w:w="100" w:type="dxa"/>
              <w:bottom w:w="80" w:type="dxa"/>
              <w:end w:w="100" w:type="dxa"/>
            </w:tcMar>
            <w:vAlign w:val="center"/>
          </w:tcPr>
          <w:p>
            <w:pPr>
              <w:keepNext/>
              <w:spacing w:before="0" w:after="0" w:line="240" w:lineRule="auto"/>
            </w:pPr>
            <w:r>
              <w:rPr>
                <w:rFonts w:ascii="Times New Roman" w:hAnsi="Times New Roman" w:eastAsia="Times New Roman"/>
                <w:b w:val="0"/>
                <w:sz w:val="20"/>
              </w:rPr>
              <w:t>LEDGAR, 1,000 cases</w:t>
            </w:r>
          </w:p>
        </w:tc>
        <w:tc>
          <w:tcPr>
            <w:tcW w:type="dxa" w:w="1480"/>
            <w:tcMar>
              <w:top w:w="80" w:type="dxa"/>
              <w:start w:w="100" w:type="dxa"/>
              <w:bottom w:w="80" w:type="dxa"/>
              <w:end w:w="100" w:type="dxa"/>
            </w:tcMar>
            <w:vAlign w:val="center"/>
          </w:tcPr>
          <w:p>
            <w:pPr>
              <w:keepNext/>
              <w:spacing w:before="0" w:after="0" w:line="240" w:lineRule="auto"/>
              <w:jc w:val="center"/>
            </w:pPr>
            <w:r>
              <w:rPr>
                <w:rFonts w:ascii="Times New Roman" w:hAnsi="Times New Roman" w:eastAsia="Times New Roman"/>
                <w:b w:val="0"/>
                <w:sz w:val="20"/>
              </w:rPr>
              <w:t>93.5% → 92.7%</w:t>
            </w:r>
          </w:p>
        </w:tc>
        <w:tc>
          <w:tcPr>
            <w:tcW w:type="dxa" w:w="2722"/>
            <w:tcMar>
              <w:top w:w="80" w:type="dxa"/>
              <w:start w:w="100" w:type="dxa"/>
              <w:bottom w:w="80" w:type="dxa"/>
              <w:end w:w="100" w:type="dxa"/>
            </w:tcMar>
            <w:vAlign w:val="center"/>
          </w:tcPr>
          <w:p>
            <w:pPr>
              <w:keepNext/>
              <w:spacing w:before="0" w:after="0" w:line="240" w:lineRule="auto"/>
              <w:jc w:val="center"/>
            </w:pPr>
            <w:r>
              <w:rPr>
                <w:rFonts w:ascii="Times New Roman" w:hAnsi="Times New Roman" w:eastAsia="Times New Roman"/>
                <w:b w:val="0"/>
                <w:sz w:val="20"/>
              </w:rPr>
              <w:t>376,088 → 225,573</w:t>
            </w:r>
          </w:p>
        </w:tc>
        <w:tc>
          <w:tcPr>
            <w:tcW w:type="dxa" w:w="1188"/>
            <w:tcMar>
              <w:top w:w="80" w:type="dxa"/>
              <w:start w:w="100" w:type="dxa"/>
              <w:bottom w:w="80" w:type="dxa"/>
              <w:end w:w="100" w:type="dxa"/>
            </w:tcMar>
            <w:vAlign w:val="center"/>
          </w:tcPr>
          <w:p>
            <w:pPr>
              <w:keepNext/>
              <w:spacing w:before="0" w:after="0" w:line="240" w:lineRule="auto"/>
              <w:jc w:val="center"/>
            </w:pPr>
            <w:r>
              <w:rPr>
                <w:rFonts w:ascii="Times New Roman" w:hAnsi="Times New Roman" w:eastAsia="Times New Roman"/>
                <w:b w:val="0"/>
                <w:sz w:val="20"/>
              </w:rPr>
              <w:t>40.02%</w:t>
            </w:r>
          </w:p>
        </w:tc>
        <w:tc>
          <w:tcPr>
            <w:tcW w:type="dxa" w:w="1919"/>
            <w:tcMar>
              <w:top w:w="80" w:type="dxa"/>
              <w:start w:w="100" w:type="dxa"/>
              <w:bottom w:w="80" w:type="dxa"/>
              <w:end w:w="100" w:type="dxa"/>
            </w:tcMar>
            <w:vAlign w:val="center"/>
          </w:tcPr>
          <w:p>
            <w:pPr>
              <w:keepNext/>
              <w:spacing w:before="0" w:after="0" w:line="240" w:lineRule="auto"/>
              <w:jc w:val="center"/>
            </w:pPr>
            <w:r>
              <w:rPr>
                <w:rFonts w:ascii="Times New Roman" w:hAnsi="Times New Roman" w:eastAsia="Times New Roman"/>
                <w:b w:val="0"/>
                <w:sz w:val="20"/>
              </w:rPr>
              <w:t>Pass</w:t>
            </w:r>
          </w:p>
        </w:tc>
      </w:tr>
      <w:tr>
        <w:trPr>
          <w:cantSplit w:val="true"/>
        </w:trPr>
        <w:tc>
          <w:tcPr>
            <w:tcW w:type="dxa" w:w="2442"/>
            <w:tcMar>
              <w:top w:w="80" w:type="dxa"/>
              <w:start w:w="100" w:type="dxa"/>
              <w:bottom w:w="80" w:type="dxa"/>
              <w:end w:w="100" w:type="dxa"/>
            </w:tcMar>
            <w:vAlign w:val="center"/>
          </w:tcPr>
          <w:p>
            <w:pPr>
              <w:keepNext/>
              <w:spacing w:before="0" w:after="0" w:line="240" w:lineRule="auto"/>
            </w:pPr>
            <w:r>
              <w:rPr>
                <w:rFonts w:ascii="Times New Roman" w:hAnsi="Times New Roman" w:eastAsia="Times New Roman"/>
                <w:b w:val="0"/>
                <w:sz w:val="20"/>
              </w:rPr>
              <w:t>CFPB validation, 100 cases</w:t>
            </w:r>
          </w:p>
        </w:tc>
        <w:tc>
          <w:tcPr>
            <w:tcW w:type="dxa" w:w="1480"/>
            <w:tcMar>
              <w:top w:w="80" w:type="dxa"/>
              <w:start w:w="100" w:type="dxa"/>
              <w:bottom w:w="80" w:type="dxa"/>
              <w:end w:w="100" w:type="dxa"/>
            </w:tcMar>
            <w:vAlign w:val="center"/>
          </w:tcPr>
          <w:p>
            <w:pPr>
              <w:keepNext/>
              <w:spacing w:before="0" w:after="0" w:line="240" w:lineRule="auto"/>
              <w:jc w:val="center"/>
            </w:pPr>
            <w:r>
              <w:rPr>
                <w:rFonts w:ascii="Times New Roman" w:hAnsi="Times New Roman" w:eastAsia="Times New Roman"/>
                <w:b w:val="0"/>
                <w:sz w:val="20"/>
              </w:rPr>
              <w:t>79.0% → 72.0%</w:t>
            </w:r>
          </w:p>
        </w:tc>
        <w:tc>
          <w:tcPr>
            <w:tcW w:type="dxa" w:w="2722"/>
            <w:tcMar>
              <w:top w:w="80" w:type="dxa"/>
              <w:start w:w="100" w:type="dxa"/>
              <w:bottom w:w="80" w:type="dxa"/>
              <w:end w:w="100" w:type="dxa"/>
            </w:tcMar>
            <w:vAlign w:val="center"/>
          </w:tcPr>
          <w:p>
            <w:pPr>
              <w:keepNext/>
              <w:spacing w:before="0" w:after="0" w:line="240" w:lineRule="auto"/>
              <w:jc w:val="center"/>
            </w:pPr>
            <w:r>
              <w:rPr>
                <w:rFonts w:ascii="Times New Roman" w:hAnsi="Times New Roman" w:eastAsia="Times New Roman"/>
                <w:b w:val="0"/>
                <w:sz w:val="20"/>
              </w:rPr>
              <w:t>60,514 → 35,247</w:t>
            </w:r>
          </w:p>
        </w:tc>
        <w:tc>
          <w:tcPr>
            <w:tcW w:type="dxa" w:w="1188"/>
            <w:tcMar>
              <w:top w:w="80" w:type="dxa"/>
              <w:start w:w="100" w:type="dxa"/>
              <w:bottom w:w="80" w:type="dxa"/>
              <w:end w:w="100" w:type="dxa"/>
            </w:tcMar>
            <w:vAlign w:val="center"/>
          </w:tcPr>
          <w:p>
            <w:pPr>
              <w:keepNext/>
              <w:spacing w:before="0" w:after="0" w:line="240" w:lineRule="auto"/>
              <w:jc w:val="center"/>
            </w:pPr>
            <w:r>
              <w:rPr>
                <w:rFonts w:ascii="Times New Roman" w:hAnsi="Times New Roman" w:eastAsia="Times New Roman"/>
                <w:b w:val="0"/>
                <w:sz w:val="20"/>
              </w:rPr>
              <w:t>41.75%</w:t>
            </w:r>
          </w:p>
        </w:tc>
        <w:tc>
          <w:tcPr>
            <w:tcW w:type="dxa" w:w="1919"/>
            <w:tcMar>
              <w:top w:w="80" w:type="dxa"/>
              <w:start w:w="100" w:type="dxa"/>
              <w:bottom w:w="80" w:type="dxa"/>
              <w:end w:w="100" w:type="dxa"/>
            </w:tcMar>
            <w:vAlign w:val="center"/>
          </w:tcPr>
          <w:p>
            <w:pPr>
              <w:keepNext/>
              <w:spacing w:before="0" w:after="0" w:line="240" w:lineRule="auto"/>
              <w:jc w:val="center"/>
            </w:pPr>
            <w:r>
              <w:rPr>
                <w:rFonts w:ascii="Times New Roman" w:hAnsi="Times New Roman" w:eastAsia="Times New Roman"/>
                <w:b w:val="0"/>
                <w:sz w:val="20"/>
              </w:rPr>
              <w:t>Reject; test not run</w:t>
            </w:r>
          </w:p>
        </w:tc>
      </w:tr>
      <w:tr>
        <w:trPr>
          <w:cantSplit w:val="true"/>
        </w:trPr>
        <w:tc>
          <w:tcPr>
            <w:tcW w:type="dxa" w:w="2442"/>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SpamAssassin validation, 100 cases</w:t>
            </w:r>
          </w:p>
        </w:tc>
        <w:tc>
          <w:tcPr>
            <w:tcW w:type="dxa" w:w="1480"/>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90.0% → 86.0%</w:t>
            </w:r>
          </w:p>
        </w:tc>
        <w:tc>
          <w:tcPr>
            <w:tcW w:type="dxa" w:w="2722"/>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238,077 → 228,359</w:t>
            </w:r>
          </w:p>
        </w:tc>
        <w:tc>
          <w:tcPr>
            <w:tcW w:type="dxa" w:w="1188"/>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4.08%</w:t>
            </w:r>
          </w:p>
        </w:tc>
        <w:tc>
          <w:tcPr>
            <w:tcW w:type="dxa" w:w="1919"/>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Reject; test not run</w:t>
            </w:r>
          </w:p>
        </w:tc>
      </w:tr>
    </w:tbl>
    <w:p>
      <w:pPr>
        <w:keepNext w:val="0"/>
        <w:spacing w:before="0" w:after="40" w:line="240" w:lineRule="auto"/>
      </w:pPr>
    </w:p>
    <w:p>
      <w:pPr>
        <w:sectPr>
          <w:type w:val="continuous"/>
          <w:pgSz w:w="11906" w:h="16838"/>
          <w:pgMar w:top="1077" w:right="1077" w:bottom="1077" w:left="1077" w:header="720" w:footer="720" w:gutter="0"/>
          <w:cols w:space="340" w:num="1"/>
          <w:docGrid w:linePitch="360"/>
        </w:sectPr>
      </w:pPr>
    </w:p>
    <w:p>
      <w:pPr>
        <w:keepNext w:val="0"/>
        <w:spacing w:before="0" w:after="80" w:line="240" w:lineRule="auto"/>
        <w:ind w:firstLine="288"/>
        <w:jc w:val="both"/>
      </w:pPr>
      <w:r>
        <w:rPr>
          <w:rFonts w:ascii="Times New Roman" w:hAnsi="Times New Roman" w:eastAsia="Times New Roman"/>
          <w:sz w:val="20"/>
        </w:rPr>
        <w:t>Table 3 supplies the uncertainty estimates used for these decisions. Accuracy changes and their intervals are in percentage points. Token-reduction intervals are percentages of baseline token use.</w:t>
      </w:r>
    </w:p>
    <w:p>
      <w:pPr>
        <w:sectPr>
          <w:type w:val="continuous"/>
          <w:pgSz w:w="11906" w:h="16838"/>
          <w:pgMar w:top="1077" w:right="1077" w:bottom="1077" w:left="1077" w:header="720" w:footer="720" w:gutter="0"/>
          <w:cols w:space="340" w:num="2"/>
          <w:docGrid w:linePitch="360"/>
        </w:sectPr>
      </w:pPr>
    </w:p>
    <w:p>
      <w:pPr>
        <w:keepNext/>
        <w:spacing w:before="80" w:after="40" w:line="240" w:lineRule="auto"/>
      </w:pPr>
      <w:r>
        <w:rPr>
          <w:rFonts w:ascii="Times New Roman" w:hAnsi="Times New Roman" w:eastAsia="Times New Roman"/>
          <w:b/>
          <w:sz w:val="20"/>
        </w:rPr>
        <w:t>Table 3. Paired uncertainty estimates for the main comparisons</w:t>
      </w:r>
    </w:p>
    <w:tbl>
      <w:tblPr>
        <w:tblW w:type="dxa" w:w="9751"/>
        <w:jc w:val="left"/>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442"/>
        <w:gridCol w:w="1653"/>
        <w:gridCol w:w="2830"/>
        <w:gridCol w:w="2826"/>
      </w:tblGrid>
      <w:tr>
        <w:trPr>
          <w:tblHeader w:val="true"/>
          <w:cantSplit w:val="true"/>
        </w:trPr>
        <w:tc>
          <w:tcPr>
            <w:tcW w:type="dxa" w:w="2442"/>
            <w:tcMar>
              <w:top w:w="80" w:type="dxa"/>
              <w:start w:w="100" w:type="dxa"/>
              <w:bottom w:w="80" w:type="dxa"/>
              <w:end w:w="100" w:type="dxa"/>
            </w:tcMar>
            <w:shd w:fill="E8EEF3"/>
            <w:vAlign w:val="center"/>
          </w:tcPr>
          <w:p>
            <w:pPr>
              <w:keepNext/>
              <w:spacing w:before="0" w:after="0" w:line="240" w:lineRule="auto"/>
            </w:pPr>
            <w:r>
              <w:rPr>
                <w:rFonts w:ascii="Times New Roman" w:hAnsi="Times New Roman" w:eastAsia="Times New Roman"/>
                <w:b/>
                <w:sz w:val="20"/>
              </w:rPr>
              <w:t>Dataset and stage</w:t>
            </w:r>
          </w:p>
        </w:tc>
        <w:tc>
          <w:tcPr>
            <w:tcW w:type="dxa" w:w="1653"/>
            <w:tcMar>
              <w:top w:w="80" w:type="dxa"/>
              <w:start w:w="100" w:type="dxa"/>
              <w:bottom w:w="80" w:type="dxa"/>
              <w:end w:w="100" w:type="dxa"/>
            </w:tcMar>
            <w:shd w:fill="E8EEF3"/>
            <w:vAlign w:val="center"/>
          </w:tcPr>
          <w:p>
            <w:pPr>
              <w:keepNext/>
              <w:spacing w:before="0" w:after="0" w:line="240" w:lineRule="auto"/>
              <w:jc w:val="center"/>
            </w:pPr>
            <w:r>
              <w:rPr>
                <w:rFonts w:ascii="Times New Roman" w:hAnsi="Times New Roman" w:eastAsia="Times New Roman"/>
                <w:b/>
                <w:sz w:val="20"/>
              </w:rPr>
              <w:t>Accuracy change</w:t>
            </w:r>
          </w:p>
        </w:tc>
        <w:tc>
          <w:tcPr>
            <w:tcW w:type="dxa" w:w="2830"/>
            <w:tcMar>
              <w:top w:w="80" w:type="dxa"/>
              <w:start w:w="100" w:type="dxa"/>
              <w:bottom w:w="80" w:type="dxa"/>
              <w:end w:w="100" w:type="dxa"/>
            </w:tcMar>
            <w:shd w:fill="E8EEF3"/>
            <w:vAlign w:val="center"/>
          </w:tcPr>
          <w:p>
            <w:pPr>
              <w:keepNext/>
              <w:spacing w:before="0" w:after="0" w:line="240" w:lineRule="auto"/>
              <w:jc w:val="center"/>
            </w:pPr>
            <w:r>
              <w:rPr>
                <w:rFonts w:ascii="Times New Roman" w:hAnsi="Times New Roman" w:eastAsia="Times New Roman"/>
                <w:b/>
                <w:sz w:val="20"/>
              </w:rPr>
              <w:t>Accuracy change 95% interval</w:t>
            </w:r>
          </w:p>
        </w:tc>
        <w:tc>
          <w:tcPr>
            <w:tcW w:type="dxa" w:w="2826"/>
            <w:tcMar>
              <w:top w:w="80" w:type="dxa"/>
              <w:start w:w="100" w:type="dxa"/>
              <w:bottom w:w="80" w:type="dxa"/>
              <w:end w:w="100" w:type="dxa"/>
            </w:tcMar>
            <w:shd w:fill="E8EEF3"/>
            <w:vAlign w:val="center"/>
          </w:tcPr>
          <w:p>
            <w:pPr>
              <w:keepNext/>
              <w:spacing w:before="0" w:after="0" w:line="240" w:lineRule="auto"/>
              <w:jc w:val="center"/>
            </w:pPr>
            <w:r>
              <w:rPr>
                <w:rFonts w:ascii="Times New Roman" w:hAnsi="Times New Roman" w:eastAsia="Times New Roman"/>
                <w:b/>
                <w:sz w:val="20"/>
              </w:rPr>
              <w:t>Token reduction 95% interval</w:t>
            </w:r>
          </w:p>
        </w:tc>
      </w:tr>
      <w:tr>
        <w:trPr>
          <w:cantSplit w:val="true"/>
        </w:trPr>
        <w:tc>
          <w:tcPr>
            <w:tcW w:type="dxa" w:w="2442"/>
            <w:tcMar>
              <w:top w:w="80" w:type="dxa"/>
              <w:start w:w="100" w:type="dxa"/>
              <w:bottom w:w="80" w:type="dxa"/>
              <w:end w:w="100" w:type="dxa"/>
            </w:tcMar>
            <w:vAlign w:val="center"/>
          </w:tcPr>
          <w:p>
            <w:pPr>
              <w:keepNext/>
              <w:spacing w:before="0" w:after="0" w:line="240" w:lineRule="auto"/>
            </w:pPr>
            <w:r>
              <w:rPr>
                <w:rFonts w:ascii="Times New Roman" w:hAnsi="Times New Roman" w:eastAsia="Times New Roman"/>
                <w:b w:val="0"/>
                <w:sz w:val="20"/>
              </w:rPr>
              <w:t>LEDGAR</w:t>
            </w:r>
          </w:p>
        </w:tc>
        <w:tc>
          <w:tcPr>
            <w:tcW w:type="dxa" w:w="1653"/>
            <w:tcMar>
              <w:top w:w="80" w:type="dxa"/>
              <w:start w:w="100" w:type="dxa"/>
              <w:bottom w:w="80" w:type="dxa"/>
              <w:end w:w="100" w:type="dxa"/>
            </w:tcMar>
            <w:vAlign w:val="center"/>
          </w:tcPr>
          <w:p>
            <w:pPr>
              <w:keepNext/>
              <w:spacing w:before="0" w:after="0" w:line="240" w:lineRule="auto"/>
              <w:jc w:val="center"/>
            </w:pPr>
            <w:r>
              <w:rPr>
                <w:rFonts w:ascii="Times New Roman" w:hAnsi="Times New Roman" w:eastAsia="Times New Roman"/>
                <w:b w:val="0"/>
                <w:sz w:val="20"/>
              </w:rPr>
              <w:t>−0.8 points</w:t>
            </w:r>
          </w:p>
        </w:tc>
        <w:tc>
          <w:tcPr>
            <w:tcW w:type="dxa" w:w="2830"/>
            <w:tcMar>
              <w:top w:w="80" w:type="dxa"/>
              <w:start w:w="100" w:type="dxa"/>
              <w:bottom w:w="80" w:type="dxa"/>
              <w:end w:w="100" w:type="dxa"/>
            </w:tcMar>
            <w:vAlign w:val="center"/>
          </w:tcPr>
          <w:p>
            <w:pPr>
              <w:keepNext/>
              <w:spacing w:before="0" w:after="0" w:line="240" w:lineRule="auto"/>
              <w:jc w:val="center"/>
            </w:pPr>
            <w:r>
              <w:rPr>
                <w:rFonts w:ascii="Times New Roman" w:hAnsi="Times New Roman" w:eastAsia="Times New Roman"/>
                <w:b w:val="0"/>
                <w:sz w:val="20"/>
              </w:rPr>
              <w:t>−1.6 to 0.0 points</w:t>
            </w:r>
          </w:p>
        </w:tc>
        <w:tc>
          <w:tcPr>
            <w:tcW w:type="dxa" w:w="2826"/>
            <w:tcMar>
              <w:top w:w="80" w:type="dxa"/>
              <w:start w:w="100" w:type="dxa"/>
              <w:bottom w:w="80" w:type="dxa"/>
              <w:end w:w="100" w:type="dxa"/>
            </w:tcMar>
            <w:vAlign w:val="center"/>
          </w:tcPr>
          <w:p>
            <w:pPr>
              <w:keepNext/>
              <w:spacing w:before="0" w:after="0" w:line="240" w:lineRule="auto"/>
              <w:jc w:val="center"/>
            </w:pPr>
            <w:r>
              <w:rPr>
                <w:rFonts w:ascii="Times New Roman" w:hAnsi="Times New Roman" w:eastAsia="Times New Roman"/>
                <w:b w:val="0"/>
                <w:sz w:val="20"/>
              </w:rPr>
              <w:t>37.00% to 43.08%</w:t>
            </w:r>
          </w:p>
        </w:tc>
      </w:tr>
      <w:tr>
        <w:trPr>
          <w:cantSplit w:val="true"/>
        </w:trPr>
        <w:tc>
          <w:tcPr>
            <w:tcW w:type="dxa" w:w="2442"/>
            <w:tcMar>
              <w:top w:w="80" w:type="dxa"/>
              <w:start w:w="100" w:type="dxa"/>
              <w:bottom w:w="80" w:type="dxa"/>
              <w:end w:w="100" w:type="dxa"/>
            </w:tcMar>
            <w:vAlign w:val="center"/>
          </w:tcPr>
          <w:p>
            <w:pPr>
              <w:keepNext/>
              <w:spacing w:before="0" w:after="0" w:line="240" w:lineRule="auto"/>
            </w:pPr>
            <w:r>
              <w:rPr>
                <w:rFonts w:ascii="Times New Roman" w:hAnsi="Times New Roman" w:eastAsia="Times New Roman"/>
                <w:b w:val="0"/>
                <w:sz w:val="20"/>
              </w:rPr>
              <w:t>CFPB validation</w:t>
            </w:r>
          </w:p>
        </w:tc>
        <w:tc>
          <w:tcPr>
            <w:tcW w:type="dxa" w:w="1653"/>
            <w:tcMar>
              <w:top w:w="80" w:type="dxa"/>
              <w:start w:w="100" w:type="dxa"/>
              <w:bottom w:w="80" w:type="dxa"/>
              <w:end w:w="100" w:type="dxa"/>
            </w:tcMar>
            <w:vAlign w:val="center"/>
          </w:tcPr>
          <w:p>
            <w:pPr>
              <w:keepNext/>
              <w:spacing w:before="0" w:after="0" w:line="240" w:lineRule="auto"/>
              <w:jc w:val="center"/>
            </w:pPr>
            <w:r>
              <w:rPr>
                <w:rFonts w:ascii="Times New Roman" w:hAnsi="Times New Roman" w:eastAsia="Times New Roman"/>
                <w:b w:val="0"/>
                <w:sz w:val="20"/>
              </w:rPr>
              <w:t>−7.0 points</w:t>
            </w:r>
          </w:p>
        </w:tc>
        <w:tc>
          <w:tcPr>
            <w:tcW w:type="dxa" w:w="2830"/>
            <w:tcMar>
              <w:top w:w="80" w:type="dxa"/>
              <w:start w:w="100" w:type="dxa"/>
              <w:bottom w:w="80" w:type="dxa"/>
              <w:end w:w="100" w:type="dxa"/>
            </w:tcMar>
            <w:vAlign w:val="center"/>
          </w:tcPr>
          <w:p>
            <w:pPr>
              <w:keepNext/>
              <w:spacing w:before="0" w:after="0" w:line="240" w:lineRule="auto"/>
              <w:jc w:val="center"/>
            </w:pPr>
            <w:r>
              <w:rPr>
                <w:rFonts w:ascii="Times New Roman" w:hAnsi="Times New Roman" w:eastAsia="Times New Roman"/>
                <w:b w:val="0"/>
                <w:sz w:val="20"/>
              </w:rPr>
              <w:t>−13.0 to −2.0 points</w:t>
            </w:r>
          </w:p>
        </w:tc>
        <w:tc>
          <w:tcPr>
            <w:tcW w:type="dxa" w:w="2826"/>
            <w:tcMar>
              <w:top w:w="80" w:type="dxa"/>
              <w:start w:w="100" w:type="dxa"/>
              <w:bottom w:w="80" w:type="dxa"/>
              <w:end w:w="100" w:type="dxa"/>
            </w:tcMar>
            <w:vAlign w:val="center"/>
          </w:tcPr>
          <w:p>
            <w:pPr>
              <w:keepNext/>
              <w:spacing w:before="0" w:after="0" w:line="240" w:lineRule="auto"/>
              <w:jc w:val="center"/>
            </w:pPr>
            <w:r>
              <w:rPr>
                <w:rFonts w:ascii="Times New Roman" w:hAnsi="Times New Roman" w:eastAsia="Times New Roman"/>
                <w:b w:val="0"/>
                <w:sz w:val="20"/>
              </w:rPr>
              <w:t>31.30% to 53.14%</w:t>
            </w:r>
          </w:p>
        </w:tc>
      </w:tr>
      <w:tr>
        <w:trPr>
          <w:cantSplit w:val="true"/>
        </w:trPr>
        <w:tc>
          <w:tcPr>
            <w:tcW w:type="dxa" w:w="2442"/>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SpamAssassin validation</w:t>
            </w:r>
          </w:p>
        </w:tc>
        <w:tc>
          <w:tcPr>
            <w:tcW w:type="dxa" w:w="1653"/>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−4.0 points</w:t>
            </w:r>
          </w:p>
        </w:tc>
        <w:tc>
          <w:tcPr>
            <w:tcW w:type="dxa" w:w="2830"/>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−9.0 to +1.0 points</w:t>
            </w:r>
          </w:p>
        </w:tc>
        <w:tc>
          <w:tcPr>
            <w:tcW w:type="dxa" w:w="2826"/>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1.02% to 8.50%</w:t>
            </w:r>
          </w:p>
        </w:tc>
      </w:tr>
    </w:tbl>
    <w:p>
      <w:pPr>
        <w:keepNext w:val="0"/>
        <w:spacing w:before="0" w:after="40" w:line="240" w:lineRule="auto"/>
      </w:pPr>
    </w:p>
    <w:p>
      <w:pPr>
        <w:sectPr>
          <w:type w:val="continuous"/>
          <w:pgSz w:w="11906" w:h="16838"/>
          <w:pgMar w:top="1077" w:right="1077" w:bottom="1077" w:left="1077" w:header="720" w:footer="720" w:gutter="0"/>
          <w:cols w:space="340" w:num="1"/>
          <w:docGrid w:linePitch="360"/>
        </w:sectPr>
      </w:pPr>
    </w:p>
    <w:p>
      <w:pPr>
        <w:pStyle w:val="Heading2"/>
      </w:pPr>
      <w:r>
        <w:rPr>
          <w:rFonts w:ascii="Times New Roman" w:hAnsi="Times New Roman" w:eastAsia="Times New Roman"/>
          <w:b/>
          <w:sz w:val="22"/>
        </w:rPr>
        <w:t>4.1 LEDGAR</w:t>
      </w:r>
    </w:p>
    <w:p>
      <w:pPr>
        <w:keepNext w:val="0"/>
        <w:spacing w:before="0" w:after="80" w:line="240" w:lineRule="auto"/>
        <w:ind w:firstLine="288"/>
        <w:jc w:val="both"/>
      </w:pPr>
      <w:r>
        <w:rPr>
          <w:rFonts w:ascii="Times New Roman" w:hAnsi="Times New Roman" w:eastAsia="Times New Roman"/>
          <w:sz w:val="20"/>
        </w:rPr>
        <w:t>On the 1,000 LEDGAR clauses, the baseline classified 935 cases correctly and the hybrid classified 927 correctly: eight fewer correct answers, or a 0.8-percentage-point decrease. The paired interval ranged from a 1.6-point decrease to no change. Its lower end remained within the study's two-point tolerance, so the quality criterion passed. This result supports acceptance under that tolerance, not a claim that quality was unchanged.</w:t>
      </w:r>
    </w:p>
    <w:p>
      <w:pPr>
        <w:keepNext w:val="0"/>
        <w:spacing w:before="0" w:after="80" w:line="240" w:lineRule="auto"/>
        <w:ind w:firstLine="288"/>
        <w:jc w:val="both"/>
      </w:pPr>
      <w:r>
        <w:rPr>
          <w:rFonts w:ascii="Times New Roman" w:hAnsi="Times New Roman" w:eastAsia="Times New Roman"/>
          <w:sz w:val="20"/>
        </w:rPr>
        <w:t>The hybrid handled 411 clauses through the script and sent the remaining 589 to the model. It therefore removed 41.1% of model calls and reduced tokens from 376,088 to 225,573, a 40.02% decrease. Of the 411 script-routed clauses, 395 were classified correctly, giving measured routing accuracy of 96.11%. This illustrates why the script's fixed 0.99 marker should not be read as measured precision.</w:t>
      </w:r>
    </w:p>
    <w:p>
      <w:pPr>
        <w:keepNext w:val="0"/>
        <w:spacing w:before="0" w:after="80" w:line="240" w:lineRule="auto"/>
        <w:ind w:firstLine="288"/>
        <w:jc w:val="both"/>
      </w:pPr>
      <w:r>
        <w:rPr>
          <w:rFonts w:ascii="Times New Roman" w:hAnsi="Times New Roman" w:eastAsia="Times New Roman"/>
          <w:sz w:val="20"/>
        </w:rPr>
        <w:t>The token records distinguish two locations of savings. The baseline used 146,366 tokens on the 411 clauses that the hybrid handled without the model. On the remaining clauses, tokens decreased from 229,722 to 225,573, a difference of 4,149. Thus, 97.24% of the total 150,515-token saving occurred on bypassed calls, and 2.76% occurred on the fallback cases. The fallback SOP was shorter, but this accounting does not separate the effect of shorter input instructions from changes in generated output. The combined SOP change remains a limitation of attributing the full result to deterministic routing.</w:t>
      </w:r>
    </w:p>
    <w:p>
      <w:pPr>
        <w:pStyle w:val="Heading2"/>
      </w:pPr>
      <w:r>
        <w:rPr>
          <w:rFonts w:ascii="Times New Roman" w:hAnsi="Times New Roman" w:eastAsia="Times New Roman"/>
          <w:b/>
          <w:sz w:val="22"/>
        </w:rPr>
        <w:t>4.2 CFPB</w:t>
      </w:r>
    </w:p>
    <w:p>
      <w:pPr>
        <w:keepNext w:val="0"/>
        <w:spacing w:before="0" w:after="80" w:line="240" w:lineRule="auto"/>
        <w:ind w:firstLine="288"/>
        <w:jc w:val="both"/>
      </w:pPr>
      <w:r>
        <w:rPr>
          <w:rFonts w:ascii="Times New Roman" w:hAnsi="Times New Roman" w:eastAsia="Times New Roman"/>
          <w:sz w:val="20"/>
        </w:rPr>
        <w:t>CFPB's hybrid reduced model calls from 100 to 58 and tokens by 41.75%, but accuracy fell from 79% to 72%. Both variants were below the 80% minimum, and the seven-point observed decrease also failed the relative-quality requirement. The candidate was rejected and the reserved test was not evaluated. Lower token use did not compensate for the loss in classification quality.</w:t>
      </w:r>
    </w:p>
    <w:p>
      <w:pPr>
        <w:pStyle w:val="Heading2"/>
      </w:pPr>
      <w:r>
        <w:rPr>
          <w:rFonts w:ascii="Times New Roman" w:hAnsi="Times New Roman" w:eastAsia="Times New Roman"/>
          <w:b/>
          <w:sz w:val="22"/>
        </w:rPr>
        <w:t>4.3 SpamAssassin</w:t>
      </w:r>
    </w:p>
    <w:p>
      <w:pPr>
        <w:keepNext w:val="0"/>
        <w:spacing w:before="0" w:after="80" w:line="240" w:lineRule="auto"/>
        <w:ind w:firstLine="288"/>
        <w:jc w:val="both"/>
      </w:pPr>
      <w:r>
        <w:rPr>
          <w:rFonts w:ascii="Times New Roman" w:hAnsi="Times New Roman" w:eastAsia="Times New Roman"/>
          <w:sz w:val="20"/>
        </w:rPr>
        <w:t>SpamAssassin's hybrid reduced model calls from 100 to 97. Accuracy fell from 90% to 86%, and token use fell only 4.08%. It failed both the allowed-loss criterion and the 5% token-reduction target, so the reserved test was not evaluated. The three script-routed emails were classified correctly by both variants; the observed accuracy decrease occurred among cases sent to the model. This makes the fallback wording relevant even when the executable rules themselves make no errors on the routed cases.</w:t>
      </w:r>
    </w:p>
    <w:p>
      <w:pPr>
        <w:pStyle w:val="Heading1"/>
      </w:pPr>
      <w:r>
        <w:rPr>
          <w:rFonts w:ascii="Times New Roman" w:hAnsi="Times New Roman" w:eastAsia="Times New Roman"/>
          <w:b/>
          <w:sz w:val="24"/>
        </w:rPr>
        <w:t>5 Discussion</w:t>
      </w:r>
    </w:p>
    <w:p>
      <w:pPr>
        <w:pStyle w:val="Heading2"/>
      </w:pPr>
      <w:r>
        <w:rPr>
          <w:rFonts w:ascii="Times New Roman" w:hAnsi="Times New Roman" w:eastAsia="Times New Roman"/>
          <w:b/>
          <w:sz w:val="22"/>
        </w:rPr>
        <w:t>5.1 Model reasoning as a resource</w:t>
      </w:r>
    </w:p>
    <w:p>
      <w:pPr>
        <w:keepNext w:val="0"/>
        <w:spacing w:before="0" w:after="80" w:line="240" w:lineRule="auto"/>
        <w:ind w:firstLine="288"/>
        <w:jc w:val="both"/>
      </w:pPr>
      <w:r>
        <w:rPr>
          <w:rFonts w:ascii="Times New Roman" w:hAnsi="Times New Roman" w:eastAsia="Times New Roman"/>
          <w:sz w:val="20"/>
        </w:rPr>
        <w:t>The main systems argument is that non-deterministic reasoning should be allocated where it is needed rather than applied uniformly across a workflow. Business processes often contain both stable and ambiguous decisions. When stable regions are repeatedly routed through a language model, the workflow spends model calls and tokens on work that ordinary computation may be able to execute directly.</w:t>
      </w:r>
    </w:p>
    <w:p>
      <w:pPr>
        <w:keepNext w:val="0"/>
        <w:spacing w:before="0" w:after="80" w:line="240" w:lineRule="auto"/>
        <w:ind w:firstLine="288"/>
        <w:jc w:val="both"/>
      </w:pPr>
      <w:r>
        <w:rPr>
          <w:rFonts w:ascii="Times New Roman" w:hAnsi="Times New Roman" w:eastAsia="Times New Roman"/>
          <w:sz w:val="20"/>
        </w:rPr>
        <w:t>PLaND provides a controlled way to move that boundary. The English baseline offers a flexible starting point when the structure of the task is not fully known. Development runs reveal errors, repeated reasoning, and expense. The evolver skill guides a host agent to propose a bounded change. Evaluation then determines whether the resulting workflow meets the chosen requirements. This approach may be useful in domains such as fraud detection, where known patterns can be encoded directly while novel narratives or combinations still require contextual reasoning. Fraud detection itself was not evaluated here.</w:t>
      </w:r>
    </w:p>
    <w:p>
      <w:pPr>
        <w:keepNext w:val="0"/>
        <w:spacing w:before="0" w:after="80" w:line="240" w:lineRule="auto"/>
        <w:ind w:firstLine="288"/>
        <w:jc w:val="both"/>
      </w:pPr>
      <w:r>
        <w:rPr>
          <w:rFonts w:ascii="Times New Roman" w:hAnsi="Times New Roman" w:eastAsia="Times New Roman"/>
          <w:sz w:val="20"/>
        </w:rPr>
        <w:t>The useful unit of change is not necessarily an entire workflow step. LEDGAR shows that some inputs to a semantic classification task can be handled by explicit rules, while the remaining inputs still require the model. Contract-clause classification remains a semantic problem overall. Its more recognizable cases nevertheless offer opportunities to avoid model calls, beyond mechanical operations such as counting or schema validation.</w:t>
      </w:r>
    </w:p>
    <w:p>
      <w:pPr>
        <w:keepNext w:val="0"/>
        <w:spacing w:before="0" w:after="80" w:line="240" w:lineRule="auto"/>
        <w:ind w:firstLine="288"/>
        <w:jc w:val="both"/>
      </w:pPr>
      <w:r>
        <w:rPr>
          <w:rFonts w:ascii="Times New Roman" w:hAnsi="Times New Roman" w:eastAsia="Times New Roman"/>
          <w:sz w:val="20"/>
        </w:rPr>
        <w:t>The benefit must be considered alongside the error tolerance. LEDGAR saved roughly two fifths of tokens but produced eight additional errors per 1,000 test cases. Whether that tradeoff is acceptable depends on the application. CFPB and SpamAssassin did not satisfy the same evaluation criteria. The three results support evaluating each proposed substitution rather than assuming that fewer model calls imply an acceptable workflow.</w:t>
      </w:r>
    </w:p>
    <w:p>
      <w:pPr>
        <w:pStyle w:val="Heading2"/>
      </w:pPr>
      <w:r>
        <w:rPr>
          <w:rFonts w:ascii="Times New Roman" w:hAnsi="Times New Roman" w:eastAsia="Times New Roman"/>
          <w:b/>
          <w:sz w:val="22"/>
        </w:rPr>
        <w:t>5.2 What token savings measure</w:t>
      </w:r>
    </w:p>
    <w:p>
      <w:pPr>
        <w:keepNext w:val="0"/>
        <w:spacing w:before="0" w:after="80" w:line="240" w:lineRule="auto"/>
        <w:ind w:firstLine="288"/>
        <w:jc w:val="both"/>
      </w:pPr>
      <w:r>
        <w:rPr>
          <w:rFonts w:ascii="Times New Roman" w:hAnsi="Times New Roman" w:eastAsia="Times New Roman"/>
          <w:sz w:val="20"/>
        </w:rPr>
        <w:t>PLaND's generation instructions ask the agent to consider resource use beyond tokens, including CPU, memory, storage, network access, caching, and setup work. The framework can represent different expense objectives. In the experiments reported here, however, the acceptance decision used model tokens as its only efficiency measure. Model-call counts explain the mechanism; they are not a second independently optimized objective.</w:t>
      </w:r>
    </w:p>
    <w:p>
      <w:pPr>
        <w:keepNext w:val="0"/>
        <w:spacing w:before="0" w:after="80" w:line="240" w:lineRule="auto"/>
        <w:ind w:firstLine="288"/>
        <w:jc w:val="both"/>
      </w:pPr>
      <w:r>
        <w:rPr>
          <w:rFonts w:ascii="Times New Roman" w:hAnsi="Times New Roman" w:eastAsia="Times New Roman"/>
          <w:sz w:val="20"/>
        </w:rPr>
        <w:t>Tokens and calls are useful measures of model use, but they do not directly establish dollar, energy, or end-to-end latency savings. Local inference time can depend on model loading, hardware utilization, and concurrency. Code also has execution and maintenance costs. Claims about those costs require corresponding measurements and are outside the present evaluation.</w:t>
      </w:r>
    </w:p>
    <w:p>
      <w:pPr>
        <w:pStyle w:val="Heading2"/>
      </w:pPr>
      <w:r>
        <w:rPr>
          <w:rFonts w:ascii="Times New Roman" w:hAnsi="Times New Roman" w:eastAsia="Times New Roman"/>
          <w:b/>
          <w:sz w:val="22"/>
        </w:rPr>
        <w:t>5.3 From classification tasks to business workflows</w:t>
      </w:r>
    </w:p>
    <w:p>
      <w:pPr>
        <w:keepNext w:val="0"/>
        <w:spacing w:before="0" w:after="80" w:line="240" w:lineRule="auto"/>
        <w:ind w:firstLine="288"/>
        <w:jc w:val="both"/>
      </w:pPr>
      <w:r>
        <w:rPr>
          <w:rFonts w:ascii="Times New Roman" w:hAnsi="Times New Roman" w:eastAsia="Times New Roman"/>
          <w:sz w:val="20"/>
        </w:rPr>
        <w:t>The retained tasks resemble individual decisions within business processes. They do not include long-running state, user interaction, external side effects, or recovery from partial failure. Extending the result to a complete workflow would require evaluating those behaviors as well as label accuracy. The final test evidence is also limited to LEDGAR, one local model, and a balanced subset of ten labels. The CFPB and SpamAssassin outcomes are validation results, not estimates from their reserved test sets.</w:t>
      </w:r>
    </w:p>
    <w:p>
      <w:pPr>
        <w:keepNext w:val="0"/>
        <w:spacing w:before="0" w:after="80" w:line="240" w:lineRule="auto"/>
        <w:ind w:firstLine="288"/>
        <w:jc w:val="both"/>
      </w:pPr>
      <w:r>
        <w:rPr>
          <w:rFonts w:ascii="Times New Roman" w:hAnsi="Times New Roman" w:eastAsia="Times New Roman"/>
          <w:sz w:val="20"/>
        </w:rPr>
        <w:t>Temperature-zero decoding and the small number of repeated runs further limit conclusions about variability. As Appendix A shows, both the baseline and hybrid produced identical labels across the three repeats within each task. This supports repeatability under the tested settings, but does not demonstrate that hybrid execution is less variable than the baseline.</w:t>
      </w:r>
    </w:p>
    <w:p>
      <w:pPr>
        <w:pStyle w:val="Heading1"/>
      </w:pPr>
      <w:r>
        <w:rPr>
          <w:rFonts w:ascii="Times New Roman" w:hAnsi="Times New Roman" w:eastAsia="Times New Roman"/>
          <w:b/>
          <w:sz w:val="24"/>
        </w:rPr>
        <w:t>6 Future Work</w:t>
      </w:r>
    </w:p>
    <w:p>
      <w:pPr>
        <w:keepNext w:val="0"/>
        <w:spacing w:before="0" w:after="80" w:line="240" w:lineRule="auto"/>
        <w:ind w:firstLine="288"/>
        <w:jc w:val="both"/>
      </w:pPr>
      <w:r>
        <w:rPr>
          <w:rFonts w:ascii="Times New Roman" w:hAnsi="Times New Roman" w:eastAsia="Times New Roman"/>
          <w:sz w:val="20"/>
        </w:rPr>
        <w:t>The next step is to evaluate candidate generation directly. A host agent should receive a recorded set of development runs, propose code under fixed permissions, and have each candidate assessed on unused examples. Repeating that procedure would measure how often the agent finds a useful rule and how much development work it requires. It would separate the ability to discover an improvement from the ability to execute an already saved improvement.</w:t>
      </w:r>
    </w:p>
    <w:p>
      <w:pPr>
        <w:keepNext w:val="0"/>
        <w:spacing w:before="0" w:after="80" w:line="240" w:lineRule="auto"/>
        <w:ind w:firstLine="288"/>
        <w:jc w:val="both"/>
      </w:pPr>
      <w:r>
        <w:rPr>
          <w:rFonts w:ascii="Times New Roman" w:hAnsi="Times New Roman" w:eastAsia="Times New Roman"/>
          <w:sz w:val="20"/>
        </w:rPr>
        <w:t>A second direction is to evaluate complete workflows with state, tool calls, and recoverable failures. The scorer would need to check whether the task was completed correctly, not just whether a label matched. Such experiments would test whether local token savings remain useful when deterministic steps interact with a wider process.</w:t>
      </w:r>
    </w:p>
    <w:p>
      <w:pPr>
        <w:keepNext w:val="0"/>
        <w:spacing w:before="0" w:after="80" w:line="240" w:lineRule="auto"/>
        <w:ind w:firstLine="288"/>
        <w:jc w:val="both"/>
      </w:pPr>
      <w:r>
        <w:rPr>
          <w:rFonts w:ascii="Times New Roman" w:hAnsi="Times New Roman" w:eastAsia="Times New Roman"/>
          <w:sz w:val="20"/>
        </w:rPr>
        <w:t>A third direction is to study maintenance over time. Input distributions can change, making a previously acceptable rule unreliable. A longitudinal evaluation could test monitoring, rollback, and returning affected inputs to the model. These mechanisms are proposed future work, not features validated by the present experiments.</w:t>
      </w:r>
    </w:p>
    <w:p>
      <w:pPr>
        <w:keepNext w:val="0"/>
        <w:spacing w:before="0" w:after="80" w:line="240" w:lineRule="auto"/>
        <w:ind w:firstLine="288"/>
        <w:jc w:val="both"/>
      </w:pPr>
      <w:r>
        <w:rPr>
          <w:rFonts w:ascii="Times New Roman" w:hAnsi="Times New Roman" w:eastAsia="Times New Roman"/>
          <w:sz w:val="20"/>
        </w:rPr>
        <w:t>Further comparisons should include other models, languages, and methods for generating code from examples or execution records. A routing-only comparison that preserves the entire baseline fallback would clarify the contribution of each change. Application-specific error costs and direct resource measurements would make acceptance decisions more relevant to deployment.</w:t>
      </w:r>
    </w:p>
    <w:p>
      <w:pPr>
        <w:pStyle w:val="Heading1"/>
      </w:pPr>
      <w:r>
        <w:rPr>
          <w:rFonts w:ascii="Times New Roman" w:hAnsi="Times New Roman" w:eastAsia="Times New Roman"/>
          <w:b/>
          <w:sz w:val="24"/>
        </w:rPr>
        <w:t>7 Conclusion</w:t>
      </w:r>
    </w:p>
    <w:p>
      <w:pPr>
        <w:keepNext w:val="0"/>
        <w:spacing w:before="0" w:after="80" w:line="240" w:lineRule="auto"/>
        <w:ind w:firstLine="288"/>
        <w:jc w:val="both"/>
      </w:pPr>
      <w:r>
        <w:rPr>
          <w:rFonts w:ascii="Times New Roman" w:hAnsi="Times New Roman" w:eastAsia="Times New Roman"/>
          <w:sz w:val="20"/>
        </w:rPr>
        <w:t>PLaND is a methodology for reducing model-mediated work through evaluated changes to an English SOP. Its central mechanism is selective code execution with model fallback. On LEDGAR, the evaluated hybrid reduced model calls by 41.1% and tokens by 40.02%, with accuracy decreasing from 93.5% to 92.7%. It passed the study's stated two-percentage-point tolerance. CFPB and SpamAssassin did not pass validation, and their reserved tests were not evaluated. Three additional paired runs per dataset reproduced those decisions. These results demonstrate the usefulness of testing both quality and token use before accepting a substitution, while leaving automatic rule discovery and complete production workflows for separate evaluation.</w:t>
      </w:r>
    </w:p>
    <w:p>
      <w:pPr>
        <w:pStyle w:val="Heading1"/>
      </w:pPr>
      <w:r>
        <w:rPr>
          <w:rFonts w:ascii="Times New Roman" w:hAnsi="Times New Roman" w:eastAsia="Times New Roman"/>
          <w:b/>
          <w:sz w:val="24"/>
        </w:rPr>
        <w:t>Acknowledgements and Disclosures</w:t>
      </w:r>
    </w:p>
    <w:p>
      <w:pPr>
        <w:keepNext w:val="0"/>
        <w:spacing w:before="0" w:after="80" w:line="240" w:lineRule="auto"/>
        <w:ind w:firstLine="288"/>
        <w:jc w:val="both"/>
      </w:pPr>
      <w:r>
        <w:rPr>
          <w:rFonts w:ascii="Times New Roman" w:hAnsi="Times New Roman" w:eastAsia="Times New Roman"/>
          <w:sz w:val="20"/>
        </w:rPr>
        <w:t>The authors used AI-assisted tools for coding, experiment support, and manuscript preparation. The authors are responsible for the reported results and the final text. No external funding was received, and the authors declare no competing interests.</w:t>
      </w:r>
    </w:p>
    <w:p>
      <w:pPr>
        <w:pStyle w:val="Heading1"/>
      </w:pPr>
      <w:r>
        <w:rPr>
          <w:rFonts w:ascii="Times New Roman" w:hAnsi="Times New Roman" w:eastAsia="Times New Roman"/>
          <w:b/>
          <w:sz w:val="24"/>
        </w:rPr>
        <w:t>Data and Code Availability</w:t>
      </w:r>
    </w:p>
    <w:p>
      <w:pPr>
        <w:keepNext w:val="0"/>
        <w:spacing w:before="0" w:after="80" w:line="240" w:lineRule="auto"/>
        <w:ind w:firstLine="288"/>
        <w:jc w:val="both"/>
      </w:pPr>
      <w:r>
        <w:rPr>
          <w:rFonts w:ascii="Times New Roman" w:hAnsi="Times New Roman" w:eastAsia="Times New Roman"/>
          <w:sz w:val="20"/>
        </w:rPr>
        <w:t xml:space="preserve">The </w:t>
      </w:r>
      <w:hyperlink r:id="rId13">
        <w:r>
          <w:rPr>
            <w:rFonts w:ascii="Times New Roman" w:hAnsi="Times New Roman"/>
            <w:color w:val="0000FF"/>
            <w:u w:val="single"/>
            <w:sz w:val="20"/>
          </w:rPr>
          <w:t>PLaND repository</w:t>
        </w:r>
      </w:hyperlink>
      <w:r>
        <w:rPr>
          <w:rFonts w:ascii="Times New Roman" w:hAnsi="Times New Roman" w:eastAsia="Times New Roman"/>
          <w:sz w:val="20"/>
        </w:rPr>
        <w:t xml:space="preserve"> contains the methodology skills, task runners, saved SOPs, and evaluation records [12]. The reported comparisons use LEDGAR's </w:t>
      </w:r>
      <w:r>
        <w:rPr>
          <w:rFonts w:ascii="Courier New" w:hAnsi="Courier New" w:eastAsia="Times New Roman"/>
          <w:sz w:val="20"/>
        </w:rPr>
        <w:t>confirmatory-test</w:t>
      </w:r>
      <w:r>
        <w:rPr>
          <w:rFonts w:ascii="Times New Roman" w:hAnsi="Times New Roman" w:eastAsia="Times New Roman"/>
          <w:sz w:val="20"/>
        </w:rPr>
        <w:t xml:space="preserve"> files and the </w:t>
      </w:r>
      <w:r>
        <w:rPr>
          <w:rFonts w:ascii="Courier New" w:hAnsi="Courier New" w:eastAsia="Times New Roman"/>
          <w:sz w:val="20"/>
        </w:rPr>
        <w:t>confirmatory-validation</w:t>
      </w:r>
      <w:r>
        <w:rPr>
          <w:rFonts w:ascii="Times New Roman" w:hAnsi="Times New Roman" w:eastAsia="Times New Roman"/>
          <w:sz w:val="20"/>
        </w:rPr>
        <w:t xml:space="preserve"> files for CFPB and SpamAssassin in the </w:t>
      </w:r>
      <w:hyperlink r:id="rId14">
        <w:r>
          <w:rPr>
            <w:rFonts w:ascii="Times New Roman" w:hAnsi="Times New Roman"/>
            <w:color w:val="0000FF"/>
            <w:u w:val="single"/>
            <w:sz w:val="20"/>
          </w:rPr>
          <w:t>LEDGAR results</w:t>
        </w:r>
      </w:hyperlink>
      <w:r>
        <w:rPr>
          <w:rFonts w:ascii="Times New Roman" w:hAnsi="Times New Roman" w:eastAsia="Times New Roman"/>
          <w:sz w:val="20"/>
        </w:rPr>
        <w:t xml:space="preserve">, </w:t>
      </w:r>
      <w:hyperlink r:id="rId15">
        <w:r>
          <w:rPr>
            <w:rFonts w:ascii="Times New Roman" w:hAnsi="Times New Roman"/>
            <w:color w:val="0000FF"/>
            <w:u w:val="single"/>
            <w:sz w:val="20"/>
          </w:rPr>
          <w:t>CFPB results</w:t>
        </w:r>
      </w:hyperlink>
      <w:r>
        <w:rPr>
          <w:rFonts w:ascii="Times New Roman" w:hAnsi="Times New Roman" w:eastAsia="Times New Roman"/>
          <w:sz w:val="20"/>
        </w:rPr>
        <w:t xml:space="preserve">, and </w:t>
      </w:r>
      <w:hyperlink r:id="rId16">
        <w:r>
          <w:rPr>
            <w:rFonts w:ascii="Times New Roman" w:hAnsi="Times New Roman"/>
            <w:color w:val="0000FF"/>
            <w:u w:val="single"/>
            <w:sz w:val="20"/>
          </w:rPr>
          <w:t>SpamAssassin results</w:t>
        </w:r>
      </w:hyperlink>
      <w:r>
        <w:rPr>
          <w:rFonts w:ascii="Times New Roman" w:hAnsi="Times New Roman" w:eastAsia="Times New Roman"/>
          <w:sz w:val="20"/>
        </w:rPr>
        <w:t xml:space="preserve"> folders. Their </w:t>
      </w:r>
      <w:r>
        <w:rPr>
          <w:rFonts w:ascii="Courier New" w:hAnsi="Courier New" w:eastAsia="Times New Roman"/>
          <w:sz w:val="20"/>
        </w:rPr>
        <w:t>variance-study-20260903</w:t>
      </w:r>
      <w:r>
        <w:rPr>
          <w:rFonts w:ascii="Times New Roman" w:hAnsi="Times New Roman" w:eastAsia="Times New Roman"/>
          <w:sz w:val="20"/>
        </w:rPr>
        <w:t xml:space="preserve"> subfolders contain the repeated runs. Dataset selection manifests reside alongside each experiment. These links pin the evidence snapshot rather than a moving branch.</w:t>
      </w:r>
    </w:p>
    <w:p>
      <w:pPr>
        <w:keepNext w:val="0"/>
        <w:spacing w:before="0" w:after="80" w:line="240" w:lineRule="auto"/>
        <w:ind w:firstLine="288"/>
        <w:jc w:val="both"/>
      </w:pPr>
      <w:r>
        <w:rPr>
          <w:rFonts w:ascii="Times New Roman" w:hAnsi="Times New Roman" w:eastAsia="Times New Roman"/>
          <w:sz w:val="20"/>
        </w:rPr>
        <w:t>The repository retains outputs, comparisons, source identifiers, and hashes. Raw datasets are subject to their source terms. The CFPB inputs were prepared from a saved local API snapshot that is not redistributed in the repository. Consequently, the saved outputs can be audited, but an exact rerun requires that same snapshot; a fresh download from the live database is not an identical replacement. The paper's three-dataset scope does not remove other historical experiment records from the archive.</w:t>
      </w:r>
    </w:p>
    <w:p>
      <w:pPr>
        <w:pStyle w:val="Heading1"/>
      </w:pPr>
      <w:r>
        <w:rPr>
          <w:rFonts w:ascii="Times New Roman" w:hAnsi="Times New Roman" w:eastAsia="Times New Roman"/>
          <w:b/>
          <w:sz w:val="24"/>
        </w:rPr>
        <w:t>Appendix A Repeated runs</w:t>
      </w:r>
    </w:p>
    <w:p>
      <w:pPr>
        <w:keepNext w:val="0"/>
        <w:spacing w:before="0" w:after="80" w:line="240" w:lineRule="auto"/>
        <w:ind w:firstLine="288"/>
        <w:jc w:val="both"/>
      </w:pPr>
      <w:r>
        <w:rPr>
          <w:rFonts w:ascii="Times New Roman" w:hAnsi="Times New Roman" w:eastAsia="Times New Roman"/>
          <w:sz w:val="20"/>
        </w:rPr>
        <w:t>The repeatability check introduced in Section 3.4 ran each fixed baseline and hybrid three times on the same prepared cases. Table 4 reports the results separately because the runtime configuration changed. These are repeated measurements of existing evaluation sets, not additional independent test samples.</w:t>
      </w:r>
    </w:p>
    <w:p>
      <w:pPr>
        <w:sectPr>
          <w:type w:val="continuous"/>
          <w:pgSz w:w="11906" w:h="16838"/>
          <w:pgMar w:top="1077" w:right="1077" w:bottom="1077" w:left="1077" w:header="720" w:footer="720" w:gutter="0"/>
          <w:cols w:space="340" w:num="2"/>
          <w:docGrid w:linePitch="360"/>
        </w:sectPr>
      </w:pPr>
    </w:p>
    <w:p>
      <w:pPr>
        <w:keepNext/>
        <w:spacing w:before="80" w:after="40" w:line="240" w:lineRule="auto"/>
      </w:pPr>
      <w:r>
        <w:rPr>
          <w:rFonts w:ascii="Times New Roman" w:hAnsi="Times New Roman" w:eastAsia="Times New Roman"/>
          <w:b/>
          <w:sz w:val="20"/>
        </w:rPr>
        <w:t>Table 4. Three additional paired runs per dataset</w:t>
      </w:r>
    </w:p>
    <w:tbl>
      <w:tblPr>
        <w:tblW w:type="dxa" w:w="9751"/>
        <w:jc w:val="left"/>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442"/>
        <w:gridCol w:w="1480"/>
        <w:gridCol w:w="2722"/>
        <w:gridCol w:w="1188"/>
        <w:gridCol w:w="1919"/>
      </w:tblGrid>
      <w:tr>
        <w:trPr>
          <w:tblHeader w:val="true"/>
          <w:cantSplit w:val="true"/>
        </w:trPr>
        <w:tc>
          <w:tcPr>
            <w:tcW w:type="dxa" w:w="2442"/>
            <w:tcMar>
              <w:top w:w="80" w:type="dxa"/>
              <w:start w:w="100" w:type="dxa"/>
              <w:bottom w:w="80" w:type="dxa"/>
              <w:end w:w="100" w:type="dxa"/>
            </w:tcMar>
            <w:shd w:fill="E8EEF3"/>
            <w:vAlign w:val="center"/>
          </w:tcPr>
          <w:p>
            <w:pPr>
              <w:keepNext/>
              <w:spacing w:before="0" w:after="0" w:line="240" w:lineRule="auto"/>
            </w:pPr>
            <w:r>
              <w:rPr>
                <w:rFonts w:ascii="Times New Roman" w:hAnsi="Times New Roman" w:eastAsia="Times New Roman"/>
                <w:b/>
                <w:sz w:val="20"/>
              </w:rPr>
              <w:t>Dataset and reused split</w:t>
            </w:r>
          </w:p>
        </w:tc>
        <w:tc>
          <w:tcPr>
            <w:tcW w:type="dxa" w:w="1480"/>
            <w:tcMar>
              <w:top w:w="80" w:type="dxa"/>
              <w:start w:w="100" w:type="dxa"/>
              <w:bottom w:w="80" w:type="dxa"/>
              <w:end w:w="100" w:type="dxa"/>
            </w:tcMar>
            <w:shd w:fill="E8EEF3"/>
            <w:vAlign w:val="center"/>
          </w:tcPr>
          <w:p>
            <w:pPr>
              <w:keepNext/>
              <w:spacing w:before="0" w:after="0" w:line="240" w:lineRule="auto"/>
              <w:jc w:val="center"/>
            </w:pPr>
            <w:r>
              <w:rPr>
                <w:rFonts w:ascii="Times New Roman" w:hAnsi="Times New Roman" w:eastAsia="Times New Roman"/>
                <w:b/>
                <w:sz w:val="20"/>
              </w:rPr>
              <w:t>Accuracy in every run</w:t>
            </w:r>
          </w:p>
        </w:tc>
        <w:tc>
          <w:tcPr>
            <w:tcW w:type="dxa" w:w="2722"/>
            <w:tcMar>
              <w:top w:w="80" w:type="dxa"/>
              <w:start w:w="100" w:type="dxa"/>
              <w:bottom w:w="80" w:type="dxa"/>
              <w:end w:w="100" w:type="dxa"/>
            </w:tcMar>
            <w:shd w:fill="E8EEF3"/>
            <w:vAlign w:val="center"/>
          </w:tcPr>
          <w:p>
            <w:pPr>
              <w:keepNext/>
              <w:spacing w:before="0" w:after="0" w:line="240" w:lineRule="auto"/>
              <w:jc w:val="center"/>
            </w:pPr>
            <w:r>
              <w:rPr>
                <w:rFonts w:ascii="Times New Roman" w:hAnsi="Times New Roman" w:eastAsia="Times New Roman"/>
                <w:b/>
                <w:sz w:val="20"/>
              </w:rPr>
              <w:t>Mean total model tokens</w:t>
            </w:r>
          </w:p>
        </w:tc>
        <w:tc>
          <w:tcPr>
            <w:tcW w:type="dxa" w:w="1188"/>
            <w:tcMar>
              <w:top w:w="80" w:type="dxa"/>
              <w:start w:w="100" w:type="dxa"/>
              <w:bottom w:w="80" w:type="dxa"/>
              <w:end w:w="100" w:type="dxa"/>
            </w:tcMar>
            <w:shd w:fill="E8EEF3"/>
            <w:vAlign w:val="center"/>
          </w:tcPr>
          <w:p>
            <w:pPr>
              <w:keepNext/>
              <w:spacing w:before="0" w:after="0" w:line="240" w:lineRule="auto"/>
              <w:jc w:val="center"/>
            </w:pPr>
            <w:r>
              <w:rPr>
                <w:rFonts w:ascii="Times New Roman" w:hAnsi="Times New Roman" w:eastAsia="Times New Roman"/>
                <w:b/>
                <w:sz w:val="20"/>
              </w:rPr>
              <w:t>Mean token reduction</w:t>
            </w:r>
          </w:p>
        </w:tc>
        <w:tc>
          <w:tcPr>
            <w:tcW w:type="dxa" w:w="1919"/>
            <w:tcMar>
              <w:top w:w="80" w:type="dxa"/>
              <w:start w:w="100" w:type="dxa"/>
              <w:bottom w:w="80" w:type="dxa"/>
              <w:end w:w="100" w:type="dxa"/>
            </w:tcMar>
            <w:shd w:fill="E8EEF3"/>
            <w:vAlign w:val="center"/>
          </w:tcPr>
          <w:p>
            <w:pPr>
              <w:keepNext/>
              <w:spacing w:before="0" w:after="0" w:line="240" w:lineRule="auto"/>
              <w:jc w:val="center"/>
            </w:pPr>
            <w:r>
              <w:rPr>
                <w:rFonts w:ascii="Times New Roman" w:hAnsi="Times New Roman" w:eastAsia="Times New Roman"/>
                <w:b/>
                <w:sz w:val="20"/>
              </w:rPr>
              <w:t>Decision in all three runs</w:t>
            </w:r>
          </w:p>
        </w:tc>
      </w:tr>
      <w:tr>
        <w:trPr>
          <w:cantSplit w:val="true"/>
        </w:trPr>
        <w:tc>
          <w:tcPr>
            <w:tcW w:type="dxa" w:w="2442"/>
            <w:tcMar>
              <w:top w:w="80" w:type="dxa"/>
              <w:start w:w="100" w:type="dxa"/>
              <w:bottom w:w="80" w:type="dxa"/>
              <w:end w:w="100" w:type="dxa"/>
            </w:tcMar>
            <w:vAlign w:val="center"/>
          </w:tcPr>
          <w:p>
            <w:pPr>
              <w:keepNext/>
              <w:spacing w:before="0" w:after="0" w:line="240" w:lineRule="auto"/>
            </w:pPr>
            <w:r>
              <w:rPr>
                <w:rFonts w:ascii="Times New Roman" w:hAnsi="Times New Roman" w:eastAsia="Times New Roman"/>
                <w:b w:val="0"/>
                <w:sz w:val="20"/>
              </w:rPr>
              <w:t>LEDGAR, 1,000 cases</w:t>
            </w:r>
          </w:p>
        </w:tc>
        <w:tc>
          <w:tcPr>
            <w:tcW w:type="dxa" w:w="1480"/>
            <w:tcMar>
              <w:top w:w="80" w:type="dxa"/>
              <w:start w:w="100" w:type="dxa"/>
              <w:bottom w:w="80" w:type="dxa"/>
              <w:end w:w="100" w:type="dxa"/>
            </w:tcMar>
            <w:vAlign w:val="center"/>
          </w:tcPr>
          <w:p>
            <w:pPr>
              <w:keepNext/>
              <w:spacing w:before="0" w:after="0" w:line="240" w:lineRule="auto"/>
              <w:jc w:val="center"/>
            </w:pPr>
            <w:r>
              <w:rPr>
                <w:rFonts w:ascii="Times New Roman" w:hAnsi="Times New Roman" w:eastAsia="Times New Roman"/>
                <w:b w:val="0"/>
                <w:sz w:val="20"/>
              </w:rPr>
              <w:t>93.7% → 92.9%</w:t>
            </w:r>
          </w:p>
        </w:tc>
        <w:tc>
          <w:tcPr>
            <w:tcW w:type="dxa" w:w="2722"/>
            <w:tcMar>
              <w:top w:w="80" w:type="dxa"/>
              <w:start w:w="100" w:type="dxa"/>
              <w:bottom w:w="80" w:type="dxa"/>
              <w:end w:w="100" w:type="dxa"/>
            </w:tcMar>
            <w:vAlign w:val="center"/>
          </w:tcPr>
          <w:p>
            <w:pPr>
              <w:keepNext/>
              <w:spacing w:before="0" w:after="0" w:line="240" w:lineRule="auto"/>
              <w:jc w:val="center"/>
            </w:pPr>
            <w:r>
              <w:rPr>
                <w:rFonts w:ascii="Times New Roman" w:hAnsi="Times New Roman" w:eastAsia="Times New Roman"/>
                <w:b w:val="0"/>
                <w:sz w:val="20"/>
              </w:rPr>
              <w:t>376,090 → 225,575.33</w:t>
            </w:r>
          </w:p>
        </w:tc>
        <w:tc>
          <w:tcPr>
            <w:tcW w:type="dxa" w:w="1188"/>
            <w:tcMar>
              <w:top w:w="80" w:type="dxa"/>
              <w:start w:w="100" w:type="dxa"/>
              <w:bottom w:w="80" w:type="dxa"/>
              <w:end w:w="100" w:type="dxa"/>
            </w:tcMar>
            <w:vAlign w:val="center"/>
          </w:tcPr>
          <w:p>
            <w:pPr>
              <w:keepNext/>
              <w:spacing w:before="0" w:after="0" w:line="240" w:lineRule="auto"/>
              <w:jc w:val="center"/>
            </w:pPr>
            <w:r>
              <w:rPr>
                <w:rFonts w:ascii="Times New Roman" w:hAnsi="Times New Roman" w:eastAsia="Times New Roman"/>
                <w:b w:val="0"/>
                <w:sz w:val="20"/>
              </w:rPr>
              <w:t>40.02%</w:t>
            </w:r>
          </w:p>
        </w:tc>
        <w:tc>
          <w:tcPr>
            <w:tcW w:type="dxa" w:w="1919"/>
            <w:tcMar>
              <w:top w:w="80" w:type="dxa"/>
              <w:start w:w="100" w:type="dxa"/>
              <w:bottom w:w="80" w:type="dxa"/>
              <w:end w:w="100" w:type="dxa"/>
            </w:tcMar>
            <w:vAlign w:val="center"/>
          </w:tcPr>
          <w:p>
            <w:pPr>
              <w:keepNext/>
              <w:spacing w:before="0" w:after="0" w:line="240" w:lineRule="auto"/>
              <w:jc w:val="center"/>
            </w:pPr>
            <w:r>
              <w:rPr>
                <w:rFonts w:ascii="Times New Roman" w:hAnsi="Times New Roman" w:eastAsia="Times New Roman"/>
                <w:b w:val="0"/>
                <w:sz w:val="20"/>
              </w:rPr>
              <w:t>Pass</w:t>
            </w:r>
          </w:p>
        </w:tc>
      </w:tr>
      <w:tr>
        <w:trPr>
          <w:cantSplit w:val="true"/>
        </w:trPr>
        <w:tc>
          <w:tcPr>
            <w:tcW w:type="dxa" w:w="2442"/>
            <w:tcMar>
              <w:top w:w="80" w:type="dxa"/>
              <w:start w:w="100" w:type="dxa"/>
              <w:bottom w:w="80" w:type="dxa"/>
              <w:end w:w="100" w:type="dxa"/>
            </w:tcMar>
            <w:vAlign w:val="center"/>
          </w:tcPr>
          <w:p>
            <w:pPr>
              <w:keepNext/>
              <w:spacing w:before="0" w:after="0" w:line="240" w:lineRule="auto"/>
            </w:pPr>
            <w:r>
              <w:rPr>
                <w:rFonts w:ascii="Times New Roman" w:hAnsi="Times New Roman" w:eastAsia="Times New Roman"/>
                <w:b w:val="0"/>
                <w:sz w:val="20"/>
              </w:rPr>
              <w:t>CFPB validation, 100 cases</w:t>
            </w:r>
          </w:p>
        </w:tc>
        <w:tc>
          <w:tcPr>
            <w:tcW w:type="dxa" w:w="1480"/>
            <w:tcMar>
              <w:top w:w="80" w:type="dxa"/>
              <w:start w:w="100" w:type="dxa"/>
              <w:bottom w:w="80" w:type="dxa"/>
              <w:end w:w="100" w:type="dxa"/>
            </w:tcMar>
            <w:vAlign w:val="center"/>
          </w:tcPr>
          <w:p>
            <w:pPr>
              <w:keepNext/>
              <w:spacing w:before="0" w:after="0" w:line="240" w:lineRule="auto"/>
              <w:jc w:val="center"/>
            </w:pPr>
            <w:r>
              <w:rPr>
                <w:rFonts w:ascii="Times New Roman" w:hAnsi="Times New Roman" w:eastAsia="Times New Roman"/>
                <w:b w:val="0"/>
                <w:sz w:val="20"/>
              </w:rPr>
              <w:t>78.0% → 71.0%</w:t>
            </w:r>
          </w:p>
        </w:tc>
        <w:tc>
          <w:tcPr>
            <w:tcW w:type="dxa" w:w="2722"/>
            <w:tcMar>
              <w:top w:w="80" w:type="dxa"/>
              <w:start w:w="100" w:type="dxa"/>
              <w:bottom w:w="80" w:type="dxa"/>
              <w:end w:w="100" w:type="dxa"/>
            </w:tcMar>
            <w:vAlign w:val="center"/>
          </w:tcPr>
          <w:p>
            <w:pPr>
              <w:keepNext/>
              <w:spacing w:before="0" w:after="0" w:line="240" w:lineRule="auto"/>
              <w:jc w:val="center"/>
            </w:pPr>
            <w:r>
              <w:rPr>
                <w:rFonts w:ascii="Times New Roman" w:hAnsi="Times New Roman" w:eastAsia="Times New Roman"/>
                <w:b w:val="0"/>
                <w:sz w:val="20"/>
              </w:rPr>
              <w:t>58,372 → 33,120</w:t>
            </w:r>
          </w:p>
        </w:tc>
        <w:tc>
          <w:tcPr>
            <w:tcW w:type="dxa" w:w="1188"/>
            <w:tcMar>
              <w:top w:w="80" w:type="dxa"/>
              <w:start w:w="100" w:type="dxa"/>
              <w:bottom w:w="80" w:type="dxa"/>
              <w:end w:w="100" w:type="dxa"/>
            </w:tcMar>
            <w:vAlign w:val="center"/>
          </w:tcPr>
          <w:p>
            <w:pPr>
              <w:keepNext/>
              <w:spacing w:before="0" w:after="0" w:line="240" w:lineRule="auto"/>
              <w:jc w:val="center"/>
            </w:pPr>
            <w:r>
              <w:rPr>
                <w:rFonts w:ascii="Times New Roman" w:hAnsi="Times New Roman" w:eastAsia="Times New Roman"/>
                <w:b w:val="0"/>
                <w:sz w:val="20"/>
              </w:rPr>
              <w:t>43.26%</w:t>
            </w:r>
          </w:p>
        </w:tc>
        <w:tc>
          <w:tcPr>
            <w:tcW w:type="dxa" w:w="1919"/>
            <w:tcMar>
              <w:top w:w="80" w:type="dxa"/>
              <w:start w:w="100" w:type="dxa"/>
              <w:bottom w:w="80" w:type="dxa"/>
              <w:end w:w="100" w:type="dxa"/>
            </w:tcMar>
            <w:vAlign w:val="center"/>
          </w:tcPr>
          <w:p>
            <w:pPr>
              <w:keepNext/>
              <w:spacing w:before="0" w:after="0" w:line="240" w:lineRule="auto"/>
              <w:jc w:val="center"/>
            </w:pPr>
            <w:r>
              <w:rPr>
                <w:rFonts w:ascii="Times New Roman" w:hAnsi="Times New Roman" w:eastAsia="Times New Roman"/>
                <w:b w:val="0"/>
                <w:sz w:val="20"/>
              </w:rPr>
              <w:t>Reject</w:t>
            </w:r>
          </w:p>
        </w:tc>
      </w:tr>
      <w:tr>
        <w:trPr>
          <w:cantSplit w:val="true"/>
        </w:trPr>
        <w:tc>
          <w:tcPr>
            <w:tcW w:type="dxa" w:w="2442"/>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SpamAssassin validation, 100 cases</w:t>
            </w:r>
          </w:p>
        </w:tc>
        <w:tc>
          <w:tcPr>
            <w:tcW w:type="dxa" w:w="1480"/>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88.0% → 85.0%</w:t>
            </w:r>
          </w:p>
        </w:tc>
        <w:tc>
          <w:tcPr>
            <w:tcW w:type="dxa" w:w="2722"/>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188,384 → 178,880.67</w:t>
            </w:r>
          </w:p>
        </w:tc>
        <w:tc>
          <w:tcPr>
            <w:tcW w:type="dxa" w:w="1188"/>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5.04%</w:t>
            </w:r>
          </w:p>
        </w:tc>
        <w:tc>
          <w:tcPr>
            <w:tcW w:type="dxa" w:w="1919"/>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Reject</w:t>
            </w:r>
          </w:p>
        </w:tc>
      </w:tr>
    </w:tbl>
    <w:p>
      <w:pPr>
        <w:keepNext w:val="0"/>
        <w:spacing w:before="0" w:after="40" w:line="240" w:lineRule="auto"/>
      </w:pPr>
    </w:p>
    <w:p>
      <w:pPr>
        <w:sectPr>
          <w:type w:val="continuous"/>
          <w:pgSz w:w="11906" w:h="16838"/>
          <w:pgMar w:top="1077" w:right="1077" w:bottom="1077" w:left="1077" w:header="720" w:footer="720" w:gutter="0"/>
          <w:cols w:space="340" w:num="1"/>
          <w:docGrid w:linePitch="360"/>
        </w:sectPr>
      </w:pPr>
    </w:p>
    <w:p>
      <w:pPr>
        <w:keepNext w:val="0"/>
        <w:spacing w:before="0" w:after="80" w:line="240" w:lineRule="auto"/>
        <w:ind w:firstLine="288"/>
        <w:jc w:val="both"/>
      </w:pPr>
      <w:r>
        <w:rPr>
          <w:rFonts w:ascii="Times New Roman" w:hAnsi="Times New Roman" w:eastAsia="Times New Roman"/>
          <w:sz w:val="20"/>
        </w:rPr>
        <w:t>Within each dataset and variant, predicted labels were identical across the three runs, so the sample standard deviation of accuracy was zero. Baseline tokens were identical across runs. Hybrid tokens ranged from 225,575 to 225,576 for LEDGAR and from 178,880 to 178,881 for SpamAssassin, with sample standard deviation 0.58 tokens in each case; CFPB used 33,120 tokens in every run. Model calls remained 1,000 to 589 for LEDGAR, 100 to 58 for CFPB, and 100 to 97 for SpamAssassin.</w:t>
      </w:r>
    </w:p>
    <w:p>
      <w:pPr>
        <w:keepNext w:val="0"/>
        <w:spacing w:before="0" w:after="80" w:line="240" w:lineRule="auto"/>
        <w:ind w:firstLine="288"/>
        <w:jc w:val="both"/>
      </w:pPr>
      <w:r>
        <w:rPr>
          <w:rFonts w:ascii="Times New Roman" w:hAnsi="Times New Roman" w:eastAsia="Times New Roman"/>
          <w:sz w:val="20"/>
        </w:rPr>
        <w:t>LEDGAR's paired accuracy intervals were −1.6 to −0.1, −1.6 to 0.0, and −1.6 to 0.0 percentage points, all within the two-point tolerance. CFPB failed both the absolute and relative accuracy requirements in all three runs. SpamAssassin exceeded the 5% token target in these runs but still failed the allowed-loss requirement. Because both variants had zero cross-run label disagreement, the repeats do not show a reduction in output variability attributable to the hybrid.</w:t>
      </w:r>
    </w:p>
    <w:p>
      <w:pPr>
        <w:pStyle w:val="Heading1"/>
      </w:pPr>
      <w:r>
        <w:rPr>
          <w:rFonts w:ascii="Times New Roman" w:hAnsi="Times New Roman" w:eastAsia="Times New Roman"/>
          <w:b/>
          <w:sz w:val="24"/>
        </w:rPr>
        <w:t>Appendix B Reproduction details</w:t>
      </w:r>
    </w:p>
    <w:p>
      <w:pPr>
        <w:keepNext w:val="0"/>
        <w:spacing w:before="0" w:after="80" w:line="240" w:lineRule="auto"/>
        <w:ind w:firstLine="288"/>
        <w:jc w:val="both"/>
      </w:pPr>
      <w:r>
        <w:rPr>
          <w:rFonts w:ascii="Times New Roman" w:hAnsi="Times New Roman" w:eastAsia="Times New Roman"/>
          <w:sz w:val="20"/>
        </w:rPr>
        <w:t xml:space="preserve">The repeated-run preflight records Ollama 0.33.0 and </w:t>
      </w:r>
      <w:r>
        <w:rPr>
          <w:rFonts w:ascii="Courier New" w:hAnsi="Courier New" w:eastAsia="Times New Roman"/>
          <w:sz w:val="20"/>
        </w:rPr>
        <w:t>qwen3:14b</w:t>
      </w:r>
      <w:r>
        <w:rPr>
          <w:rFonts w:ascii="Times New Roman" w:hAnsi="Times New Roman" w:eastAsia="Times New Roman"/>
          <w:sz w:val="20"/>
        </w:rPr>
        <w:t xml:space="preserve"> with model digest </w:t>
      </w:r>
      <w:r>
        <w:rPr>
          <w:rFonts w:ascii="Courier New" w:hAnsi="Courier New" w:eastAsia="Times New Roman"/>
          <w:sz w:val="20"/>
        </w:rPr>
        <w:t>bdbd181c33f2ed1b31c972991882db3cf4d192569092138a7d29e973cd9debe8</w:t>
      </w:r>
      <w:r>
        <w:rPr>
          <w:rFonts w:ascii="Times New Roman" w:hAnsi="Times New Roman" w:eastAsia="Times New Roman"/>
          <w:sz w:val="20"/>
        </w:rPr>
        <w:t>. The recorded environment uses an Apple M5 Pro with 48 GB unified memory. The original runner requested JSON output, disabled thinking and streaming, set temperature to zero, and capped generated output at 128 tokens. It did not explicitly set a context-window option.</w:t>
      </w:r>
    </w:p>
    <w:p>
      <w:pPr>
        <w:keepNext w:val="0"/>
        <w:spacing w:before="0" w:after="80" w:line="240" w:lineRule="auto"/>
        <w:ind w:firstLine="288"/>
        <w:jc w:val="both"/>
      </w:pPr>
      <w:r>
        <w:rPr>
          <w:rFonts w:ascii="Times New Roman" w:hAnsi="Times New Roman" w:eastAsia="Times New Roman"/>
          <w:sz w:val="20"/>
        </w:rPr>
        <w:t>The repeated-run configuration used a 4,096-token context, the same 128-token output cap, and an exact JSON schema for the label and confidence fields. It preloaded and retained the model, enabled Flash Attention and q8_0 KV cache, kept one model loaded, and allowed two parallel requests. Pair order was baseline then hybrid, hybrid then baseline, and baseline then hybrid. The same inference seed was used within a pair; the three pairs used different seeds. Exact seed values, commands, timestamps, and environment records are preserved with the run manifests rather than repeated in the main text.</w:t>
      </w:r>
    </w:p>
    <w:p>
      <w:pPr>
        <w:keepNext w:val="0"/>
        <w:spacing w:before="0" w:after="80" w:line="240" w:lineRule="auto"/>
        <w:ind w:firstLine="288"/>
        <w:jc w:val="both"/>
      </w:pPr>
      <w:r>
        <w:rPr>
          <w:rFonts w:ascii="Times New Roman" w:hAnsi="Times New Roman" w:eastAsia="Times New Roman"/>
          <w:sz w:val="20"/>
        </w:rPr>
        <w:t>The comparison code sorts records by case identifier and uses 5,000 paired resamples. Its token bootstrap uses the configured comparison seed plus one; this is separate from the model's inference seed. The saved records also include Wilson intervals for individual accuracies and an exact McNemar test, but neither determines acceptance under the four criteria in Section 3.3. Reproduction checks validate file hashes and tests without rerunning model inference or changing a held-out result.</w:t>
      </w:r>
    </w:p>
    <w:p>
      <w:pPr>
        <w:pStyle w:val="Heading1"/>
      </w:pPr>
      <w:r>
        <w:rPr>
          <w:rFonts w:ascii="Times New Roman" w:hAnsi="Times New Roman" w:eastAsia="Times New Roman"/>
          <w:b/>
          <w:sz w:val="24"/>
        </w:rPr>
        <w:t>References</w:t>
      </w:r>
    </w:p>
    <w:p>
      <w:pPr>
        <w:keepNext w:val="0"/>
        <w:spacing w:before="0" w:after="20" w:line="240" w:lineRule="auto"/>
        <w:ind w:left="317" w:hanging="317"/>
        <w:jc w:val="left"/>
      </w:pPr>
      <w:r>
        <w:rPr>
          <w:rFonts w:ascii="Times New Roman" w:hAnsi="Times New Roman" w:eastAsia="Times New Roman"/>
          <w:sz w:val="20"/>
        </w:rPr>
        <w:t xml:space="preserve">[1] Agent Skills. Specification. </w:t>
      </w:r>
      <w:hyperlink r:id="rId17">
        <w:r>
          <w:rPr>
            <w:rFonts w:ascii="Times New Roman" w:hAnsi="Times New Roman"/>
            <w:color w:val="0000FF"/>
            <w:u w:val="single"/>
            <w:sz w:val="20"/>
          </w:rPr>
          <w:t>Official documentation</w:t>
        </w:r>
      </w:hyperlink>
      <w:r>
        <w:rPr>
          <w:rFonts w:ascii="Times New Roman" w:hAnsi="Times New Roman" w:eastAsia="Times New Roman"/>
          <w:sz w:val="20"/>
        </w:rPr>
        <w:t>. Accessed September 5, 2026.</w:t>
      </w:r>
    </w:p>
    <w:p>
      <w:pPr>
        <w:keepNext w:val="0"/>
        <w:spacing w:before="0" w:after="20" w:line="240" w:lineRule="auto"/>
        <w:ind w:left="317" w:hanging="317"/>
        <w:jc w:val="left"/>
      </w:pPr>
      <w:r>
        <w:rPr>
          <w:rFonts w:ascii="Times New Roman" w:hAnsi="Times New Roman" w:eastAsia="Times New Roman"/>
          <w:sz w:val="20"/>
        </w:rPr>
        <w:t xml:space="preserve">[2] LangChain. Skills in DeepAgents. </w:t>
      </w:r>
      <w:hyperlink r:id="rId18">
        <w:r>
          <w:rPr>
            <w:rFonts w:ascii="Times New Roman" w:hAnsi="Times New Roman"/>
            <w:color w:val="0000FF"/>
            <w:u w:val="single"/>
            <w:sz w:val="20"/>
          </w:rPr>
          <w:t>Official documentation</w:t>
        </w:r>
      </w:hyperlink>
      <w:r>
        <w:rPr>
          <w:rFonts w:ascii="Times New Roman" w:hAnsi="Times New Roman" w:eastAsia="Times New Roman"/>
          <w:sz w:val="20"/>
        </w:rPr>
        <w:t>. Accessed September 5, 2026.</w:t>
      </w:r>
    </w:p>
    <w:p>
      <w:pPr>
        <w:keepNext w:val="0"/>
        <w:spacing w:before="0" w:after="20" w:line="240" w:lineRule="auto"/>
        <w:ind w:left="317" w:hanging="317"/>
        <w:jc w:val="left"/>
      </w:pPr>
      <w:r>
        <w:rPr>
          <w:rFonts w:ascii="Times New Roman" w:hAnsi="Times New Roman" w:eastAsia="Times New Roman"/>
          <w:sz w:val="20"/>
        </w:rPr>
        <w:t xml:space="preserve">[3] LangChain. LangGraph overview. </w:t>
      </w:r>
      <w:hyperlink r:id="rId19">
        <w:r>
          <w:rPr>
            <w:rFonts w:ascii="Times New Roman" w:hAnsi="Times New Roman"/>
            <w:color w:val="0000FF"/>
            <w:u w:val="single"/>
            <w:sz w:val="20"/>
          </w:rPr>
          <w:t>Official documentation</w:t>
        </w:r>
      </w:hyperlink>
      <w:r>
        <w:rPr>
          <w:rFonts w:ascii="Times New Roman" w:hAnsi="Times New Roman" w:eastAsia="Times New Roman"/>
          <w:sz w:val="20"/>
        </w:rPr>
        <w:t>. Accessed September 5, 2026.</w:t>
      </w:r>
    </w:p>
    <w:p>
      <w:pPr>
        <w:keepNext w:val="0"/>
        <w:spacing w:before="0" w:after="20" w:line="240" w:lineRule="auto"/>
        <w:ind w:left="317" w:hanging="317"/>
        <w:jc w:val="left"/>
      </w:pPr>
      <w:r>
        <w:rPr>
          <w:rFonts w:ascii="Times New Roman" w:hAnsi="Times New Roman" w:eastAsia="Times New Roman"/>
          <w:sz w:val="20"/>
        </w:rPr>
        <w:t xml:space="preserve">[4] Khattab O, et al. DSPy: Compiling Declarative Language Model Calls into Self-Improving Pipelines. 2023. </w:t>
      </w:r>
      <w:hyperlink r:id="rId20">
        <w:r>
          <w:rPr>
            <w:rFonts w:ascii="Times New Roman" w:hAnsi="Times New Roman"/>
            <w:color w:val="0000FF"/>
            <w:u w:val="single"/>
            <w:sz w:val="20"/>
          </w:rPr>
          <w:t>arXiv:2310.03714</w:t>
        </w:r>
      </w:hyperlink>
      <w:r>
        <w:rPr>
          <w:rFonts w:ascii="Times New Roman" w:hAnsi="Times New Roman" w:eastAsia="Times New Roman"/>
          <w:sz w:val="20"/>
        </w:rPr>
        <w:t>.</w:t>
      </w:r>
    </w:p>
    <w:p>
      <w:pPr>
        <w:keepNext w:val="0"/>
        <w:spacing w:before="0" w:after="20" w:line="240" w:lineRule="auto"/>
        <w:ind w:left="317" w:hanging="317"/>
        <w:jc w:val="left"/>
      </w:pPr>
      <w:r>
        <w:rPr>
          <w:rFonts w:ascii="Times New Roman" w:hAnsi="Times New Roman" w:eastAsia="Times New Roman"/>
          <w:sz w:val="20"/>
        </w:rPr>
        <w:t xml:space="preserve">[5] Li Z, et al. AutoFlow: Automated Workflow Generation for Large Language Model Agents. 2024. </w:t>
      </w:r>
      <w:hyperlink r:id="rId21">
        <w:r>
          <w:rPr>
            <w:rFonts w:ascii="Times New Roman" w:hAnsi="Times New Roman"/>
            <w:color w:val="0000FF"/>
            <w:u w:val="single"/>
            <w:sz w:val="20"/>
          </w:rPr>
          <w:t>arXiv:2407.12821</w:t>
        </w:r>
      </w:hyperlink>
      <w:r>
        <w:rPr>
          <w:rFonts w:ascii="Times New Roman" w:hAnsi="Times New Roman" w:eastAsia="Times New Roman"/>
          <w:sz w:val="20"/>
        </w:rPr>
        <w:t>.</w:t>
      </w:r>
    </w:p>
    <w:p>
      <w:pPr>
        <w:keepNext w:val="0"/>
        <w:spacing w:before="0" w:after="20" w:line="240" w:lineRule="auto"/>
        <w:ind w:left="317" w:hanging="317"/>
        <w:jc w:val="left"/>
      </w:pPr>
      <w:r>
        <w:rPr>
          <w:rFonts w:ascii="Times New Roman" w:hAnsi="Times New Roman" w:eastAsia="Times New Roman"/>
          <w:sz w:val="20"/>
        </w:rPr>
        <w:t xml:space="preserve">[6] Zhang J, et al. AFlow: Automating Agentic Workflow Generation. 2024. </w:t>
      </w:r>
      <w:hyperlink r:id="rId22">
        <w:r>
          <w:rPr>
            <w:rFonts w:ascii="Times New Roman" w:hAnsi="Times New Roman"/>
            <w:color w:val="0000FF"/>
            <w:u w:val="single"/>
            <w:sz w:val="20"/>
          </w:rPr>
          <w:t>arXiv:2410.10762</w:t>
        </w:r>
      </w:hyperlink>
      <w:r>
        <w:rPr>
          <w:rFonts w:ascii="Times New Roman" w:hAnsi="Times New Roman" w:eastAsia="Times New Roman"/>
          <w:sz w:val="20"/>
        </w:rPr>
        <w:t>.</w:t>
      </w:r>
    </w:p>
    <w:p>
      <w:pPr>
        <w:keepNext w:val="0"/>
        <w:spacing w:before="0" w:after="20" w:line="240" w:lineRule="auto"/>
        <w:ind w:left="317" w:hanging="317"/>
        <w:jc w:val="left"/>
      </w:pPr>
      <w:r>
        <w:rPr>
          <w:rFonts w:ascii="Times New Roman" w:hAnsi="Times New Roman" w:eastAsia="Times New Roman"/>
          <w:sz w:val="20"/>
        </w:rPr>
        <w:t xml:space="preserve">[7] Hu S, Lu C, Clune J. Automated Design of Agentic Systems. 2024. </w:t>
      </w:r>
      <w:hyperlink r:id="rId23">
        <w:r>
          <w:rPr>
            <w:rFonts w:ascii="Times New Roman" w:hAnsi="Times New Roman"/>
            <w:color w:val="0000FF"/>
            <w:u w:val="single"/>
            <w:sz w:val="20"/>
          </w:rPr>
          <w:t>arXiv:2408.08435</w:t>
        </w:r>
      </w:hyperlink>
      <w:r>
        <w:rPr>
          <w:rFonts w:ascii="Times New Roman" w:hAnsi="Times New Roman" w:eastAsia="Times New Roman"/>
          <w:sz w:val="20"/>
        </w:rPr>
        <w:t>.</w:t>
      </w:r>
    </w:p>
    <w:p>
      <w:pPr>
        <w:keepNext w:val="0"/>
        <w:spacing w:before="0" w:after="20" w:line="240" w:lineRule="auto"/>
        <w:ind w:left="317" w:hanging="317"/>
        <w:jc w:val="left"/>
      </w:pPr>
      <w:r>
        <w:rPr>
          <w:rFonts w:ascii="Times New Roman" w:hAnsi="Times New Roman" w:eastAsia="Times New Roman"/>
          <w:sz w:val="20"/>
        </w:rPr>
        <w:t xml:space="preserve">[8] Yang Y, et al. SkillOpt: Executive Strategy for Self-Evolving Agent Skills. 2026. </w:t>
      </w:r>
      <w:hyperlink r:id="rId24">
        <w:r>
          <w:rPr>
            <w:rFonts w:ascii="Times New Roman" w:hAnsi="Times New Roman"/>
            <w:color w:val="0000FF"/>
            <w:u w:val="single"/>
            <w:sz w:val="20"/>
          </w:rPr>
          <w:t>arXiv:2605.23904</w:t>
        </w:r>
      </w:hyperlink>
      <w:r>
        <w:rPr>
          <w:rFonts w:ascii="Times New Roman" w:hAnsi="Times New Roman" w:eastAsia="Times New Roman"/>
          <w:sz w:val="20"/>
        </w:rPr>
        <w:t>.</w:t>
      </w:r>
    </w:p>
    <w:p>
      <w:pPr>
        <w:keepNext w:val="0"/>
        <w:spacing w:before="0" w:after="20" w:line="240" w:lineRule="auto"/>
        <w:ind w:left="317" w:hanging="317"/>
        <w:jc w:val="left"/>
      </w:pPr>
      <w:r>
        <w:rPr>
          <w:rFonts w:ascii="Times New Roman" w:hAnsi="Times New Roman" w:eastAsia="Times New Roman"/>
          <w:sz w:val="20"/>
        </w:rPr>
        <w:t xml:space="preserve">[9] Liu Y, et al. SkillRevise: Improving LLM-Authored Agent Skills via Trace-Conditioned Skill Revision. 2026. </w:t>
      </w:r>
      <w:hyperlink r:id="rId25">
        <w:r>
          <w:rPr>
            <w:rFonts w:ascii="Times New Roman" w:hAnsi="Times New Roman"/>
            <w:color w:val="0000FF"/>
            <w:u w:val="single"/>
            <w:sz w:val="20"/>
          </w:rPr>
          <w:t>arXiv:2606.01139</w:t>
        </w:r>
      </w:hyperlink>
      <w:r>
        <w:rPr>
          <w:rFonts w:ascii="Times New Roman" w:hAnsi="Times New Roman" w:eastAsia="Times New Roman"/>
          <w:sz w:val="20"/>
        </w:rPr>
        <w:t>.</w:t>
      </w:r>
    </w:p>
    <w:p>
      <w:pPr>
        <w:keepNext w:val="0"/>
        <w:spacing w:before="0" w:after="20" w:line="240" w:lineRule="auto"/>
        <w:ind w:left="317" w:hanging="317"/>
        <w:jc w:val="left"/>
      </w:pPr>
      <w:r>
        <w:rPr>
          <w:rFonts w:ascii="Times New Roman" w:hAnsi="Times New Roman" w:eastAsia="Times New Roman"/>
          <w:sz w:val="20"/>
        </w:rPr>
        <w:t xml:space="preserve">[10] Gao Y, et al. SkillReducer: Optimizing LLM Agent Skills for Token Efficiency. 2026. </w:t>
      </w:r>
      <w:hyperlink r:id="rId26">
        <w:r>
          <w:rPr>
            <w:rFonts w:ascii="Times New Roman" w:hAnsi="Times New Roman"/>
            <w:color w:val="0000FF"/>
            <w:u w:val="single"/>
            <w:sz w:val="20"/>
          </w:rPr>
          <w:t>arXiv:2603.29919</w:t>
        </w:r>
      </w:hyperlink>
      <w:r>
        <w:rPr>
          <w:rFonts w:ascii="Times New Roman" w:hAnsi="Times New Roman" w:eastAsia="Times New Roman"/>
          <w:sz w:val="20"/>
        </w:rPr>
        <w:t>.</w:t>
      </w:r>
    </w:p>
    <w:p>
      <w:pPr>
        <w:keepNext w:val="0"/>
        <w:spacing w:before="0" w:after="20" w:line="240" w:lineRule="auto"/>
        <w:ind w:left="317" w:hanging="317"/>
        <w:jc w:val="left"/>
      </w:pPr>
      <w:r>
        <w:rPr>
          <w:rFonts w:ascii="Times New Roman" w:hAnsi="Times New Roman" w:eastAsia="Times New Roman"/>
          <w:sz w:val="20"/>
        </w:rPr>
        <w:t xml:space="preserve">[11] Kevin C, et al. Evaluating Skills, Not Just Agents: Agentic Continuous Evaluation of Skills. 2026. </w:t>
      </w:r>
      <w:hyperlink r:id="rId27">
        <w:r>
          <w:rPr>
            <w:rFonts w:ascii="Times New Roman" w:hAnsi="Times New Roman"/>
            <w:color w:val="0000FF"/>
            <w:u w:val="single"/>
            <w:sz w:val="20"/>
          </w:rPr>
          <w:t>arXiv:2608.20614</w:t>
        </w:r>
      </w:hyperlink>
      <w:r>
        <w:rPr>
          <w:rFonts w:ascii="Times New Roman" w:hAnsi="Times New Roman" w:eastAsia="Times New Roman"/>
          <w:sz w:val="20"/>
        </w:rPr>
        <w:t>.</w:t>
      </w:r>
    </w:p>
    <w:p>
      <w:pPr>
        <w:keepNext w:val="0"/>
        <w:spacing w:before="0" w:after="20" w:line="240" w:lineRule="auto"/>
        <w:ind w:left="317" w:hanging="317"/>
        <w:jc w:val="left"/>
      </w:pPr>
      <w:r>
        <w:rPr>
          <w:rFonts w:ascii="Times New Roman" w:hAnsi="Times New Roman" w:eastAsia="Times New Roman"/>
          <w:sz w:val="20"/>
        </w:rPr>
        <w:t xml:space="preserve">[12] Maddipatla Naga Venkata Sai Krishna, Asit Kumar Sahoo. PLaND experiment records and implementation. 2026. </w:t>
      </w:r>
      <w:hyperlink r:id="rId28">
        <w:r>
          <w:rPr>
            <w:rFonts w:ascii="Times New Roman" w:hAnsi="Times New Roman"/>
            <w:color w:val="0000FF"/>
            <w:u w:val="single"/>
            <w:sz w:val="20"/>
          </w:rPr>
          <w:t>Evidence snapshot f9aa707</w:t>
        </w:r>
      </w:hyperlink>
      <w:r>
        <w:rPr>
          <w:rFonts w:ascii="Times New Roman" w:hAnsi="Times New Roman" w:eastAsia="Times New Roman"/>
          <w:sz w:val="20"/>
        </w:rPr>
        <w:t>.</w:t>
      </w:r>
    </w:p>
    <w:p>
      <w:pPr>
        <w:keepNext w:val="0"/>
        <w:spacing w:before="0" w:after="20" w:line="240" w:lineRule="auto"/>
        <w:ind w:left="317" w:hanging="317"/>
        <w:jc w:val="left"/>
      </w:pPr>
      <w:r>
        <w:rPr>
          <w:rFonts w:ascii="Times New Roman" w:hAnsi="Times New Roman" w:eastAsia="Times New Roman"/>
          <w:sz w:val="20"/>
        </w:rPr>
        <w:t xml:space="preserve">[13] Walker E, Nowacki AS. Understanding Equivalence and Noninferiority Testing. Journal of General Internal Medicine. 2011;26(2):192-196. </w:t>
      </w:r>
      <w:hyperlink r:id="rId29">
        <w:r>
          <w:rPr>
            <w:rFonts w:ascii="Times New Roman" w:hAnsi="Times New Roman"/>
            <w:color w:val="0000FF"/>
            <w:u w:val="single"/>
            <w:sz w:val="20"/>
          </w:rPr>
          <w:t>doi:10.1007/s11606-010-1513-8</w:t>
        </w:r>
      </w:hyperlink>
      <w:r>
        <w:rPr>
          <w:rFonts w:ascii="Times New Roman" w:hAnsi="Times New Roman" w:eastAsia="Times New Roman"/>
          <w:sz w:val="20"/>
        </w:rPr>
        <w:t>.</w:t>
      </w:r>
    </w:p>
    <w:p>
      <w:pPr>
        <w:keepNext w:val="0"/>
        <w:spacing w:before="0" w:after="20" w:line="240" w:lineRule="auto"/>
        <w:ind w:left="317" w:hanging="317"/>
        <w:jc w:val="left"/>
      </w:pPr>
      <w:r>
        <w:rPr>
          <w:rFonts w:ascii="Times New Roman" w:hAnsi="Times New Roman" w:eastAsia="Times New Roman"/>
          <w:sz w:val="20"/>
        </w:rPr>
        <w:t xml:space="preserve">[14] Tuggener D, von Däniken P, Peetz T, Cieliebak M. LEDGAR: A Large-Scale Multi-label Corpus for Text Classification of Legal Provisions in Contracts. Proceedings of LREC. 2020:1235-1241. </w:t>
      </w:r>
      <w:hyperlink r:id="rId30">
        <w:r>
          <w:rPr>
            <w:rFonts w:ascii="Times New Roman" w:hAnsi="Times New Roman"/>
            <w:color w:val="0000FF"/>
            <w:u w:val="single"/>
            <w:sz w:val="20"/>
          </w:rPr>
          <w:t>ACL Anthology</w:t>
        </w:r>
      </w:hyperlink>
      <w:r>
        <w:rPr>
          <w:rFonts w:ascii="Times New Roman" w:hAnsi="Times New Roman" w:eastAsia="Times New Roman"/>
          <w:sz w:val="20"/>
        </w:rPr>
        <w:t>.</w:t>
      </w:r>
    </w:p>
    <w:p>
      <w:pPr>
        <w:keepNext w:val="0"/>
        <w:spacing w:before="0" w:after="20" w:line="240" w:lineRule="auto"/>
        <w:ind w:left="317" w:hanging="317"/>
        <w:jc w:val="left"/>
      </w:pPr>
      <w:r>
        <w:rPr>
          <w:rFonts w:ascii="Times New Roman" w:hAnsi="Times New Roman" w:eastAsia="Times New Roman"/>
          <w:sz w:val="20"/>
        </w:rPr>
        <w:t xml:space="preserve">[15] Chalkidis I, et al. LexGLUE: A Benchmark Dataset for Legal Language Understanding in English. Proceedings of ACL. 2022:4310-4330. </w:t>
      </w:r>
      <w:hyperlink r:id="rId31">
        <w:r>
          <w:rPr>
            <w:rFonts w:ascii="Times New Roman" w:hAnsi="Times New Roman"/>
            <w:color w:val="0000FF"/>
            <w:u w:val="single"/>
            <w:sz w:val="20"/>
          </w:rPr>
          <w:t>ACL Anthology</w:t>
        </w:r>
      </w:hyperlink>
      <w:r>
        <w:rPr>
          <w:rFonts w:ascii="Times New Roman" w:hAnsi="Times New Roman" w:eastAsia="Times New Roman"/>
          <w:sz w:val="20"/>
        </w:rPr>
        <w:t>.</w:t>
      </w:r>
    </w:p>
    <w:p>
      <w:pPr>
        <w:keepNext w:val="0"/>
        <w:spacing w:before="0" w:after="20" w:line="240" w:lineRule="auto"/>
        <w:ind w:left="317" w:hanging="317"/>
        <w:jc w:val="left"/>
      </w:pPr>
      <w:r>
        <w:rPr>
          <w:rFonts w:ascii="Times New Roman" w:hAnsi="Times New Roman" w:eastAsia="Times New Roman"/>
          <w:sz w:val="20"/>
        </w:rPr>
        <w:t xml:space="preserve">[16] Consumer Financial Protection Bureau. Consumer Complaint Database. </w:t>
      </w:r>
      <w:hyperlink r:id="rId32">
        <w:r>
          <w:rPr>
            <w:rFonts w:ascii="Times New Roman" w:hAnsi="Times New Roman"/>
            <w:color w:val="0000FF"/>
            <w:u w:val="single"/>
            <w:sz w:val="20"/>
          </w:rPr>
          <w:t>Official dataset</w:t>
        </w:r>
      </w:hyperlink>
      <w:r>
        <w:rPr>
          <w:rFonts w:ascii="Times New Roman" w:hAnsi="Times New Roman" w:eastAsia="Times New Roman"/>
          <w:sz w:val="20"/>
        </w:rPr>
        <w:t>. Accessed September 5, 2026.</w:t>
      </w:r>
    </w:p>
    <w:p>
      <w:pPr>
        <w:keepNext w:val="0"/>
        <w:spacing w:before="0" w:after="20" w:line="240" w:lineRule="auto"/>
        <w:ind w:left="317" w:hanging="317"/>
        <w:jc w:val="left"/>
      </w:pPr>
      <w:r>
        <w:rPr>
          <w:rFonts w:ascii="Times New Roman" w:hAnsi="Times New Roman" w:eastAsia="Times New Roman"/>
          <w:sz w:val="20"/>
        </w:rPr>
        <w:t xml:space="preserve">[17] Apache SpamAssassin. Public mail corpus. </w:t>
      </w:r>
      <w:hyperlink r:id="rId33">
        <w:r>
          <w:rPr>
            <w:rFonts w:ascii="Times New Roman" w:hAnsi="Times New Roman"/>
            <w:color w:val="0000FF"/>
            <w:u w:val="single"/>
            <w:sz w:val="20"/>
          </w:rPr>
          <w:t>Official dataset</w:t>
        </w:r>
      </w:hyperlink>
      <w:r>
        <w:rPr>
          <w:rFonts w:ascii="Times New Roman" w:hAnsi="Times New Roman" w:eastAsia="Times New Roman"/>
          <w:sz w:val="20"/>
        </w:rPr>
        <w:t>. Accessed September 5, 2026.</w:t>
      </w:r>
    </w:p>
    <w:p>
      <w:pPr>
        <w:keepNext w:val="0"/>
        <w:spacing w:before="0" w:after="20" w:line="240" w:lineRule="auto"/>
        <w:ind w:left="317" w:hanging="317"/>
        <w:jc w:val="left"/>
      </w:pPr>
      <w:r>
        <w:rPr>
          <w:rFonts w:ascii="Times New Roman" w:hAnsi="Times New Roman" w:eastAsia="Times New Roman"/>
          <w:sz w:val="20"/>
        </w:rPr>
        <w:t xml:space="preserve">[18] Efron B. Bootstrap Methods: Another Look at the Jackknife. The Annals of Statistics. 1979;7(1):1-26. </w:t>
      </w:r>
      <w:hyperlink r:id="rId34">
        <w:r>
          <w:rPr>
            <w:rFonts w:ascii="Times New Roman" w:hAnsi="Times New Roman"/>
            <w:color w:val="0000FF"/>
            <w:u w:val="single"/>
            <w:sz w:val="20"/>
          </w:rPr>
          <w:t>doi:10.1214/aos/1176344552</w:t>
        </w:r>
      </w:hyperlink>
      <w:r>
        <w:rPr>
          <w:rFonts w:ascii="Times New Roman" w:hAnsi="Times New Roman" w:eastAsia="Times New Roman"/>
          <w:sz w:val="20"/>
        </w:rPr>
        <w:t>.</w:t>
      </w:r>
    </w:p>
    <w:sectPr w:rsidR="00FC693F" w:rsidRPr="0006063C" w:rsidSect="00034616">
      <w:type w:val="continuous"/>
      <w:pgSz w:w="11906" w:h="16838"/>
      <w:pgMar w:top="1077" w:right="1077" w:bottom="1077" w:left="1077" w:header="720" w:footer="720" w:gutter="0"/>
      <w:cols w:space="3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jc w:val="center"/>
    </w:pPr>
    <w:r>
      <w:rPr>
        <w:rFonts w:ascii="Times New Roman" w:hAnsi="Times New Roman" w:eastAsia="Times New Roman"/>
        <w:sz w:val="20"/>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40" w:lineRule="auto"/>
    </w:pPr>
    <w:rPr>
      <w:rFonts w:ascii="Times New Roman" w:hAnsi="Times New Roman" w:eastAsia="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line="240" w:lineRule="auto"/>
      <w:outlineLvl w:val="0"/>
    </w:pPr>
    <w:rPr>
      <w:rFonts w:asciiTheme="majorHAnsi" w:eastAsiaTheme="majorEastAsia" w:hAnsiTheme="majorHAnsi" w:cstheme="majorBidi" w:ascii="Times New Roman" w:hAnsi="Times New Roman" w:eastAsia="Times New Roman"/>
      <w:b/>
      <w:bCs/>
      <w:color w:val="0070C0"/>
      <w:sz w:val="24"/>
      <w:szCs w:val="28"/>
    </w:rPr>
  </w:style>
  <w:style w:type="paragraph" w:styleId="Heading2">
    <w:name w:val="heading 2"/>
    <w:basedOn w:val="Normal"/>
    <w:next w:val="Normal"/>
    <w:link w:val="Heading2Char"/>
    <w:uiPriority w:val="9"/>
    <w:unhideWhenUsed/>
    <w:qFormat/>
    <w:rsid w:val="00FC693F"/>
    <w:pPr>
      <w:keepNext/>
      <w:keepLines/>
      <w:spacing w:before="160" w:after="40" w:line="24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4A93"/>
      <w:spacing w:val="5"/>
      <w:kern w:val="28"/>
      <w:sz w:val="32"/>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40" w:lineRule="auto"/>
      <w:ind w:left="360" w:hanging="259"/>
      <w:contextualSpacing/>
    </w:pPr>
    <w:rPr>
      <w:rFonts w:ascii="Times New Roman" w:hAnsi="Times New Roman"/>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40" w:lineRule="auto"/>
      <w:ind w:left="360" w:hanging="259"/>
      <w:contextualSpacing/>
    </w:pPr>
    <w:rPr>
      <w:rFonts w:ascii="Times New Roman" w:hAnsi="Times New Roman"/>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yperlink" Target="https://github.com/mnvsk97/PLaND" TargetMode="External"/><Relationship Id="rId14" Type="http://schemas.openxmlformats.org/officeDocument/2006/relationships/hyperlink" Target="https://github.com/mnvsk97/PLaND/tree/f9aa70753c64bd6d409b9ff6ae934edd1f7bedc4/experiments/ledgar-text-classification/results" TargetMode="External"/><Relationship Id="rId15" Type="http://schemas.openxmlformats.org/officeDocument/2006/relationships/hyperlink" Target="https://github.com/mnvsk97/PLaND/tree/f9aa70753c64bd6d409b9ff6ae934edd1f7bedc4/experiments/cfpb-text-classification/results" TargetMode="External"/><Relationship Id="rId16" Type="http://schemas.openxmlformats.org/officeDocument/2006/relationships/hyperlink" Target="https://github.com/mnvsk97/PLaND/tree/f9aa70753c64bd6d409b9ff6ae934edd1f7bedc4/experiments/spamassassin-email-classification/results" TargetMode="External"/><Relationship Id="rId17" Type="http://schemas.openxmlformats.org/officeDocument/2006/relationships/hyperlink" Target="https://agentskills.io/specification" TargetMode="External"/><Relationship Id="rId18" Type="http://schemas.openxmlformats.org/officeDocument/2006/relationships/hyperlink" Target="https://docs.langchain.com/oss/python/deepagents/skills" TargetMode="External"/><Relationship Id="rId19" Type="http://schemas.openxmlformats.org/officeDocument/2006/relationships/hyperlink" Target="https://docs.langchain.com/oss/python/langgraph/overview" TargetMode="External"/><Relationship Id="rId20" Type="http://schemas.openxmlformats.org/officeDocument/2006/relationships/hyperlink" Target="https://arxiv.org/abs/2310.03714" TargetMode="External"/><Relationship Id="rId21" Type="http://schemas.openxmlformats.org/officeDocument/2006/relationships/hyperlink" Target="https://arxiv.org/abs/2407.12821" TargetMode="External"/><Relationship Id="rId22" Type="http://schemas.openxmlformats.org/officeDocument/2006/relationships/hyperlink" Target="https://arxiv.org/abs/2410.10762" TargetMode="External"/><Relationship Id="rId23" Type="http://schemas.openxmlformats.org/officeDocument/2006/relationships/hyperlink" Target="https://arxiv.org/abs/2408.08435" TargetMode="External"/><Relationship Id="rId24" Type="http://schemas.openxmlformats.org/officeDocument/2006/relationships/hyperlink" Target="https://arxiv.org/abs/2605.23904" TargetMode="External"/><Relationship Id="rId25" Type="http://schemas.openxmlformats.org/officeDocument/2006/relationships/hyperlink" Target="https://arxiv.org/abs/2606.01139" TargetMode="External"/><Relationship Id="rId26" Type="http://schemas.openxmlformats.org/officeDocument/2006/relationships/hyperlink" Target="https://arxiv.org/abs/2603.29919" TargetMode="External"/><Relationship Id="rId27" Type="http://schemas.openxmlformats.org/officeDocument/2006/relationships/hyperlink" Target="https://arxiv.org/abs/2608.20614" TargetMode="External"/><Relationship Id="rId28" Type="http://schemas.openxmlformats.org/officeDocument/2006/relationships/hyperlink" Target="https://github.com/mnvsk97/PLaND/tree/f9aa70753c64bd6d409b9ff6ae934edd1f7bedc4" TargetMode="External"/><Relationship Id="rId29" Type="http://schemas.openxmlformats.org/officeDocument/2006/relationships/hyperlink" Target="https://doi.org/10.1007/s11606-010-1513-8" TargetMode="External"/><Relationship Id="rId30" Type="http://schemas.openxmlformats.org/officeDocument/2006/relationships/hyperlink" Target="https://aclanthology.org/2020.lrec-1.155/" TargetMode="External"/><Relationship Id="rId31" Type="http://schemas.openxmlformats.org/officeDocument/2006/relationships/hyperlink" Target="https://aclanthology.org/2022.acl-long.297/" TargetMode="External"/><Relationship Id="rId32" Type="http://schemas.openxmlformats.org/officeDocument/2006/relationships/hyperlink" Target="https://www.consumerfinance.gov/data-research/consumer-complaints/" TargetMode="External"/><Relationship Id="rId33" Type="http://schemas.openxmlformats.org/officeDocument/2006/relationships/hyperlink" Target="https://spamassassin.apache.org/old/publiccorpus/" TargetMode="External"/><Relationship Id="rId34" Type="http://schemas.openxmlformats.org/officeDocument/2006/relationships/hyperlink" Target="https://doi.org/10.1214/aos/11763445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PLaND - Path to Least Non Determinism</dc:title>
  <dc:subject>Controlled evolution of agent skills</dc:subject>
  <dc:creator>Maddipatla Naga Venkata Sai Krishna; Asit Kumar Sahoo</dc:creator>
  <cp:keywords>agent skills, deterministic workflows, evaluation</cp:keywords>
  <dc:description>Source SHA-256: 873a59429a33dd781d3d6b671e51442782b543498db05db3fda30cc0f966442b</dc:description>
  <cp:lastModifiedBy/>
  <cp:revision>1</cp:revision>
  <dcterms:created xsi:type="dcterms:W3CDTF">2013-12-23T23:15:00Z</dcterms:created>
  <dcterms:modified xsi:type="dcterms:W3CDTF">2013-12-23T23:15:00Z</dcterms:modified>
  <cp:category/>
</cp:coreProperties>
</file>