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240" w:lineRule="auto"/>
      </w:pPr>
      <w:r>
        <w:rPr>
          <w:rFonts w:ascii="Times New Roman" w:hAnsi="Times New Roman" w:eastAsia="Times New Roman"/>
          <w:color w:val="004A93"/>
          <w:sz w:val="36"/>
        </w:rPr>
        <w:t>Scholars Journal of Engineering and Technology</w:t>
      </w:r>
    </w:p>
    <w:p>
      <w:pPr>
        <w:keepNext/>
        <w:spacing w:before="0" w:after="160" w:line="240" w:lineRule="auto"/>
        <w:pBdr>
          <w:bottom w:val="single" w:sz="6" w:color="557030"/>
        </w:pBdr>
      </w:pPr>
      <w:r>
        <w:rPr>
          <w:rFonts w:ascii="Times New Roman" w:hAnsi="Times New Roman" w:eastAsia="Times New Roman"/>
          <w:sz w:val="15"/>
        </w:rPr>
        <w:t>Abbreviated Key Title: Sch J Eng Tech</w:t>
        <w:br/>
        <w:t>Journal homepage: https://saspublishers.com/journal/sjet/home</w:t>
      </w:r>
    </w:p>
    <w:p>
      <w:pPr>
        <w:keepNext/>
        <w:spacing w:before="0" w:after="60" w:line="240" w:lineRule="auto"/>
        <w:jc w:val="left"/>
        <w:pBdr>
          <w:bottom w:val="single" w:sz="6" w:color="D21F26"/>
        </w:pBdr>
      </w:pPr>
      <w:r>
        <w:rPr>
          <w:rFonts w:ascii="Times New Roman" w:hAnsi="Times New Roman" w:eastAsia="Times New Roman"/>
          <w:b w:val="0"/>
          <w:color w:val="004A93"/>
          <w:sz w:val="32"/>
        </w:rPr>
        <w:t>PLaND - Path to Least Non Determinism</w:t>
      </w:r>
    </w:p>
    <w:p>
      <w:pPr>
        <w:keepNext/>
        <w:spacing w:before="0" w:after="60" w:line="240" w:lineRule="auto"/>
        <w:jc w:val="left"/>
      </w:pPr>
      <w:r>
        <w:rPr>
          <w:rFonts w:ascii="Times New Roman" w:hAnsi="Times New Roman" w:eastAsia="Times New Roman"/>
          <w:b/>
          <w:sz w:val="18"/>
        </w:rPr>
        <w:t>Maddipatla Naga Venkata Sai Krishna</w:t>
      </w:r>
      <w:r>
        <w:rPr>
          <w:rFonts w:ascii="Times New Roman" w:hAnsi="Times New Roman" w:eastAsia="Times New Roman"/>
          <w:sz w:val="18"/>
        </w:rPr>
        <w:t xml:space="preserve">, </w:t>
      </w:r>
      <w:r>
        <w:rPr>
          <w:rFonts w:ascii="Times New Roman" w:hAnsi="Times New Roman" w:eastAsia="Times New Roman"/>
          <w:b/>
          <w:sz w:val="18"/>
        </w:rPr>
        <w:t>Asit Kumar Sahoo</w:t>
      </w:r>
    </w:p>
    <w:p>
      <w:pPr>
        <w:keepNext/>
        <w:spacing w:before="0" w:after="160" w:line="240" w:lineRule="auto"/>
        <w:jc w:val="center"/>
      </w:pPr>
      <w:r>
        <w:rPr>
          <w:rFonts w:ascii="Times New Roman" w:hAnsi="Times New Roman" w:eastAsia="Times New Roman"/>
          <w:i/>
          <w:sz w:val="18"/>
        </w:rPr>
        <w:t>Affiliations: Both authors are Independent Researchers, San Francisco, CA, USA. Corresponding author: Maddipatla Naga Venkata Sai Krishna; mnvsk97@gmail.com.</w:t>
      </w:r>
    </w:p>
    <w:p>
      <w:pPr>
        <w:pStyle w:val="Heading1"/>
        <w:jc w:val="left"/>
        <w:shd w:fill="002060"/>
      </w:pPr>
      <w:r>
        <w:rPr>
          <w:rFonts w:ascii="Times New Roman" w:hAnsi="Times New Roman" w:eastAsia="Times New Roman"/>
          <w:b/>
          <w:color w:val="FFFFFF"/>
          <w:sz w:val="18"/>
        </w:rPr>
        <w:t>ABSTRACT</w:t>
      </w:r>
    </w:p>
    <w:p>
      <w:pPr>
        <w:keepNext w:val="0"/>
        <w:spacing w:before="0" w:after="80" w:line="240" w:lineRule="auto"/>
        <w:ind w:firstLine="288"/>
        <w:jc w:val="both"/>
      </w:pPr>
      <w:r>
        <w:rPr>
          <w:rFonts w:ascii="Times New Roman" w:hAnsi="Times New Roman" w:eastAsia="Times New Roman"/>
          <w:sz w:val="18"/>
        </w:rPr>
        <w:t>Language-model agents often repeat mechanical work because an entire standard operating procedure (SOP) is expressed in natural language. We present Path to Least Non Determinism (PLaND), an evaluation-driven methodology that retains language-model judgment where needed while moving stable steps into references, Python, or Bash. Before measurement, PLaND freezes the model, prompt, harness, data, scorer, seed, runtime settings, permissions, and acceptance rule; only the workflow skill package may evolve. Three new paired replications on a balanced top-10, single-label LEDGAR test subset produced 93.7% natural-language (NL) and 92.9% hybrid accuracy in every run. The hybrid passed every absolute viability, non-inferiority, and efficiency gate, reduced mean tokens 40.02% (376,090 to 225,575.33), and bypassed 411 of 1,000 model calls. Both variants produced identical labels across the three seeds, so observed cross-run disagreement was zero; this floor does not show hybrid-specific variance reduction. CFPB and SpamAssassin repeated their rejection outcomes in all three runs despite token savings. Three document-image workflows remained single-baseline feasibility failures. PLaND therefore supports selective, evidence-bound determinisation rather than unconditional conversion to code.</w:t>
      </w:r>
    </w:p>
    <w:p>
      <w:pPr>
        <w:keepNext w:val="0"/>
        <w:spacing w:before="0" w:after="80" w:line="240" w:lineRule="auto"/>
        <w:ind w:firstLine="0"/>
        <w:shd w:fill="F1F5E8"/>
        <w:pBdr>
          <w:bottom w:val="single" w:sz="6" w:color="557030"/>
        </w:pBdr>
      </w:pPr>
      <w:r>
        <w:rPr>
          <w:rFonts w:ascii="Times New Roman" w:hAnsi="Times New Roman" w:eastAsia="Times New Roman"/>
          <w:b/>
          <w:sz w:val="18"/>
        </w:rPr>
        <w:t>Keywords:</w:t>
      </w:r>
      <w:r>
        <w:rPr>
          <w:rFonts w:ascii="Times New Roman" w:hAnsi="Times New Roman" w:eastAsia="Times New Roman"/>
          <w:sz w:val="18"/>
        </w:rPr>
        <w:t xml:space="preserve"> agent skills, deterministic workflows, language-model agents, evaluation, token efficiency, workflow optimization</w:t>
      </w:r>
    </w:p>
    <w:p>
      <w:pPr>
        <w:sectPr>
          <w:headerReference w:type="default" r:id="rId9"/>
          <w:headerReference w:type="first" r:id="rId10"/>
          <w:footerReference w:type="default" r:id="rId11"/>
          <w:footerReference w:type="first" r:id="rId12"/>
          <w:pgSz w:w="11906" w:h="16838"/>
          <w:pgMar w:top="1008" w:right="1008" w:bottom="936" w:left="1008" w:header="461" w:footer="432" w:gutter="0"/>
          <w:cols w:space="340" w:num="1"/>
          <w:titlePg/>
          <w:docGrid w:linePitch="360"/>
        </w:sectPr>
      </w:pPr>
    </w:p>
    <w:p>
      <w:pPr>
        <w:pStyle w:val="Heading1"/>
      </w:pPr>
      <w:r>
        <w:rPr>
          <w:rFonts w:ascii="Times New Roman" w:hAnsi="Times New Roman" w:eastAsia="Times New Roman"/>
          <w:b/>
          <w:sz w:val="18"/>
        </w:rPr>
        <w:t>INTRODUCTION</w:t>
      </w:r>
    </w:p>
    <w:p>
      <w:pPr>
        <w:keepNext w:val="0"/>
        <w:spacing w:before="0" w:after="80" w:line="240" w:lineRule="auto"/>
        <w:ind w:firstLine="288"/>
        <w:jc w:val="both"/>
      </w:pPr>
      <w:r>
        <w:rPr>
          <w:rFonts w:ascii="Times New Roman" w:hAnsi="Times New Roman" w:eastAsia="Times New Roman"/>
          <w:sz w:val="18"/>
        </w:rPr>
        <w:t xml:space="preserve">Language-model agents are valuable when a task requires interpretation, contextual judgment, or exception handling. They are less valuable when repeatedly asked to parse fixed fields, count items, normalize values, validate a schema, or apply an exact rule. Reusable agent instructions are increasingly packaged as skills: the Agent Skills specification requires </w:t>
      </w:r>
      <w:r>
        <w:rPr>
          <w:rFonts w:ascii="Courier New" w:hAnsi="Courier New" w:eastAsia="Times New Roman"/>
          <w:sz w:val="18"/>
        </w:rPr>
        <w:t>SKILL.md</w:t>
      </w:r>
      <w:r>
        <w:rPr>
          <w:rFonts w:ascii="Times New Roman" w:hAnsi="Times New Roman" w:eastAsia="Times New Roman"/>
          <w:sz w:val="18"/>
        </w:rPr>
        <w:t xml:space="preserve"> and permits references, scripts, and assets [1]; DeepAgents supports open-ended skill use [2]; and LangGraph represents stable workflows as explicit graphs [3]. These systems do not determine which SOP steps should retain model judgment.</w:t>
      </w:r>
    </w:p>
    <w:p>
      <w:pPr>
        <w:keepNext w:val="0"/>
        <w:spacing w:before="0" w:after="80" w:line="240" w:lineRule="auto"/>
        <w:ind w:firstLine="288"/>
        <w:jc w:val="both"/>
      </w:pPr>
      <w:r>
        <w:rPr>
          <w:rFonts w:ascii="Times New Roman" w:hAnsi="Times New Roman" w:eastAsia="Times New Roman"/>
          <w:sz w:val="18"/>
        </w:rPr>
        <w:t>PLaND asks: what is the least non-deterministic form of a workflow that still satisfies its measured quality contract? Natural language remains appropriate for ambiguous decisions. Ordinary code is usually preferable for bounded, testable computation. The intended endpoint may therefore be an open-ended agent, a hybrid skill, or a mostly deterministic graph.</w:t>
      </w:r>
    </w:p>
    <w:p>
      <w:pPr>
        <w:keepNext w:val="0"/>
        <w:spacing w:before="0" w:after="80" w:line="240" w:lineRule="auto"/>
        <w:ind w:firstLine="288"/>
        <w:jc w:val="both"/>
      </w:pPr>
      <w:r>
        <w:rPr>
          <w:rFonts w:ascii="Times New Roman" w:hAnsi="Times New Roman" w:eastAsia="Times New Roman"/>
          <w:sz w:val="18"/>
        </w:rPr>
        <w:t>Related systems optimize language-model programs, prompts, workflows, or skills. DSPy compiles declarative model pipelines against metrics [4]; AutoFlow and AFlow generate and optimize workflows [5, 6]; and Automated Design of Agentic Systems searches agent designs [7]. SkillOpt, SkillRevise, SkillReducer, and ACES optimize or evaluate reusable skills [8-11]. PLaND contributes a narrower representation path - English instruction, reference, or command - plus a frozen mutation boundary, paired evaluation, explicit rejection records, and a held-out release gate.</w:t>
      </w:r>
    </w:p>
    <w:p>
      <w:pPr>
        <w:keepNext w:val="0"/>
        <w:spacing w:before="0" w:after="80" w:line="240" w:lineRule="auto"/>
        <w:ind w:firstLine="288"/>
        <w:jc w:val="both"/>
      </w:pPr>
      <w:r>
        <w:rPr>
          <w:rFonts w:ascii="Times New Roman" w:hAnsi="Times New Roman" w:eastAsia="Times New Roman"/>
          <w:sz w:val="18"/>
        </w:rPr>
        <w:t>We ask whether a hybrid SOP can reduce model-mediated work while remaining inside a fixed quality margin, whether validation gates block efficient but unsafe candidates, whether savings arise from fewer calls rather than prompt shortening alone, and how stable case-level predictions are across a small set of controlled replications.</w:t>
      </w:r>
    </w:p>
    <w:p>
      <w:pPr>
        <w:pStyle w:val="Heading1"/>
      </w:pPr>
      <w:r>
        <w:rPr>
          <w:rFonts w:ascii="Times New Roman" w:hAnsi="Times New Roman" w:eastAsia="Times New Roman"/>
          <w:b/>
          <w:sz w:val="18"/>
        </w:rPr>
        <w:t>MATERIAL AND METHODS</w:t>
      </w:r>
    </w:p>
    <w:p>
      <w:pPr>
        <w:pStyle w:val="Heading2"/>
      </w:pPr>
      <w:r>
        <w:rPr>
          <w:rFonts w:ascii="Times New Roman" w:hAnsi="Times New Roman" w:eastAsia="Times New Roman"/>
          <w:b/>
          <w:sz w:val="18"/>
        </w:rPr>
        <w:t>Methodology and mutation boundary</w:t>
      </w:r>
    </w:p>
    <w:p>
      <w:pPr>
        <w:keepNext w:val="0"/>
        <w:spacing w:before="0" w:after="80" w:line="240" w:lineRule="auto"/>
        <w:ind w:firstLine="288"/>
        <w:jc w:val="both"/>
      </w:pPr>
      <w:r>
        <w:rPr>
          <w:rFonts w:ascii="Times New Roman" w:hAnsi="Times New Roman" w:eastAsia="Times New Roman"/>
          <w:sz w:val="18"/>
        </w:rPr>
        <w:t xml:space="preserve">PLaND uses two open-ended skills. </w:t>
      </w:r>
      <w:r>
        <w:rPr>
          <w:rFonts w:ascii="Courier New" w:hAnsi="Courier New" w:eastAsia="Times New Roman"/>
          <w:sz w:val="18"/>
        </w:rPr>
        <w:t>generate-initial-version</w:t>
      </w:r>
      <w:r>
        <w:rPr>
          <w:rFonts w:ascii="Times New Roman" w:hAnsi="Times New Roman" w:eastAsia="Times New Roman"/>
          <w:sz w:val="18"/>
        </w:rPr>
        <w:t xml:space="preserve"> converts natural-language task requirements, approved data sources, and evaluation examples into an initial agent, system prompt, and natural-language SOP. </w:t>
      </w:r>
      <w:r>
        <w:rPr>
          <w:rFonts w:ascii="Courier New" w:hAnsi="Courier New" w:eastAsia="Times New Roman"/>
          <w:sz w:val="18"/>
        </w:rPr>
        <w:t>pland-evolver</w:t>
      </w:r>
      <w:r>
        <w:rPr>
          <w:rFonts w:ascii="Times New Roman" w:hAnsi="Times New Roman" w:eastAsia="Times New Roman"/>
          <w:sz w:val="18"/>
        </w:rPr>
        <w:t xml:space="preserve"> uses development traces to propose bounded changes. Task-local runners and scorers define the executable interface and primary quality measure, so the methodology is not restricted to classification or a particular output type.</w:t>
      </w:r>
    </w:p>
    <w:p>
      <w:pPr>
        <w:sectPr>
          <w:type w:val="continuous"/>
          <w:pgSz w:w="11906" w:h="16838"/>
          <w:pgMar w:top="1008" w:right="1008" w:bottom="936" w:left="1008" w:header="461" w:footer="432" w:gutter="0"/>
          <w:cols w:space="340" w:num="2"/>
          <w:titlePg/>
          <w:docGrid w:linePitch="360"/>
        </w:sectPr>
      </w:pPr>
    </w:p>
    <w:p>
      <w:pPr>
        <w:keepNext/>
        <w:spacing w:before="60" w:after="120" w:line="240" w:lineRule="auto"/>
        <w:jc w:val="center"/>
      </w:pPr>
      <w:r>
        <w:drawing>
          <wp:inline xmlns:a="http://schemas.openxmlformats.org/drawingml/2006/main" xmlns:pic="http://schemas.openxmlformats.org/drawingml/2006/picture">
            <wp:extent cx="2926080" cy="2926080"/>
            <wp:docPr id="1" name="Picture 1" descr="Architecture"/>
            <wp:cNvGraphicFramePr>
              <a:graphicFrameLocks noChangeAspect="1"/>
            </wp:cNvGraphicFramePr>
            <a:graphic>
              <a:graphicData uri="http://schemas.openxmlformats.org/drawingml/2006/picture">
                <pic:pic>
                  <pic:nvPicPr>
                    <pic:cNvPr id="0" name="architecture.jpg"/>
                    <pic:cNvPicPr/>
                  </pic:nvPicPr>
                  <pic:blipFill>
                    <a:blip r:embed="rId13"/>
                    <a:stretch>
                      <a:fillRect/>
                    </a:stretch>
                  </pic:blipFill>
                  <pic:spPr>
                    <a:xfrm>
                      <a:off x="0" y="0"/>
                      <a:ext cx="2926080" cy="2926080"/>
                    </a:xfrm>
                    <a:prstGeom prst="rect"/>
                  </pic:spPr>
                </pic:pic>
              </a:graphicData>
            </a:graphic>
          </wp:inline>
        </w:drawing>
      </w:r>
    </w:p>
    <w:p>
      <w:pPr>
        <w:keepNext w:val="0"/>
        <w:spacing w:before="0" w:after="120" w:line="240" w:lineRule="auto"/>
        <w:jc w:val="center"/>
      </w:pPr>
      <w:r>
        <w:rPr>
          <w:rFonts w:ascii="Times New Roman" w:hAnsi="Times New Roman" w:eastAsia="Times New Roman"/>
          <w:b/>
          <w:sz w:val="18"/>
        </w:rPr>
        <w:t>Figure 1. Frozen PLaND boundary.</w:t>
      </w:r>
      <w:r>
        <w:rPr>
          <w:rFonts w:ascii="Times New Roman" w:hAnsi="Times New Roman" w:eastAsia="Times New Roman"/>
          <w:sz w:val="18"/>
        </w:rPr>
        <w:t xml:space="preserve"> The initial agent and evaluation contract are finalized before baseline measurement; only the workflow skill package may evolve.</w:t>
      </w:r>
    </w:p>
    <w:p>
      <w:pPr>
        <w:sectPr>
          <w:type w:val="continuous"/>
          <w:pgSz w:w="11906" w:h="16838"/>
          <w:pgMar w:top="1008" w:right="1008" w:bottom="936" w:left="1008" w:header="461" w:footer="432" w:gutter="0"/>
          <w:cols w:space="340" w:num="1"/>
          <w:titlePg/>
          <w:docGrid w:linePitch="360"/>
        </w:sectPr>
      </w:pPr>
    </w:p>
    <w:p>
      <w:pPr>
        <w:keepNext w:val="0"/>
        <w:spacing w:before="0" w:after="80" w:line="240" w:lineRule="auto"/>
        <w:ind w:firstLine="288"/>
        <w:jc w:val="both"/>
      </w:pPr>
      <w:r>
        <w:rPr>
          <w:rFonts w:ascii="Times New Roman" w:hAnsi="Times New Roman" w:eastAsia="Times New Roman"/>
          <w:sz w:val="18"/>
        </w:rPr>
        <w:t xml:space="preserve">Every numbered SOP step is marked as an English instruction, a reference to supporting skill material, or a direct Python/Bash command. A command counts as compiled only when the evaluated runtime invokes it and consumes its output. </w:t>
      </w:r>
      <w:r>
        <w:rPr>
          <w:rFonts w:ascii="Courier New" w:hAnsi="Courier New" w:eastAsia="Times New Roman"/>
          <w:sz w:val="18"/>
        </w:rPr>
        <w:t>SKILL.md</w:t>
      </w:r>
      <w:r>
        <w:rPr>
          <w:rFonts w:ascii="Times New Roman" w:hAnsi="Times New Roman" w:eastAsia="Times New Roman"/>
          <w:sz w:val="18"/>
        </w:rPr>
        <w:t xml:space="preserve"> is the SOP source of truth, while the comparison hash also covers directly referenced instructions, invoked scripts, and approved dependencies.</w:t>
      </w:r>
    </w:p>
    <w:p>
      <w:pPr>
        <w:keepNext w:val="0"/>
        <w:spacing w:before="0" w:after="80" w:line="240" w:lineRule="auto"/>
        <w:ind w:firstLine="288"/>
        <w:jc w:val="both"/>
      </w:pPr>
      <w:r>
        <w:rPr>
          <w:rFonts w:ascii="Times New Roman" w:hAnsi="Times New Roman" w:eastAsia="Times New Roman"/>
          <w:sz w:val="18"/>
        </w:rPr>
        <w:t>The model and digest, system prompt, normalized harness, evaluation cases and expected outputs, scorer, datasource snapshot, seed, model/runtime settings, permissions, quality floor, non-inferiority margin, and expense objective are frozen. Comparison code rejects mismatched fingerprints, duplicated case identifiers, or missing full hashes. The candidate may change only the skill package. Commands require bounded input/output contracts and an English fallback. Caching and parallelism are allowed only when applied consistently and recorded as runtime invariants.</w:t>
      </w:r>
    </w:p>
    <w:p>
      <w:pPr>
        <w:sectPr>
          <w:type w:val="continuous"/>
          <w:pgSz w:w="11906" w:h="16838"/>
          <w:pgMar w:top="1008" w:right="1008" w:bottom="936" w:left="1008" w:header="461" w:footer="432" w:gutter="0"/>
          <w:cols w:space="340" w:num="2"/>
          <w:titlePg/>
          <w:docGrid w:linePitch="360"/>
        </w:sectPr>
      </w:pPr>
    </w:p>
    <w:p>
      <w:pPr>
        <w:keepNext/>
        <w:spacing w:before="60" w:after="120" w:line="240" w:lineRule="auto"/>
        <w:jc w:val="center"/>
      </w:pPr>
      <w:r>
        <w:drawing>
          <wp:inline xmlns:a="http://schemas.openxmlformats.org/drawingml/2006/main" xmlns:pic="http://schemas.openxmlformats.org/drawingml/2006/picture">
            <wp:extent cx="2514600" cy="2564892"/>
            <wp:docPr id="2" name="Picture 2" descr="Evolution Loop"/>
            <wp:cNvGraphicFramePr>
              <a:graphicFrameLocks noChangeAspect="1"/>
            </wp:cNvGraphicFramePr>
            <a:graphic>
              <a:graphicData uri="http://schemas.openxmlformats.org/drawingml/2006/picture">
                <pic:pic>
                  <pic:nvPicPr>
                    <pic:cNvPr id="0" name="evolution-loop.jpg"/>
                    <pic:cNvPicPr/>
                  </pic:nvPicPr>
                  <pic:blipFill>
                    <a:blip r:embed="rId14"/>
                    <a:stretch>
                      <a:fillRect/>
                    </a:stretch>
                  </pic:blipFill>
                  <pic:spPr>
                    <a:xfrm>
                      <a:off x="0" y="0"/>
                      <a:ext cx="2514600" cy="2564892"/>
                    </a:xfrm>
                    <a:prstGeom prst="rect"/>
                  </pic:spPr>
                </pic:pic>
              </a:graphicData>
            </a:graphic>
          </wp:inline>
        </w:drawing>
      </w:r>
    </w:p>
    <w:p>
      <w:pPr>
        <w:keepNext w:val="0"/>
        <w:spacing w:before="0" w:after="120" w:line="240" w:lineRule="auto"/>
        <w:jc w:val="center"/>
      </w:pPr>
      <w:r>
        <w:rPr>
          <w:rFonts w:ascii="Times New Roman" w:hAnsi="Times New Roman" w:eastAsia="Times New Roman"/>
          <w:b/>
          <w:sz w:val="18"/>
        </w:rPr>
        <w:t>Figure 2. One bounded evolution iteration.</w:t>
      </w:r>
      <w:r>
        <w:rPr>
          <w:rFonts w:ascii="Times New Roman" w:hAnsi="Times New Roman" w:eastAsia="Times New Roman"/>
          <w:sz w:val="18"/>
        </w:rPr>
        <w:t xml:space="preserve"> Development evidence proposes a change; validation promotes it only when frozen quality and expense gates pass.</w:t>
      </w:r>
    </w:p>
    <w:p>
      <w:pPr>
        <w:sectPr>
          <w:type w:val="continuous"/>
          <w:pgSz w:w="11906" w:h="16838"/>
          <w:pgMar w:top="1008" w:right="1008" w:bottom="936" w:left="1008" w:header="461" w:footer="432" w:gutter="0"/>
          <w:cols w:space="340" w:num="1"/>
          <w:titlePg/>
          <w:docGrid w:linePitch="360"/>
        </w:sectPr>
      </w:pPr>
    </w:p>
    <w:p>
      <w:pPr>
        <w:keepNext w:val="0"/>
        <w:spacing w:before="0" w:after="80" w:line="240" w:lineRule="auto"/>
        <w:ind w:firstLine="288"/>
        <w:jc w:val="both"/>
      </w:pPr>
      <w:r>
        <w:rPr>
          <w:rFonts w:ascii="Times New Roman" w:hAnsi="Times New Roman" w:eastAsia="Times New Roman"/>
          <w:sz w:val="18"/>
        </w:rPr>
        <w:t>Evolution was capped at ten candidates. A baseline first had to meet an absolute viability floor. Candidate selection required task quality within a prespecified margin and strict improvement in one primary expense measure. Development informed changes; validation selected candidates; test cases were released once only after validation passed.</w:t>
      </w:r>
    </w:p>
    <w:p>
      <w:pPr>
        <w:pStyle w:val="Heading2"/>
      </w:pPr>
      <w:r>
        <w:rPr>
          <w:rFonts w:ascii="Times New Roman" w:hAnsi="Times New Roman" w:eastAsia="Times New Roman"/>
          <w:b/>
          <w:sz w:val="18"/>
        </w:rPr>
        <w:t>Data and evaluation</w:t>
      </w:r>
    </w:p>
    <w:p>
      <w:pPr>
        <w:keepNext w:val="0"/>
        <w:spacing w:before="0" w:after="80" w:line="240" w:lineRule="auto"/>
        <w:ind w:firstLine="288"/>
        <w:jc w:val="both"/>
      </w:pPr>
      <w:r>
        <w:rPr>
          <w:rFonts w:ascii="Times New Roman" w:hAnsi="Times New Roman" w:eastAsia="Times New Roman"/>
          <w:sz w:val="18"/>
        </w:rPr>
        <w:t xml:space="preserve">We prepared public datasets resembling enterprise work: LEDGAR legal clauses [12], CFPB complaint narratives [13], SpamAssassin email [14], SROIE receipts [15], and RVL-CDIP/Tobacco3482 document images [16, 17]. LiteParse supplied a local OCR condition, not a dataset [18]. Selection manifests record source identifiers and hashes, seed 20260902, exclusions, and split membership. Audits checked unique identifiers, split/content overlap, missing files, label leakage, source boundaries, and pilot overlap. The repeated study uses the exact prepared snapshots documented in the </w:t>
      </w:r>
      <w:hyperlink r:id="rId15">
        <w:r>
          <w:rPr>
            <w:rFonts w:ascii="Times New Roman" w:hAnsi="Times New Roman"/>
            <w:color w:val="0000FF"/>
            <w:u w:val="single"/>
            <w:sz w:val="20"/>
          </w:rPr>
          <w:t>LEDGAR evidence folder</w:t>
        </w:r>
      </w:hyperlink>
      <w:r>
        <w:rPr>
          <w:rFonts w:ascii="Times New Roman" w:hAnsi="Times New Roman" w:eastAsia="Times New Roman"/>
          <w:sz w:val="18"/>
        </w:rPr>
        <w:t xml:space="preserve">, </w:t>
      </w:r>
      <w:hyperlink r:id="rId16">
        <w:r>
          <w:rPr>
            <w:rFonts w:ascii="Times New Roman" w:hAnsi="Times New Roman"/>
            <w:color w:val="0000FF"/>
            <w:u w:val="single"/>
            <w:sz w:val="20"/>
          </w:rPr>
          <w:t>CFPB evidence folder</w:t>
        </w:r>
      </w:hyperlink>
      <w:r>
        <w:rPr>
          <w:rFonts w:ascii="Times New Roman" w:hAnsi="Times New Roman" w:eastAsia="Times New Roman"/>
          <w:sz w:val="18"/>
        </w:rPr>
        <w:t xml:space="preserve">, and </w:t>
      </w:r>
      <w:hyperlink r:id="rId17">
        <w:r>
          <w:rPr>
            <w:rFonts w:ascii="Times New Roman" w:hAnsi="Times New Roman"/>
            <w:color w:val="0000FF"/>
            <w:u w:val="single"/>
            <w:sz w:val="20"/>
          </w:rPr>
          <w:t>SpamAssassin evidence folder</w:t>
        </w:r>
      </w:hyperlink>
      <w:r>
        <w:rPr>
          <w:rFonts w:ascii="Times New Roman" w:hAnsi="Times New Roman" w:eastAsia="Times New Roman"/>
          <w:sz w:val="18"/>
        </w:rPr>
        <w:t>.</w:t>
      </w:r>
    </w:p>
    <w:p>
      <w:pPr>
        <w:sectPr>
          <w:type w:val="continuous"/>
          <w:pgSz w:w="11906" w:h="16838"/>
          <w:pgMar w:top="1008" w:right="1008" w:bottom="936" w:left="1008" w:header="461" w:footer="432" w:gutter="0"/>
          <w:cols w:space="340" w:num="2"/>
          <w:titlePg/>
          <w:docGrid w:linePitch="360"/>
        </w:sectPr>
      </w:pPr>
    </w:p>
    <w:p>
      <w:pPr>
        <w:keepNext/>
        <w:spacing w:before="80" w:after="40" w:line="240" w:lineRule="auto"/>
      </w:pPr>
      <w:r>
        <w:rPr>
          <w:rFonts w:ascii="Times New Roman" w:hAnsi="Times New Roman" w:eastAsia="Times New Roman"/>
          <w:b/>
          <w:sz w:val="18"/>
        </w:rPr>
        <w:t>Table 1. Prepared confirmatory datasets</w:t>
      </w:r>
    </w:p>
    <w:tbl>
      <w:tblPr>
        <w:tblW w:type="dxa" w:w="9890"/>
        <w:jc w:val="left"/>
        <w:tblLayout w:type="fixed"/>
        <w:tblLook w:firstColumn="1" w:firstRow="1" w:lastColumn="0" w:lastRow="0" w:noHBand="0" w:noVBand="1" w:val="04A0"/>
        <w:tblInd w:w="0" w:type="dxa"/>
        <w:tblBorders>
          <w:top w:val="single" w:sz="4" w:color="557030"/>
          <w:left w:val="single" w:sz="4" w:color="557030"/>
          <w:bottom w:val="single" w:sz="4" w:color="557030"/>
          <w:right w:val="single" w:sz="4" w:color="557030"/>
          <w:insideH w:val="single" w:sz="4" w:color="557030"/>
          <w:insideV w:val="single" w:sz="4" w:color="557030"/>
        </w:tblBorders>
      </w:tblPr>
      <w:tblGrid>
        <w:gridCol w:w="2967"/>
        <w:gridCol w:w="2787"/>
        <w:gridCol w:w="4136"/>
      </w:tblGrid>
      <w:tr>
        <w:trPr>
          <w:tblHeader w:val="true"/>
        </w:trPr>
        <w:tc>
          <w:tcPr>
            <w:tcW w:type="dxa" w:w="296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16"/>
              </w:rPr>
              <w:t>Workflow</w:t>
            </w:r>
          </w:p>
        </w:tc>
        <w:tc>
          <w:tcPr>
            <w:tcW w:type="dxa" w:w="278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16"/>
              </w:rPr>
              <w:t>Development / validation / test</w:t>
            </w:r>
          </w:p>
        </w:tc>
        <w:tc>
          <w:tcPr>
            <w:tcW w:type="dxa" w:w="413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16"/>
              </w:rPr>
              <w:t>Status</w:t>
            </w:r>
          </w:p>
        </w:tc>
      </w:tr>
      <w:tr>
        <w:tc>
          <w:tcPr>
            <w:tcW w:type="dxa" w:w="296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LEDGAR clause classification</w:t>
            </w:r>
          </w:p>
        </w:tc>
        <w:tc>
          <w:tcPr>
            <w:tcW w:type="dxa" w:w="278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100 / 100 / 1,000</w:t>
            </w:r>
          </w:p>
        </w:tc>
        <w:tc>
          <w:tcPr>
            <w:tcW w:type="dxa" w:w="413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Test released; three optimized replications</w:t>
            </w:r>
          </w:p>
        </w:tc>
      </w:tr>
      <w:tr>
        <w:tc>
          <w:tcPr>
            <w:tcW w:type="dxa" w:w="296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CFPB complaint routing</w:t>
            </w:r>
          </w:p>
        </w:tc>
        <w:tc>
          <w:tcPr>
            <w:tcW w:type="dxa" w:w="278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100 / 100 / 1,000</w:t>
            </w:r>
          </w:p>
        </w:tc>
        <w:tc>
          <w:tcPr>
            <w:tcW w:type="dxa" w:w="413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Three validation rejections; test not released</w:t>
            </w:r>
          </w:p>
        </w:tc>
      </w:tr>
      <w:tr>
        <w:tc>
          <w:tcPr>
            <w:tcW w:type="dxa" w:w="296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SpamAssassin email classification</w:t>
            </w:r>
          </w:p>
        </w:tc>
        <w:tc>
          <w:tcPr>
            <w:tcW w:type="dxa" w:w="278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100 / 100 / 1,000</w:t>
            </w:r>
          </w:p>
        </w:tc>
        <w:tc>
          <w:tcPr>
            <w:tcW w:type="dxa" w:w="413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Three validation rejections; test not released</w:t>
            </w:r>
          </w:p>
        </w:tc>
      </w:tr>
      <w:tr>
        <w:tc>
          <w:tcPr>
            <w:tcW w:type="dxa" w:w="296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QS-OCR/Tobacco3482 classification</w:t>
            </w:r>
          </w:p>
        </w:tc>
        <w:tc>
          <w:tcPr>
            <w:tcW w:type="dxa" w:w="278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100 / 100 / 1,000</w:t>
            </w:r>
          </w:p>
        </w:tc>
        <w:tc>
          <w:tcPr>
            <w:tcW w:type="dxa" w:w="413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Prepared; baseline nonviable</w:t>
            </w:r>
          </w:p>
        </w:tc>
      </w:tr>
      <w:tr>
        <w:tc>
          <w:tcPr>
            <w:tcW w:type="dxa" w:w="296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SROIE receipt extraction</w:t>
            </w:r>
          </w:p>
        </w:tc>
        <w:tc>
          <w:tcPr>
            <w:tcW w:type="dxa" w:w="278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100 / 100 / 300</w:t>
            </w:r>
          </w:p>
        </w:tc>
        <w:tc>
          <w:tcPr>
            <w:tcW w:type="dxa" w:w="413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Prepared; baseline nonviable</w:t>
            </w:r>
          </w:p>
        </w:tc>
      </w:tr>
      <w:tr>
        <w:tc>
          <w:tcPr>
            <w:tcW w:type="dxa" w:w="296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RVL-CDIP constrained mirror</w:t>
            </w:r>
          </w:p>
        </w:tc>
        <w:tc>
          <w:tcPr>
            <w:tcW w:type="dxa" w:w="2787"/>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100 / 100 / 369</w:t>
            </w:r>
          </w:p>
        </w:tc>
        <w:tc>
          <w:tcPr>
            <w:tcW w:type="dxa" w:w="4136"/>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Prepared; baseline nonviable</w:t>
            </w:r>
          </w:p>
        </w:tc>
      </w:tr>
    </w:tbl>
    <w:p>
      <w:pPr>
        <w:keepNext w:val="0"/>
        <w:spacing w:before="0" w:after="40" w:line="240" w:lineRule="auto"/>
      </w:pPr>
    </w:p>
    <w:p>
      <w:pPr>
        <w:sectPr>
          <w:type w:val="continuous"/>
          <w:pgSz w:w="11906" w:h="16838"/>
          <w:pgMar w:top="1008" w:right="1008" w:bottom="936" w:left="1008" w:header="461" w:footer="432" w:gutter="0"/>
          <w:cols w:space="340" w:num="1"/>
          <w:titlePg/>
          <w:docGrid w:linePitch="360"/>
        </w:sectPr>
      </w:pPr>
    </w:p>
    <w:p>
      <w:pPr>
        <w:keepNext w:val="0"/>
        <w:spacing w:before="0" w:after="80" w:line="240" w:lineRule="auto"/>
        <w:ind w:firstLine="288"/>
        <w:jc w:val="both"/>
      </w:pPr>
      <w:r>
        <w:rPr>
          <w:rFonts w:ascii="Times New Roman" w:hAnsi="Times New Roman" w:eastAsia="Times New Roman"/>
          <w:sz w:val="18"/>
        </w:rPr>
        <w:t xml:space="preserve">Classification required both variants to reach 0.80 accuracy. Extraction required field F1 of at least 0.50. For baseline b and hybrid h, the lower bound of a paired bootstrap 95% interval for </w:t>
      </w:r>
      <w:r>
        <w:rPr>
          <w:rFonts w:ascii="Courier New" w:hAnsi="Courier New" w:eastAsia="Times New Roman"/>
          <w:sz w:val="18"/>
        </w:rPr>
        <w:t>accuracy_h - accuracy_b</w:t>
      </w:r>
      <w:r>
        <w:rPr>
          <w:rFonts w:ascii="Times New Roman" w:hAnsi="Times New Roman" w:eastAsia="Times New Roman"/>
          <w:sz w:val="18"/>
        </w:rPr>
        <w:t xml:space="preserve"> had to be at least -0.02. Token reduction had to be at least 5%, with a positive bootstrap lower bound. We used 5,000 paired resamples with seed 20260902, Wilson accuracy intervals, and an exact McNemar test.</w:t>
      </w:r>
    </w:p>
    <w:p>
      <w:pPr>
        <w:keepNext w:val="0"/>
        <w:spacing w:before="0" w:after="80" w:line="240" w:lineRule="auto"/>
        <w:ind w:firstLine="288"/>
        <w:jc w:val="both"/>
      </w:pPr>
      <w:r>
        <w:rPr>
          <w:rFonts w:ascii="Times New Roman" w:hAnsi="Times New Roman" w:eastAsia="Times New Roman"/>
          <w:sz w:val="18"/>
        </w:rPr>
        <w:t xml:space="preserve">Text experiments used local Ollama 0.33.0 and </w:t>
      </w:r>
      <w:r>
        <w:rPr>
          <w:rFonts w:ascii="Courier New" w:hAnsi="Courier New" w:eastAsia="Times New Roman"/>
          <w:sz w:val="18"/>
        </w:rPr>
        <w:t>qwen3:14b</w:t>
      </w:r>
      <w:r>
        <w:rPr>
          <w:rFonts w:ascii="Times New Roman" w:hAnsi="Times New Roman" w:eastAsia="Times New Roman"/>
          <w:sz w:val="18"/>
        </w:rPr>
        <w:t xml:space="preserve">, digest </w:t>
      </w:r>
      <w:r>
        <w:rPr>
          <w:rFonts w:ascii="Courier New" w:hAnsi="Courier New" w:eastAsia="Times New Roman"/>
          <w:sz w:val="18"/>
        </w:rPr>
        <w:t>bdbd181c33f2ed1b31c972991882db3cf4d192569092138a7d29e973cd9debe8</w:t>
      </w:r>
      <w:r>
        <w:rPr>
          <w:rFonts w:ascii="Times New Roman" w:hAnsi="Times New Roman" w:eastAsia="Times New Roman"/>
          <w:sz w:val="18"/>
        </w:rPr>
        <w:t>, on an Apple M5 Pro with 48 GB unified memory. Original confirmatory runs were sequential. The repeated optimized study disabled thinking and streaming; used temperature 0, seeds 20260903-20260905, a 4,096-token context, a 128-token output cap, and an exact JSON schema; preloaded and retained the model; and enabled Flash Attention, q8_0 KV cache, one loaded model, and two parallel requests. The same seed was used within each NL/hybrid pair. Order was NL-hybrid, hybrid-NL, then NL-hybrid. Checkpoints, exact commands, timestamps, hashes, component durations, per-case latency/tokens/routing, and wall time were stored. The original sequential run is not pooled with these two-worker replications, and every repeated LEDGAR test evaluation is a replication rather than an untouched test.</w:t>
      </w:r>
    </w:p>
    <w:p>
      <w:pPr>
        <w:pStyle w:val="Heading1"/>
      </w:pPr>
      <w:r>
        <w:rPr>
          <w:rFonts w:ascii="Times New Roman" w:hAnsi="Times New Roman" w:eastAsia="Times New Roman"/>
          <w:b/>
          <w:sz w:val="18"/>
        </w:rPr>
        <w:t>RESULTS</w:t>
      </w:r>
    </w:p>
    <w:p>
      <w:pPr>
        <w:sectPr>
          <w:type w:val="continuous"/>
          <w:pgSz w:w="11906" w:h="16838"/>
          <w:pgMar w:top="1008" w:right="1008" w:bottom="936" w:left="1008" w:header="461" w:footer="432" w:gutter="0"/>
          <w:cols w:space="340" w:num="2"/>
          <w:titlePg/>
          <w:docGrid w:linePitch="360"/>
        </w:sectPr>
      </w:pPr>
    </w:p>
    <w:p>
      <w:pPr>
        <w:keepNext/>
        <w:spacing w:before="80" w:after="40" w:line="240" w:lineRule="auto"/>
      </w:pPr>
      <w:r>
        <w:rPr>
          <w:rFonts w:ascii="Times New Roman" w:hAnsi="Times New Roman" w:eastAsia="Times New Roman"/>
          <w:b/>
          <w:sz w:val="18"/>
        </w:rPr>
        <w:t>Table 2. Three-run optimized replication results</w:t>
      </w:r>
    </w:p>
    <w:tbl>
      <w:tblPr>
        <w:tblW w:type="dxa" w:w="9890"/>
        <w:jc w:val="left"/>
        <w:tblLayout w:type="fixed"/>
        <w:tblLook w:firstColumn="1" w:firstRow="1" w:lastColumn="0" w:lastRow="0" w:noHBand="0" w:noVBand="1" w:val="04A0"/>
        <w:tblInd w:w="0" w:type="dxa"/>
        <w:tblBorders>
          <w:top w:val="single" w:sz="4" w:color="557030"/>
          <w:left w:val="single" w:sz="4" w:color="557030"/>
          <w:bottom w:val="single" w:sz="4" w:color="557030"/>
          <w:right w:val="single" w:sz="4" w:color="557030"/>
          <w:insideH w:val="single" w:sz="4" w:color="557030"/>
          <w:insideV w:val="single" w:sz="4" w:color="557030"/>
        </w:tblBorders>
      </w:tblPr>
      <w:tblGrid>
        <w:gridCol w:w="2241"/>
        <w:gridCol w:w="3013"/>
        <w:gridCol w:w="2395"/>
        <w:gridCol w:w="2241"/>
      </w:tblGrid>
      <w:tr>
        <w:trPr>
          <w:tblHeader w:val="true"/>
        </w:trPr>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16"/>
              </w:rPr>
              <w:t>Workflow and split</w:t>
            </w:r>
          </w:p>
        </w:tc>
        <w:tc>
          <w:tcPr>
            <w:tcW w:type="dxa" w:w="3013"/>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16"/>
              </w:rPr>
              <w:t>Accuracy mean (sample SD), NL -&gt; hybrid</w:t>
            </w:r>
          </w:p>
        </w:tc>
        <w:tc>
          <w:tcPr>
            <w:tcW w:type="dxa" w:w="2395"/>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16"/>
              </w:rPr>
              <w:t>Mean tokens, NL -&gt; hybrid</w:t>
            </w:r>
          </w:p>
        </w:tc>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sz w:val="16"/>
              </w:rPr>
              <w:t>Decision across runs</w:t>
            </w:r>
          </w:p>
        </w:tc>
      </w:tr>
      <w:tr>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LEDGAR test (1,000)</w:t>
            </w:r>
          </w:p>
        </w:tc>
        <w:tc>
          <w:tcPr>
            <w:tcW w:type="dxa" w:w="3013"/>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93.7% (0) -&gt; 92.9% (0)</w:t>
            </w:r>
          </w:p>
        </w:tc>
        <w:tc>
          <w:tcPr>
            <w:tcW w:type="dxa" w:w="2395"/>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376,090 -&gt; 225,575.33 (-40.02%)</w:t>
            </w:r>
          </w:p>
        </w:tc>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3/3 pass</w:t>
            </w:r>
          </w:p>
        </w:tc>
      </w:tr>
      <w:tr>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CFPB validation (100)</w:t>
            </w:r>
          </w:p>
        </w:tc>
        <w:tc>
          <w:tcPr>
            <w:tcW w:type="dxa" w:w="3013"/>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78.0% (0) -&gt; 71.0% (0)</w:t>
            </w:r>
          </w:p>
        </w:tc>
        <w:tc>
          <w:tcPr>
            <w:tcW w:type="dxa" w:w="2395"/>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58,372 -&gt; 33,120 (-43.26%)</w:t>
            </w:r>
          </w:p>
        </w:tc>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0/3; reject quality/viability</w:t>
            </w:r>
          </w:p>
        </w:tc>
      </w:tr>
      <w:tr>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SpamAssassin validation (100)</w:t>
            </w:r>
          </w:p>
        </w:tc>
        <w:tc>
          <w:tcPr>
            <w:tcW w:type="dxa" w:w="3013"/>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88.0% (0) -&gt; 85.0% (0)</w:t>
            </w:r>
          </w:p>
        </w:tc>
        <w:tc>
          <w:tcPr>
            <w:tcW w:type="dxa" w:w="2395"/>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188,384 -&gt; 178,880.67 (-5.04%)</w:t>
            </w:r>
          </w:p>
        </w:tc>
        <w:tc>
          <w:tcPr>
            <w:tcW w:type="dxa" w:w="2241"/>
            <w:tcMar>
              <w:top w:w="80" w:type="dxa"/>
              <w:start w:w="100" w:type="dxa"/>
              <w:bottom w:w="80" w:type="dxa"/>
              <w:end w:w="100" w:type="dxa"/>
            </w:tcMar>
            <w:vAlign w:val="center"/>
          </w:tcPr>
          <w:p>
            <w:pPr>
              <w:keepNext w:val="0"/>
              <w:spacing w:before="0" w:after="0" w:line="240" w:lineRule="auto"/>
            </w:pPr>
            <w:r>
              <w:rPr>
                <w:rFonts w:ascii="Times New Roman" w:hAnsi="Times New Roman" w:eastAsia="Times New Roman"/>
                <w:b w:val="0"/>
                <w:sz w:val="16"/>
              </w:rPr>
              <w:t>0/3; reject quality</w:t>
            </w:r>
          </w:p>
        </w:tc>
      </w:tr>
    </w:tbl>
    <w:p>
      <w:pPr>
        <w:keepNext w:val="0"/>
        <w:spacing w:before="0" w:after="40" w:line="240" w:lineRule="auto"/>
      </w:pPr>
    </w:p>
    <w:p>
      <w:pPr>
        <w:sectPr>
          <w:type w:val="continuous"/>
          <w:pgSz w:w="11906" w:h="16838"/>
          <w:pgMar w:top="1008" w:right="1008" w:bottom="936" w:left="1008" w:header="461" w:footer="432" w:gutter="0"/>
          <w:cols w:space="340" w:num="1"/>
          <w:titlePg/>
          <w:docGrid w:linePitch="360"/>
        </w:sectPr>
      </w:pPr>
    </w:p>
    <w:p>
      <w:pPr>
        <w:keepNext w:val="0"/>
        <w:spacing w:before="0" w:after="80" w:line="240" w:lineRule="auto"/>
        <w:ind w:firstLine="288"/>
        <w:jc w:val="both"/>
      </w:pPr>
      <w:r>
        <w:rPr>
          <w:rFonts w:ascii="Times New Roman" w:hAnsi="Times New Roman" w:eastAsia="Times New Roman"/>
          <w:sz w:val="18"/>
        </w:rPr>
        <w:t xml:space="preserve">The original 1,000-case LEDGAR test produced a -0.8-point hybrid-minus-NL accuracy difference (95% interval [-1.6, 0.0]) and passed the prespecified gate. Each new replication also produced a -0.8-point difference; bootstrap intervals were [-1.6, -0.1], [-1.6, 0.0], and [-1.6, 0.0] points. Each pair had 17 differing predicted labels and passed absolute viability, non-inferiority, and efficiency. The repeated result supports the chosen engineering margin, not equivalence or universal non-inferiority. Exact run and comparison payloads are in the </w:t>
      </w:r>
      <w:hyperlink r:id="rId15">
        <w:r>
          <w:rPr>
            <w:rFonts w:ascii="Times New Roman" w:hAnsi="Times New Roman"/>
            <w:color w:val="0000FF"/>
            <w:u w:val="single"/>
            <w:sz w:val="20"/>
          </w:rPr>
          <w:t>LEDGAR evidence folder</w:t>
        </w:r>
      </w:hyperlink>
      <w:r>
        <w:rPr>
          <w:rFonts w:ascii="Times New Roman" w:hAnsi="Times New Roman" w:eastAsia="Times New Roman"/>
          <w:sz w:val="18"/>
        </w:rPr>
        <w:t>.</w:t>
      </w:r>
    </w:p>
    <w:p>
      <w:pPr>
        <w:keepNext w:val="0"/>
        <w:spacing w:before="0" w:after="80" w:line="240" w:lineRule="auto"/>
        <w:ind w:firstLine="288"/>
        <w:jc w:val="both"/>
      </w:pPr>
      <w:r>
        <w:rPr>
          <w:rFonts w:ascii="Times New Roman" w:hAnsi="Times New Roman" w:eastAsia="Times New Roman"/>
          <w:sz w:val="18"/>
        </w:rPr>
        <w:t>LEDGAR model calls were 1,000 NL and 589 hybrid in every run because the same 411 cases used deterministic commands. NL tokens were exactly 376,090; hybrid tokens ranged from 225,575 to 225,576 (sample SD 0.58). CFPB calls were 100 versus 58 and SpamAssassin calls were 100 versus 97 in every run. Routing never changed across seeds. Each dataset had zero cross-run label disagreement within NL and within hybrid, including separately among stable command-routed and model-fallback cases. This is direct reproducibility evidence under the frozen temperature-zero runtime; because both variants reached the same zero-disagreement floor, it does not show that hybrid execution reduced variance relative to NL.</w:t>
      </w:r>
    </w:p>
    <w:p>
      <w:pPr>
        <w:keepNext w:val="0"/>
        <w:spacing w:before="0" w:after="80" w:line="240" w:lineRule="auto"/>
        <w:ind w:firstLine="288"/>
        <w:jc w:val="both"/>
      </w:pPr>
      <w:r>
        <w:rPr>
          <w:rFonts w:ascii="Times New Roman" w:hAnsi="Times New Roman" w:eastAsia="Times New Roman"/>
          <w:sz w:val="18"/>
        </w:rPr>
        <w:t xml:space="preserve">CFPB repeated the same rejection three times: 43.26% token savings, 78% NL versus 71% hybrid accuracy, paired difference intervals of [-13, -2] points, and failure of the 80% floor. SpamAssassin repeated 5.04% savings, 88% versus 85% accuracy, and non-inferiority failure in all three runs. Neither test set was released; exact comparisons are in the </w:t>
      </w:r>
      <w:hyperlink r:id="rId16">
        <w:r>
          <w:rPr>
            <w:rFonts w:ascii="Times New Roman" w:hAnsi="Times New Roman"/>
            <w:color w:val="0000FF"/>
            <w:u w:val="single"/>
            <w:sz w:val="20"/>
          </w:rPr>
          <w:t>CFPB</w:t>
        </w:r>
      </w:hyperlink>
      <w:r>
        <w:rPr>
          <w:rFonts w:ascii="Times New Roman" w:hAnsi="Times New Roman" w:eastAsia="Times New Roman"/>
          <w:sz w:val="18"/>
        </w:rPr>
        <w:t xml:space="preserve"> and </w:t>
      </w:r>
      <w:hyperlink r:id="rId17">
        <w:r>
          <w:rPr>
            <w:rFonts w:ascii="Times New Roman" w:hAnsi="Times New Roman"/>
            <w:color w:val="0000FF"/>
            <w:u w:val="single"/>
            <w:sz w:val="20"/>
          </w:rPr>
          <w:t>SpamAssassin</w:t>
        </w:r>
      </w:hyperlink>
      <w:r>
        <w:rPr>
          <w:rFonts w:ascii="Times New Roman" w:hAnsi="Times New Roman" w:eastAsia="Times New Roman"/>
          <w:sz w:val="18"/>
        </w:rPr>
        <w:t xml:space="preserve"> evidence folders. QS-OCR/Tobacco3482 remains a single-baseline classification feasibility failure at 70% accuracy. SROIE remains a separate single-baseline extraction failure at 0.344 field F1 with OCR word-error rate 0.676. RVL-CDIP remains a single-baseline classification feasibility failure at 50% accuracy. Accuracy, field F1, and OCR error are not combined.</w:t>
      </w:r>
    </w:p>
    <w:p>
      <w:pPr>
        <w:pStyle w:val="Heading1"/>
      </w:pPr>
      <w:r>
        <w:rPr>
          <w:rFonts w:ascii="Times New Roman" w:hAnsi="Times New Roman" w:eastAsia="Times New Roman"/>
          <w:b/>
          <w:sz w:val="18"/>
        </w:rPr>
        <w:t>DISCUSSION</w:t>
      </w:r>
    </w:p>
    <w:p>
      <w:pPr>
        <w:keepNext w:val="0"/>
        <w:spacing w:before="0" w:after="80" w:line="240" w:lineRule="auto"/>
        <w:ind w:firstLine="288"/>
        <w:jc w:val="both"/>
      </w:pPr>
      <w:r>
        <w:rPr>
          <w:rFonts w:ascii="Times New Roman" w:hAnsi="Times New Roman" w:eastAsia="Times New Roman"/>
          <w:sz w:val="18"/>
        </w:rPr>
        <w:t>The main result is not that hybrid workflows always win. It is that PLaND exposes when deterministic substitution is acceptable. LEDGAR retained accuracy within a prespecified engineering margin while eliminating 41.1% of model calls. The mechanism decomposition is important: prompt compression explained only 2.76% of savings, whereas call bypass explained 97.24%. CFPB and SpamAssassin show that lower token use alone is insufficient.</w:t>
      </w:r>
    </w:p>
    <w:p>
      <w:pPr>
        <w:keepNext w:val="0"/>
        <w:spacing w:before="0" w:after="80" w:line="240" w:lineRule="auto"/>
        <w:ind w:firstLine="288"/>
        <w:jc w:val="both"/>
      </w:pPr>
      <w:r>
        <w:rPr>
          <w:rFonts w:ascii="Times New Roman" w:hAnsi="Times New Roman" w:eastAsia="Times New Roman"/>
          <w:sz w:val="18"/>
        </w:rPr>
        <w:t>The methodology supports an evidence-driven progression. An unfamiliar task may remain an open-ended agent. Stable steps can move into commands while semantic judgment remains in language. A mature workflow may become a graph, but conversion stops whenever quality declines. References help manage large instructions; they are not automatically deterministic. Runtime guards, fallback, canary monitoring, and automatic demotion are specified design extensions but were not used to obtain these results.</w:t>
      </w:r>
    </w:p>
    <w:p>
      <w:pPr>
        <w:keepNext w:val="0"/>
        <w:spacing w:before="0" w:after="80" w:line="240" w:lineRule="auto"/>
        <w:ind w:firstLine="288"/>
        <w:jc w:val="both"/>
      </w:pPr>
      <w:r>
        <w:rPr>
          <w:rFonts w:ascii="Times New Roman" w:hAnsi="Times New Roman" w:eastAsia="Times New Roman"/>
          <w:sz w:val="18"/>
        </w:rPr>
        <w:t>Several assumptions bound interpretation. Dataset labels and selected samples are treated as the evaluation target; the balanced LEDGAR subset does not estimate full multi-label or production prevalence. Tokens and model calls are expense proxies, not measured currency, energy, or carbon. The text experiments test harness-level routing, not autonomous DeepAgent command interpretation. The 2-point margin and 80% floor are task-design choices rather than universal standards. Only three seeds, one local model, one machine, and one temperature-zero runtime were studied. Zero observed disagreement is descriptive, may reflect the deterministic runtime floor, and is not evidence of significance or broad stochastic robustness. Parallel timing can vary with warm-up, caching, scheduling, and thermal state and cannot be compared causally with the sequential study. SROIE and RVL test sizes were constrained by eligible source data. Author-designed rules may not transfer to other domains, and the generalized generator/evolver was not reevaluated end to end here.</w:t>
      </w:r>
    </w:p>
    <w:p>
      <w:pPr>
        <w:keepNext w:val="0"/>
        <w:spacing w:before="0" w:after="80" w:line="240" w:lineRule="auto"/>
        <w:ind w:firstLine="288"/>
        <w:jc w:val="both"/>
      </w:pPr>
      <w:r>
        <w:rPr>
          <w:rFonts w:ascii="Times New Roman" w:hAnsi="Times New Roman" w:eastAsia="Times New Roman"/>
          <w:sz w:val="18"/>
        </w:rPr>
        <w:t>Future work should repeat paired conditions across models and less deterministic sampling regimes, add tool-sequence disagreement, test natural-language and no-skill ablations, and evaluate runtime fallback and demotion. Stateful environments such as tau-bench remain future work and should use final-state and action verification rather than classification accuracy; PLaND leaves that scorer task-defined.</w:t>
      </w:r>
    </w:p>
    <w:p>
      <w:pPr>
        <w:pStyle w:val="Heading1"/>
      </w:pPr>
      <w:r>
        <w:rPr>
          <w:rFonts w:ascii="Times New Roman" w:hAnsi="Times New Roman" w:eastAsia="Times New Roman"/>
          <w:b/>
          <w:sz w:val="18"/>
        </w:rPr>
        <w:t>CONCLUSION</w:t>
      </w:r>
    </w:p>
    <w:p>
      <w:pPr>
        <w:keepNext w:val="0"/>
        <w:spacing w:before="0" w:after="80" w:line="240" w:lineRule="auto"/>
        <w:ind w:firstLine="288"/>
        <w:jc w:val="both"/>
      </w:pPr>
      <w:r>
        <w:rPr>
          <w:rFonts w:ascii="Times New Roman" w:hAnsi="Times New Roman" w:eastAsia="Times New Roman"/>
          <w:sz w:val="18"/>
        </w:rPr>
        <w:t>PLaND is a methodology for selectively moving stable agent work from natural language into tested code under a frozen evaluation contract. Across three optimized LEDGAR replications, the accepted hybrid passed every gate, reduced mean tokens by 40.02%, and replaced 411 model calls with commands. CFPB and SpamAssassin repeated their rejection outcomes, while three image workflows remain distinct single-baseline feasibility failures. Both text variants showed zero cross-run label disagreement, so the evidence supports reproducibility in this frozen condition but not hybrid-specific variance reduction. The practical rule is simple: keep judgment where it adds value, compile stable operations where evidence permits, and preserve rejection evidence when it does not.</w:t>
      </w:r>
    </w:p>
    <w:p>
      <w:pPr>
        <w:pStyle w:val="Heading1"/>
      </w:pPr>
      <w:r>
        <w:rPr>
          <w:rFonts w:ascii="Times New Roman" w:hAnsi="Times New Roman" w:eastAsia="Times New Roman"/>
          <w:b/>
          <w:sz w:val="18"/>
        </w:rPr>
        <w:t>ACKNOWLEDGEMENTS</w:t>
      </w:r>
    </w:p>
    <w:p>
      <w:pPr>
        <w:keepNext w:val="0"/>
        <w:spacing w:before="0" w:after="80" w:line="240" w:lineRule="auto"/>
        <w:ind w:firstLine="288"/>
        <w:jc w:val="both"/>
      </w:pPr>
      <w:r>
        <w:rPr>
          <w:rFonts w:ascii="Times New Roman" w:hAnsi="Times New Roman" w:eastAsia="Times New Roman"/>
          <w:sz w:val="18"/>
        </w:rPr>
        <w:t>None.</w:t>
      </w:r>
    </w:p>
    <w:p>
      <w:pPr>
        <w:pStyle w:val="Heading1"/>
      </w:pPr>
      <w:r>
        <w:rPr>
          <w:rFonts w:ascii="Times New Roman" w:hAnsi="Times New Roman" w:eastAsia="Times New Roman"/>
          <w:b/>
          <w:sz w:val="18"/>
        </w:rPr>
        <w:t>DISCLOSURE AND CONFLICT OF INTEREST</w:t>
      </w:r>
    </w:p>
    <w:p>
      <w:pPr>
        <w:keepNext w:val="0"/>
        <w:spacing w:before="0" w:after="80" w:line="240" w:lineRule="auto"/>
        <w:ind w:firstLine="288"/>
        <w:jc w:val="both"/>
      </w:pPr>
      <w:r>
        <w:rPr>
          <w:rFonts w:ascii="Times New Roman" w:hAnsi="Times New Roman" w:eastAsia="Times New Roman"/>
          <w:sz w:val="18"/>
        </w:rPr>
        <w:t>This work received no external funding. The authors declare no conflicts of interest.</w:t>
      </w:r>
    </w:p>
    <w:p>
      <w:pPr>
        <w:pStyle w:val="Heading1"/>
      </w:pPr>
      <w:r>
        <w:rPr>
          <w:rFonts w:ascii="Times New Roman" w:hAnsi="Times New Roman" w:eastAsia="Times New Roman"/>
          <w:b/>
          <w:sz w:val="18"/>
        </w:rPr>
        <w:t>DATA AND CODE AVAILABILITY</w:t>
      </w:r>
    </w:p>
    <w:p>
      <w:pPr>
        <w:keepNext w:val="0"/>
        <w:spacing w:before="0" w:after="80" w:line="240" w:lineRule="auto"/>
        <w:ind w:firstLine="288"/>
        <w:jc w:val="both"/>
      </w:pPr>
      <w:r>
        <w:rPr>
          <w:rFonts w:ascii="Times New Roman" w:hAnsi="Times New Roman" w:eastAsia="Times New Roman"/>
          <w:sz w:val="18"/>
        </w:rPr>
        <w:t xml:space="preserve">Source code, methodology skills, preparation scripts, exact commands, logs, per-case safe traces, comparisons, and SHA-256 manifests are preserved in the same Git commit as this manuscript, on branch </w:t>
      </w:r>
      <w:r>
        <w:rPr>
          <w:rFonts w:ascii="Courier New" w:hAnsi="Courier New" w:eastAsia="Times New Roman"/>
          <w:sz w:val="18"/>
        </w:rPr>
        <w:t>codex/pland-variance-study</w:t>
      </w:r>
      <w:r>
        <w:rPr>
          <w:rFonts w:ascii="Times New Roman" w:hAnsi="Times New Roman" w:eastAsia="Times New Roman"/>
          <w:sz w:val="18"/>
        </w:rPr>
        <w:t xml:space="preserve"> at </w:t>
      </w:r>
      <w:hyperlink r:id="rId18">
        <w:r>
          <w:rPr>
            <w:rFonts w:ascii="Times New Roman" w:hAnsi="Times New Roman"/>
            <w:color w:val="0000FF"/>
            <w:u w:val="single"/>
            <w:sz w:val="20"/>
          </w:rPr>
          <w:t>https://github.com/mnvsk97/PLaND/tree/codex/pland-variance-study</w:t>
        </w:r>
      </w:hyperlink>
      <w:r>
        <w:rPr>
          <w:rFonts w:ascii="Times New Roman" w:hAnsi="Times New Roman" w:eastAsia="Times New Roman"/>
          <w:sz w:val="18"/>
        </w:rPr>
        <w:t>.</w:t>
      </w:r>
      <w:r>
        <w:rPr>
          <w:rFonts w:ascii="Times New Roman" w:hAnsi="Times New Roman" w:eastAsia="Times New Roman"/>
          <w:sz w:val="18"/>
        </w:rPr>
        <w:t xml:space="preserve"> The repeated results are in the exact </w:t>
      </w:r>
      <w:hyperlink r:id="rId15">
        <w:r>
          <w:rPr>
            <w:rFonts w:ascii="Times New Roman" w:hAnsi="Times New Roman"/>
            <w:color w:val="0000FF"/>
            <w:u w:val="single"/>
            <w:sz w:val="20"/>
          </w:rPr>
          <w:t>LEDGAR</w:t>
        </w:r>
      </w:hyperlink>
      <w:r>
        <w:rPr>
          <w:rFonts w:ascii="Times New Roman" w:hAnsi="Times New Roman" w:eastAsia="Times New Roman"/>
          <w:sz w:val="18"/>
        </w:rPr>
        <w:t xml:space="preserve">, </w:t>
      </w:r>
      <w:hyperlink r:id="rId16">
        <w:r>
          <w:rPr>
            <w:rFonts w:ascii="Times New Roman" w:hAnsi="Times New Roman"/>
            <w:color w:val="0000FF"/>
            <w:u w:val="single"/>
            <w:sz w:val="20"/>
          </w:rPr>
          <w:t>CFPB</w:t>
        </w:r>
      </w:hyperlink>
      <w:r>
        <w:rPr>
          <w:rFonts w:ascii="Times New Roman" w:hAnsi="Times New Roman" w:eastAsia="Times New Roman"/>
          <w:sz w:val="18"/>
        </w:rPr>
        <w:t xml:space="preserve">, and </w:t>
      </w:r>
      <w:hyperlink r:id="rId17">
        <w:r>
          <w:rPr>
            <w:rFonts w:ascii="Times New Roman" w:hAnsi="Times New Roman"/>
            <w:color w:val="0000FF"/>
            <w:u w:val="single"/>
            <w:sz w:val="20"/>
          </w:rPr>
          <w:t>SpamAssassin</w:t>
        </w:r>
      </w:hyperlink>
      <w:r>
        <w:rPr>
          <w:rFonts w:ascii="Times New Roman" w:hAnsi="Times New Roman" w:eastAsia="Times New Roman"/>
          <w:sz w:val="18"/>
        </w:rPr>
        <w:t xml:space="preserve"> folders. Large copyrighted or sensitive source records are not redistributed; the repository records their sources, selection procedures, and hashes for authorized reproduction. An arXiv-ready bundle is prepared locally but has not been submitted, so the arXiv identifier remains pending.</w:t>
      </w:r>
    </w:p>
    <w:p>
      <w:pPr>
        <w:pStyle w:val="Heading1"/>
      </w:pPr>
      <w:r>
        <w:rPr>
          <w:rFonts w:ascii="Times New Roman" w:hAnsi="Times New Roman" w:eastAsia="Times New Roman"/>
          <w:b/>
          <w:sz w:val="18"/>
        </w:rPr>
        <w:t>REFERENCES</w:t>
      </w:r>
    </w:p>
    <w:p>
      <w:pPr>
        <w:keepNext w:val="0"/>
        <w:spacing w:before="0" w:after="20" w:line="240" w:lineRule="auto"/>
        <w:ind w:left="317" w:hanging="317"/>
        <w:jc w:val="both"/>
      </w:pPr>
      <w:r>
        <w:rPr>
          <w:rFonts w:ascii="Times New Roman" w:hAnsi="Times New Roman" w:eastAsia="Times New Roman"/>
          <w:sz w:val="18"/>
        </w:rPr>
        <w:t xml:space="preserve">[1] Agent Skills. (2026). </w:t>
      </w:r>
      <w:r>
        <w:rPr>
          <w:rFonts w:ascii="Times New Roman" w:hAnsi="Times New Roman" w:eastAsia="Times New Roman"/>
          <w:i/>
          <w:sz w:val="18"/>
        </w:rPr>
        <w:t>Agent Skills specification</w:t>
      </w:r>
      <w:r>
        <w:rPr>
          <w:rFonts w:ascii="Times New Roman" w:hAnsi="Times New Roman" w:eastAsia="Times New Roman"/>
          <w:sz w:val="18"/>
        </w:rPr>
        <w:t xml:space="preserve">. </w:t>
      </w:r>
      <w:hyperlink r:id="rId19">
        <w:r>
          <w:rPr>
            <w:rFonts w:ascii="Times New Roman" w:hAnsi="Times New Roman"/>
            <w:color w:val="0000FF"/>
            <w:u w:val="single"/>
            <w:sz w:val="20"/>
          </w:rPr>
          <w:t>https://agentskills.io/specification</w:t>
        </w:r>
      </w:hyperlink>
    </w:p>
    <w:p>
      <w:pPr>
        <w:keepNext w:val="0"/>
        <w:spacing w:before="0" w:after="20" w:line="240" w:lineRule="auto"/>
        <w:ind w:left="317" w:hanging="317"/>
        <w:jc w:val="both"/>
      </w:pPr>
      <w:r>
        <w:rPr>
          <w:rFonts w:ascii="Times New Roman" w:hAnsi="Times New Roman" w:eastAsia="Times New Roman"/>
          <w:sz w:val="18"/>
        </w:rPr>
        <w:t xml:space="preserve">[2] LangChain. (2026). </w:t>
      </w:r>
      <w:r>
        <w:rPr>
          <w:rFonts w:ascii="Times New Roman" w:hAnsi="Times New Roman" w:eastAsia="Times New Roman"/>
          <w:i/>
          <w:sz w:val="18"/>
        </w:rPr>
        <w:t>DeepAgents: Skills</w:t>
      </w:r>
      <w:r>
        <w:rPr>
          <w:rFonts w:ascii="Times New Roman" w:hAnsi="Times New Roman" w:eastAsia="Times New Roman"/>
          <w:sz w:val="18"/>
        </w:rPr>
        <w:t xml:space="preserve">. </w:t>
      </w:r>
      <w:hyperlink r:id="rId20">
        <w:r>
          <w:rPr>
            <w:rFonts w:ascii="Times New Roman" w:hAnsi="Times New Roman"/>
            <w:color w:val="0000FF"/>
            <w:u w:val="single"/>
            <w:sz w:val="20"/>
          </w:rPr>
          <w:t>https://docs.langchain.com/oss/python/deepagents/skills</w:t>
        </w:r>
      </w:hyperlink>
    </w:p>
    <w:p>
      <w:pPr>
        <w:keepNext w:val="0"/>
        <w:spacing w:before="0" w:after="20" w:line="240" w:lineRule="auto"/>
        <w:ind w:left="317" w:hanging="317"/>
        <w:jc w:val="both"/>
      </w:pPr>
      <w:r>
        <w:rPr>
          <w:rFonts w:ascii="Times New Roman" w:hAnsi="Times New Roman" w:eastAsia="Times New Roman"/>
          <w:sz w:val="18"/>
        </w:rPr>
        <w:t xml:space="preserve">[3] LangChain. (2026). </w:t>
      </w:r>
      <w:r>
        <w:rPr>
          <w:rFonts w:ascii="Times New Roman" w:hAnsi="Times New Roman" w:eastAsia="Times New Roman"/>
          <w:i/>
          <w:sz w:val="18"/>
        </w:rPr>
        <w:t>LangGraph overview</w:t>
      </w:r>
      <w:r>
        <w:rPr>
          <w:rFonts w:ascii="Times New Roman" w:hAnsi="Times New Roman" w:eastAsia="Times New Roman"/>
          <w:sz w:val="18"/>
        </w:rPr>
        <w:t xml:space="preserve">. </w:t>
      </w:r>
      <w:hyperlink r:id="rId21">
        <w:r>
          <w:rPr>
            <w:rFonts w:ascii="Times New Roman" w:hAnsi="Times New Roman"/>
            <w:color w:val="0000FF"/>
            <w:u w:val="single"/>
            <w:sz w:val="20"/>
          </w:rPr>
          <w:t>https://docs.langchain.com/oss/python/langgraph/overview</w:t>
        </w:r>
      </w:hyperlink>
    </w:p>
    <w:p>
      <w:pPr>
        <w:keepNext w:val="0"/>
        <w:spacing w:before="0" w:after="20" w:line="240" w:lineRule="auto"/>
        <w:ind w:left="317" w:hanging="317"/>
        <w:jc w:val="both"/>
      </w:pPr>
      <w:r>
        <w:rPr>
          <w:rFonts w:ascii="Times New Roman" w:hAnsi="Times New Roman" w:eastAsia="Times New Roman"/>
          <w:sz w:val="18"/>
        </w:rPr>
        <w:t xml:space="preserve">[4] Khattab, O., et al. (2023). DSPy: Compiling declarative language model calls into self-improving pipelines. </w:t>
      </w:r>
      <w:r>
        <w:rPr>
          <w:rFonts w:ascii="Times New Roman" w:hAnsi="Times New Roman" w:eastAsia="Times New Roman"/>
          <w:i/>
          <w:sz w:val="18"/>
        </w:rPr>
        <w:t>arXiv</w:t>
      </w:r>
      <w:r>
        <w:rPr>
          <w:rFonts w:ascii="Times New Roman" w:hAnsi="Times New Roman" w:eastAsia="Times New Roman"/>
          <w:sz w:val="18"/>
        </w:rPr>
        <w:t xml:space="preserve">. </w:t>
      </w:r>
      <w:hyperlink r:id="rId22">
        <w:r>
          <w:rPr>
            <w:rFonts w:ascii="Times New Roman" w:hAnsi="Times New Roman"/>
            <w:color w:val="0000FF"/>
            <w:u w:val="single"/>
            <w:sz w:val="20"/>
          </w:rPr>
          <w:t>https://arxiv.org/abs/2310.03714</w:t>
        </w:r>
      </w:hyperlink>
    </w:p>
    <w:p>
      <w:pPr>
        <w:keepNext w:val="0"/>
        <w:spacing w:before="0" w:after="20" w:line="240" w:lineRule="auto"/>
        <w:ind w:left="317" w:hanging="317"/>
        <w:jc w:val="both"/>
      </w:pPr>
      <w:r>
        <w:rPr>
          <w:rFonts w:ascii="Times New Roman" w:hAnsi="Times New Roman" w:eastAsia="Times New Roman"/>
          <w:sz w:val="18"/>
        </w:rPr>
        <w:t xml:space="preserve">[5] Li, Z., et al. (2024). AutoFlow: Automated workflow generation for large language model agents. </w:t>
      </w:r>
      <w:r>
        <w:rPr>
          <w:rFonts w:ascii="Times New Roman" w:hAnsi="Times New Roman" w:eastAsia="Times New Roman"/>
          <w:i/>
          <w:sz w:val="18"/>
        </w:rPr>
        <w:t>arXiv</w:t>
      </w:r>
      <w:r>
        <w:rPr>
          <w:rFonts w:ascii="Times New Roman" w:hAnsi="Times New Roman" w:eastAsia="Times New Roman"/>
          <w:sz w:val="18"/>
        </w:rPr>
        <w:t xml:space="preserve">. </w:t>
      </w:r>
      <w:hyperlink r:id="rId23">
        <w:r>
          <w:rPr>
            <w:rFonts w:ascii="Times New Roman" w:hAnsi="Times New Roman"/>
            <w:color w:val="0000FF"/>
            <w:u w:val="single"/>
            <w:sz w:val="20"/>
          </w:rPr>
          <w:t>https://arxiv.org/abs/2407.12821</w:t>
        </w:r>
      </w:hyperlink>
    </w:p>
    <w:p>
      <w:pPr>
        <w:keepNext w:val="0"/>
        <w:spacing w:before="0" w:after="20" w:line="240" w:lineRule="auto"/>
        <w:ind w:left="317" w:hanging="317"/>
        <w:jc w:val="both"/>
      </w:pPr>
      <w:r>
        <w:rPr>
          <w:rFonts w:ascii="Times New Roman" w:hAnsi="Times New Roman" w:eastAsia="Times New Roman"/>
          <w:sz w:val="18"/>
        </w:rPr>
        <w:t xml:space="preserve">[6] Zhang, J., et al. (2024). AFlow: Automating agentic workflow generation. </w:t>
      </w:r>
      <w:r>
        <w:rPr>
          <w:rFonts w:ascii="Times New Roman" w:hAnsi="Times New Roman" w:eastAsia="Times New Roman"/>
          <w:i/>
          <w:sz w:val="18"/>
        </w:rPr>
        <w:t>arXiv</w:t>
      </w:r>
      <w:r>
        <w:rPr>
          <w:rFonts w:ascii="Times New Roman" w:hAnsi="Times New Roman" w:eastAsia="Times New Roman"/>
          <w:sz w:val="18"/>
        </w:rPr>
        <w:t xml:space="preserve">. </w:t>
      </w:r>
      <w:hyperlink r:id="rId24">
        <w:r>
          <w:rPr>
            <w:rFonts w:ascii="Times New Roman" w:hAnsi="Times New Roman"/>
            <w:color w:val="0000FF"/>
            <w:u w:val="single"/>
            <w:sz w:val="20"/>
          </w:rPr>
          <w:t>https://arxiv.org/abs/2410.10762</w:t>
        </w:r>
      </w:hyperlink>
    </w:p>
    <w:p>
      <w:pPr>
        <w:keepNext w:val="0"/>
        <w:spacing w:before="0" w:after="20" w:line="240" w:lineRule="auto"/>
        <w:ind w:left="317" w:hanging="317"/>
        <w:jc w:val="both"/>
      </w:pPr>
      <w:r>
        <w:rPr>
          <w:rFonts w:ascii="Times New Roman" w:hAnsi="Times New Roman" w:eastAsia="Times New Roman"/>
          <w:sz w:val="18"/>
        </w:rPr>
        <w:t xml:space="preserve">[7] Hu, S., Lu, C., &amp; Clune, J. (2024). Automated design of agentic systems. </w:t>
      </w:r>
      <w:r>
        <w:rPr>
          <w:rFonts w:ascii="Times New Roman" w:hAnsi="Times New Roman" w:eastAsia="Times New Roman"/>
          <w:i/>
          <w:sz w:val="18"/>
        </w:rPr>
        <w:t>NeurIPS</w:t>
      </w:r>
      <w:r>
        <w:rPr>
          <w:rFonts w:ascii="Times New Roman" w:hAnsi="Times New Roman" w:eastAsia="Times New Roman"/>
          <w:sz w:val="18"/>
        </w:rPr>
        <w:t xml:space="preserve">. </w:t>
      </w:r>
      <w:hyperlink r:id="rId25">
        <w:r>
          <w:rPr>
            <w:rFonts w:ascii="Times New Roman" w:hAnsi="Times New Roman"/>
            <w:color w:val="0000FF"/>
            <w:u w:val="single"/>
            <w:sz w:val="20"/>
          </w:rPr>
          <w:t>https://arxiv.org/abs/2408.08435</w:t>
        </w:r>
      </w:hyperlink>
    </w:p>
    <w:p>
      <w:pPr>
        <w:keepNext w:val="0"/>
        <w:spacing w:before="0" w:after="20" w:line="240" w:lineRule="auto"/>
        <w:ind w:left="317" w:hanging="317"/>
        <w:jc w:val="both"/>
      </w:pPr>
      <w:r>
        <w:rPr>
          <w:rFonts w:ascii="Times New Roman" w:hAnsi="Times New Roman" w:eastAsia="Times New Roman"/>
          <w:sz w:val="18"/>
        </w:rPr>
        <w:t xml:space="preserve">[8] Yang, Y., et al. (2026). SkillOpt: Executive strategy for self-evolving agent skills. </w:t>
      </w:r>
      <w:r>
        <w:rPr>
          <w:rFonts w:ascii="Times New Roman" w:hAnsi="Times New Roman" w:eastAsia="Times New Roman"/>
          <w:i/>
          <w:sz w:val="18"/>
        </w:rPr>
        <w:t>arXiv</w:t>
      </w:r>
      <w:r>
        <w:rPr>
          <w:rFonts w:ascii="Times New Roman" w:hAnsi="Times New Roman" w:eastAsia="Times New Roman"/>
          <w:sz w:val="18"/>
        </w:rPr>
        <w:t xml:space="preserve">. </w:t>
      </w:r>
      <w:hyperlink r:id="rId26">
        <w:r>
          <w:rPr>
            <w:rFonts w:ascii="Times New Roman" w:hAnsi="Times New Roman"/>
            <w:color w:val="0000FF"/>
            <w:u w:val="single"/>
            <w:sz w:val="20"/>
          </w:rPr>
          <w:t>https://arxiv.org/abs/2605.23904</w:t>
        </w:r>
      </w:hyperlink>
    </w:p>
    <w:p>
      <w:pPr>
        <w:keepNext w:val="0"/>
        <w:spacing w:before="0" w:after="20" w:line="240" w:lineRule="auto"/>
        <w:ind w:left="317" w:hanging="317"/>
        <w:jc w:val="both"/>
      </w:pPr>
      <w:r>
        <w:rPr>
          <w:rFonts w:ascii="Times New Roman" w:hAnsi="Times New Roman" w:eastAsia="Times New Roman"/>
          <w:sz w:val="18"/>
        </w:rPr>
        <w:t xml:space="preserve">[9] Liu, Y., et al. (2026). SkillRevise: Improving LLM-authored agent skills via trace-conditioned skill revision. </w:t>
      </w:r>
      <w:r>
        <w:rPr>
          <w:rFonts w:ascii="Times New Roman" w:hAnsi="Times New Roman" w:eastAsia="Times New Roman"/>
          <w:i/>
          <w:sz w:val="18"/>
        </w:rPr>
        <w:t>arXiv</w:t>
      </w:r>
      <w:r>
        <w:rPr>
          <w:rFonts w:ascii="Times New Roman" w:hAnsi="Times New Roman" w:eastAsia="Times New Roman"/>
          <w:sz w:val="18"/>
        </w:rPr>
        <w:t xml:space="preserve">. </w:t>
      </w:r>
      <w:hyperlink r:id="rId27">
        <w:r>
          <w:rPr>
            <w:rFonts w:ascii="Times New Roman" w:hAnsi="Times New Roman"/>
            <w:color w:val="0000FF"/>
            <w:u w:val="single"/>
            <w:sz w:val="20"/>
          </w:rPr>
          <w:t>https://arxiv.org/abs/2606.01139</w:t>
        </w:r>
      </w:hyperlink>
    </w:p>
    <w:p>
      <w:pPr>
        <w:keepNext w:val="0"/>
        <w:spacing w:before="0" w:after="20" w:line="240" w:lineRule="auto"/>
        <w:ind w:left="317" w:hanging="317"/>
        <w:jc w:val="both"/>
      </w:pPr>
      <w:r>
        <w:rPr>
          <w:rFonts w:ascii="Times New Roman" w:hAnsi="Times New Roman" w:eastAsia="Times New Roman"/>
          <w:sz w:val="18"/>
        </w:rPr>
        <w:t xml:space="preserve">[10] Gao, Y., et al. (2026). SkillReducer: Optimizing LLM agent skills for token efficiency. </w:t>
      </w:r>
      <w:r>
        <w:rPr>
          <w:rFonts w:ascii="Times New Roman" w:hAnsi="Times New Roman" w:eastAsia="Times New Roman"/>
          <w:i/>
          <w:sz w:val="18"/>
        </w:rPr>
        <w:t>arXiv</w:t>
      </w:r>
      <w:r>
        <w:rPr>
          <w:rFonts w:ascii="Times New Roman" w:hAnsi="Times New Roman" w:eastAsia="Times New Roman"/>
          <w:sz w:val="18"/>
        </w:rPr>
        <w:t xml:space="preserve">. </w:t>
      </w:r>
      <w:hyperlink r:id="rId28">
        <w:r>
          <w:rPr>
            <w:rFonts w:ascii="Times New Roman" w:hAnsi="Times New Roman"/>
            <w:color w:val="0000FF"/>
            <w:u w:val="single"/>
            <w:sz w:val="20"/>
          </w:rPr>
          <w:t>https://arxiv.org/abs/2603.29919</w:t>
        </w:r>
      </w:hyperlink>
    </w:p>
    <w:p>
      <w:pPr>
        <w:keepNext w:val="0"/>
        <w:spacing w:before="0" w:after="20" w:line="240" w:lineRule="auto"/>
        <w:ind w:left="317" w:hanging="317"/>
        <w:jc w:val="both"/>
      </w:pPr>
      <w:r>
        <w:rPr>
          <w:rFonts w:ascii="Times New Roman" w:hAnsi="Times New Roman" w:eastAsia="Times New Roman"/>
          <w:sz w:val="18"/>
        </w:rPr>
        <w:t xml:space="preserve">[11] Kevin, C., et al. (2026). Evaluating skills, not just agents: Agentic continuous evaluation of skills. </w:t>
      </w:r>
      <w:r>
        <w:rPr>
          <w:rFonts w:ascii="Times New Roman" w:hAnsi="Times New Roman" w:eastAsia="Times New Roman"/>
          <w:i/>
          <w:sz w:val="18"/>
        </w:rPr>
        <w:t>arXiv</w:t>
      </w:r>
      <w:r>
        <w:rPr>
          <w:rFonts w:ascii="Times New Roman" w:hAnsi="Times New Roman" w:eastAsia="Times New Roman"/>
          <w:sz w:val="18"/>
        </w:rPr>
        <w:t xml:space="preserve">. </w:t>
      </w:r>
      <w:hyperlink r:id="rId29">
        <w:r>
          <w:rPr>
            <w:rFonts w:ascii="Times New Roman" w:hAnsi="Times New Roman"/>
            <w:color w:val="0000FF"/>
            <w:u w:val="single"/>
            <w:sz w:val="20"/>
          </w:rPr>
          <w:t>https://arxiv.org/abs/2608.20614</w:t>
        </w:r>
      </w:hyperlink>
    </w:p>
    <w:p>
      <w:pPr>
        <w:keepNext w:val="0"/>
        <w:spacing w:before="0" w:after="20" w:line="240" w:lineRule="auto"/>
        <w:ind w:left="317" w:hanging="317"/>
        <w:jc w:val="both"/>
      </w:pPr>
      <w:r>
        <w:rPr>
          <w:rFonts w:ascii="Times New Roman" w:hAnsi="Times New Roman" w:eastAsia="Times New Roman"/>
          <w:sz w:val="18"/>
        </w:rPr>
        <w:t xml:space="preserve">[12] Tuggener, D., et al. (2020). LEDGAR: A large-scale multi-label corpus for text classification of legal provisions in contracts. </w:t>
      </w:r>
      <w:r>
        <w:rPr>
          <w:rFonts w:ascii="Times New Roman" w:hAnsi="Times New Roman" w:eastAsia="Times New Roman"/>
          <w:i/>
          <w:sz w:val="18"/>
        </w:rPr>
        <w:t>LREC 2020</w:t>
      </w:r>
      <w:r>
        <w:rPr>
          <w:rFonts w:ascii="Times New Roman" w:hAnsi="Times New Roman" w:eastAsia="Times New Roman"/>
          <w:sz w:val="18"/>
        </w:rPr>
        <w:t xml:space="preserve">, 1235-1241. </w:t>
      </w:r>
      <w:hyperlink r:id="rId30">
        <w:r>
          <w:rPr>
            <w:rFonts w:ascii="Times New Roman" w:hAnsi="Times New Roman"/>
            <w:color w:val="0000FF"/>
            <w:u w:val="single"/>
            <w:sz w:val="20"/>
          </w:rPr>
          <w:t>https://aclanthology.org/2020.lrec-1.155/</w:t>
        </w:r>
      </w:hyperlink>
    </w:p>
    <w:p>
      <w:pPr>
        <w:keepNext w:val="0"/>
        <w:spacing w:before="0" w:after="20" w:line="240" w:lineRule="auto"/>
        <w:ind w:left="317" w:hanging="317"/>
        <w:jc w:val="both"/>
      </w:pPr>
      <w:r>
        <w:rPr>
          <w:rFonts w:ascii="Times New Roman" w:hAnsi="Times New Roman" w:eastAsia="Times New Roman"/>
          <w:sz w:val="18"/>
        </w:rPr>
        <w:t xml:space="preserve">[13] Consumer Financial Protection Bureau. (2026). </w:t>
      </w:r>
      <w:r>
        <w:rPr>
          <w:rFonts w:ascii="Times New Roman" w:hAnsi="Times New Roman" w:eastAsia="Times New Roman"/>
          <w:i/>
          <w:sz w:val="18"/>
        </w:rPr>
        <w:t>Consumer Complaint Database</w:t>
      </w:r>
      <w:r>
        <w:rPr>
          <w:rFonts w:ascii="Times New Roman" w:hAnsi="Times New Roman" w:eastAsia="Times New Roman"/>
          <w:sz w:val="18"/>
        </w:rPr>
        <w:t xml:space="preserve">. </w:t>
      </w:r>
      <w:hyperlink r:id="rId31">
        <w:r>
          <w:rPr>
            <w:rFonts w:ascii="Times New Roman" w:hAnsi="Times New Roman"/>
            <w:color w:val="0000FF"/>
            <w:u w:val="single"/>
            <w:sz w:val="20"/>
          </w:rPr>
          <w:t>https://www.consumerfinance.gov/data-research/consumer-complaints/</w:t>
        </w:r>
      </w:hyperlink>
    </w:p>
    <w:p>
      <w:pPr>
        <w:keepNext w:val="0"/>
        <w:spacing w:before="0" w:after="20" w:line="240" w:lineRule="auto"/>
        <w:ind w:left="317" w:hanging="317"/>
        <w:jc w:val="both"/>
      </w:pPr>
      <w:r>
        <w:rPr>
          <w:rFonts w:ascii="Times New Roman" w:hAnsi="Times New Roman" w:eastAsia="Times New Roman"/>
          <w:sz w:val="18"/>
        </w:rPr>
        <w:t xml:space="preserve">[14] Apache SpamAssassin. (2006). </w:t>
      </w:r>
      <w:r>
        <w:rPr>
          <w:rFonts w:ascii="Times New Roman" w:hAnsi="Times New Roman" w:eastAsia="Times New Roman"/>
          <w:i/>
          <w:sz w:val="18"/>
        </w:rPr>
        <w:t>Public corpus</w:t>
      </w:r>
      <w:r>
        <w:rPr>
          <w:rFonts w:ascii="Times New Roman" w:hAnsi="Times New Roman" w:eastAsia="Times New Roman"/>
          <w:sz w:val="18"/>
        </w:rPr>
        <w:t xml:space="preserve">. </w:t>
      </w:r>
      <w:hyperlink r:id="rId32">
        <w:r>
          <w:rPr>
            <w:rFonts w:ascii="Times New Roman" w:hAnsi="Times New Roman"/>
            <w:color w:val="0000FF"/>
            <w:u w:val="single"/>
            <w:sz w:val="20"/>
          </w:rPr>
          <w:t>https://spamassassin.apache.org/old/publiccorpus/</w:t>
        </w:r>
      </w:hyperlink>
    </w:p>
    <w:p>
      <w:pPr>
        <w:keepNext w:val="0"/>
        <w:spacing w:before="0" w:after="20" w:line="240" w:lineRule="auto"/>
        <w:ind w:left="317" w:hanging="317"/>
        <w:jc w:val="both"/>
      </w:pPr>
      <w:r>
        <w:rPr>
          <w:rFonts w:ascii="Times New Roman" w:hAnsi="Times New Roman" w:eastAsia="Times New Roman"/>
          <w:sz w:val="18"/>
        </w:rPr>
        <w:t xml:space="preserve">[15] Huang, Z., et al. (2021). ICDAR2019 competition on scanned receipt OCR and information extraction. </w:t>
      </w:r>
      <w:r>
        <w:rPr>
          <w:rFonts w:ascii="Times New Roman" w:hAnsi="Times New Roman" w:eastAsia="Times New Roman"/>
          <w:i/>
          <w:sz w:val="18"/>
        </w:rPr>
        <w:t>arXiv</w:t>
      </w:r>
      <w:r>
        <w:rPr>
          <w:rFonts w:ascii="Times New Roman" w:hAnsi="Times New Roman" w:eastAsia="Times New Roman"/>
          <w:sz w:val="18"/>
        </w:rPr>
        <w:t xml:space="preserve">. </w:t>
      </w:r>
      <w:hyperlink r:id="rId33">
        <w:r>
          <w:rPr>
            <w:rFonts w:ascii="Times New Roman" w:hAnsi="Times New Roman"/>
            <w:color w:val="0000FF"/>
            <w:u w:val="single"/>
            <w:sz w:val="20"/>
          </w:rPr>
          <w:t>https://arxiv.org/abs/2103.10213</w:t>
        </w:r>
      </w:hyperlink>
    </w:p>
    <w:p>
      <w:pPr>
        <w:keepNext w:val="0"/>
        <w:spacing w:before="0" w:after="20" w:line="240" w:lineRule="auto"/>
        <w:ind w:left="317" w:hanging="317"/>
        <w:jc w:val="both"/>
      </w:pPr>
      <w:r>
        <w:rPr>
          <w:rFonts w:ascii="Times New Roman" w:hAnsi="Times New Roman" w:eastAsia="Times New Roman"/>
          <w:sz w:val="18"/>
        </w:rPr>
        <w:t xml:space="preserve">[16] Harley, A. W., Ufkes, A., &amp; Derpanis, K. G. (2015). Evaluation of deep convolutional nets for document image classification and retrieval. </w:t>
      </w:r>
      <w:r>
        <w:rPr>
          <w:rFonts w:ascii="Times New Roman" w:hAnsi="Times New Roman" w:eastAsia="Times New Roman"/>
          <w:i/>
          <w:sz w:val="18"/>
        </w:rPr>
        <w:t>ICDAR 2015</w:t>
      </w:r>
      <w:r>
        <w:rPr>
          <w:rFonts w:ascii="Times New Roman" w:hAnsi="Times New Roman" w:eastAsia="Times New Roman"/>
          <w:sz w:val="18"/>
        </w:rPr>
        <w:t xml:space="preserve">. </w:t>
      </w:r>
      <w:hyperlink r:id="rId34">
        <w:r>
          <w:rPr>
            <w:rFonts w:ascii="Times New Roman" w:hAnsi="Times New Roman"/>
            <w:color w:val="0000FF"/>
            <w:u w:val="single"/>
            <w:sz w:val="20"/>
          </w:rPr>
          <w:t>https://arxiv.org/abs/1502.07058</w:t>
        </w:r>
      </w:hyperlink>
    </w:p>
    <w:p>
      <w:pPr>
        <w:keepNext w:val="0"/>
        <w:spacing w:before="0" w:after="20" w:line="240" w:lineRule="auto"/>
        <w:ind w:left="317" w:hanging="317"/>
        <w:jc w:val="both"/>
      </w:pPr>
      <w:r>
        <w:rPr>
          <w:rFonts w:ascii="Times New Roman" w:hAnsi="Times New Roman" w:eastAsia="Times New Roman"/>
          <w:sz w:val="18"/>
        </w:rPr>
        <w:t xml:space="preserve">[17] Lim, G., Larson, S., &amp; Leach, K. (2024). Label errors in the Tobacco3482 dataset. </w:t>
      </w:r>
      <w:r>
        <w:rPr>
          <w:rFonts w:ascii="Times New Roman" w:hAnsi="Times New Roman" w:eastAsia="Times New Roman"/>
          <w:i/>
          <w:sz w:val="18"/>
        </w:rPr>
        <w:t>arXiv</w:t>
      </w:r>
      <w:r>
        <w:rPr>
          <w:rFonts w:ascii="Times New Roman" w:hAnsi="Times New Roman" w:eastAsia="Times New Roman"/>
          <w:sz w:val="18"/>
        </w:rPr>
        <w:t xml:space="preserve">. </w:t>
      </w:r>
      <w:hyperlink r:id="rId35">
        <w:r>
          <w:rPr>
            <w:rFonts w:ascii="Times New Roman" w:hAnsi="Times New Roman"/>
            <w:color w:val="0000FF"/>
            <w:u w:val="single"/>
            <w:sz w:val="20"/>
          </w:rPr>
          <w:t>https://arxiv.org/abs/2412.13140</w:t>
        </w:r>
      </w:hyperlink>
    </w:p>
    <w:p>
      <w:pPr>
        <w:keepNext w:val="0"/>
        <w:spacing w:before="0" w:after="20" w:line="240" w:lineRule="auto"/>
        <w:ind w:left="317" w:hanging="317"/>
        <w:jc w:val="both"/>
      </w:pPr>
      <w:r>
        <w:rPr>
          <w:rFonts w:ascii="Times New Roman" w:hAnsi="Times New Roman" w:eastAsia="Times New Roman"/>
          <w:sz w:val="18"/>
        </w:rPr>
        <w:t xml:space="preserve">[18] LlamaIndex. (2026). </w:t>
      </w:r>
      <w:r>
        <w:rPr>
          <w:rFonts w:ascii="Times New Roman" w:hAnsi="Times New Roman" w:eastAsia="Times New Roman"/>
          <w:i/>
          <w:sz w:val="18"/>
        </w:rPr>
        <w:t>LiteParse: Open-source document parsing</w:t>
      </w:r>
      <w:r>
        <w:rPr>
          <w:rFonts w:ascii="Times New Roman" w:hAnsi="Times New Roman" w:eastAsia="Times New Roman"/>
          <w:sz w:val="18"/>
        </w:rPr>
        <w:t xml:space="preserve">. </w:t>
      </w:r>
      <w:hyperlink r:id="rId36">
        <w:r>
          <w:rPr>
            <w:rFonts w:ascii="Times New Roman" w:hAnsi="Times New Roman"/>
            <w:color w:val="0000FF"/>
            <w:u w:val="single"/>
            <w:sz w:val="20"/>
          </w:rPr>
          <w:t>https://github.com/run-llama/liteparse</w:t>
        </w:r>
      </w:hyperlink>
    </w:p>
    <w:sectPr w:rsidR="00FC693F" w:rsidRPr="0006063C" w:rsidSect="00034616">
      <w:type w:val="continuous"/>
      <w:pgSz w:w="11906" w:h="16838"/>
      <w:pgMar w:top="1008" w:right="1008" w:bottom="936" w:left="1008" w:header="461" w:footer="432" w:gutter="0"/>
      <w:cols w:space="340"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single" w:sz="4" w:color="557030"/>
        <w:left w:val="single" w:sz="4" w:color="557030"/>
        <w:bottom w:val="single" w:sz="4" w:color="557030"/>
        <w:right w:val="single" w:sz="4" w:color="557030"/>
        <w:insideH w:val="single" w:sz="4" w:color="557030"/>
        <w:insideV w:val="single" w:sz="4" w:color="557030"/>
      </w:tblBorders>
    </w:tblPr>
    <w:tblGrid>
      <w:gridCol w:w="4939"/>
      <w:gridCol w:w="4939"/>
    </w:tblGrid>
    <w:tr>
      <w:tc>
        <w:tcPr>
          <w:tcW w:type="dxa" w:w="8070"/>
        </w:tcPr>
        <w:p>
          <w:pPr>
            <w:keepNext w:val="0"/>
            <w:spacing w:before="0" w:after="0" w:line="240" w:lineRule="auto"/>
          </w:pPr>
          <w:r>
            <w:rPr>
              <w:rFonts w:ascii="Times New Roman" w:hAnsi="Times New Roman" w:eastAsia="Times New Roman"/>
              <w:sz w:val="14"/>
            </w:rPr>
            <w:t>PLaND | Submission manuscript</w:t>
          </w:r>
        </w:p>
      </w:tc>
      <w:tc>
        <w:tcPr>
          <w:tcW w:type="dxa" w:w="1820"/>
          <w:shd w:fill="DCE8C6"/>
        </w:tcPr>
        <w:p>
          <w:pPr>
            <w:keepNext w:val="0"/>
            <w:spacing w:before="0" w:after="0" w:line="240" w:lineRule="auto"/>
            <w:jc w:val="center"/>
          </w:pPr>
          <w:r>
            <w:rPr>
              <w:rFonts w:ascii="Times New Roman" w:hAnsi="Times New Roman" w:eastAsia="Times New Roman"/>
              <w:sz w:val="14"/>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single" w:sz="4" w:color="557030"/>
        <w:left w:val="single" w:sz="4" w:color="557030"/>
        <w:bottom w:val="single" w:sz="4" w:color="557030"/>
        <w:right w:val="single" w:sz="4" w:color="557030"/>
        <w:insideH w:val="single" w:sz="4" w:color="557030"/>
        <w:insideV w:val="single" w:sz="4" w:color="557030"/>
      </w:tblBorders>
    </w:tblPr>
    <w:tblGrid>
      <w:gridCol w:w="4939"/>
      <w:gridCol w:w="4939"/>
    </w:tblGrid>
    <w:tr>
      <w:tc>
        <w:tcPr>
          <w:tcW w:type="dxa" w:w="8070"/>
        </w:tcPr>
        <w:p>
          <w:pPr>
            <w:keepNext w:val="0"/>
            <w:spacing w:before="0" w:after="0" w:line="240" w:lineRule="auto"/>
          </w:pPr>
          <w:r>
            <w:rPr>
              <w:rFonts w:ascii="Times New Roman" w:hAnsi="Times New Roman" w:eastAsia="Times New Roman"/>
              <w:sz w:val="14"/>
            </w:rPr>
            <w:t>PLaND | Submission manuscript</w:t>
          </w:r>
        </w:p>
      </w:tc>
      <w:tc>
        <w:tcPr>
          <w:tcW w:type="dxa" w:w="1820"/>
          <w:shd w:fill="DCE8C6"/>
        </w:tcPr>
        <w:p>
          <w:pPr>
            <w:keepNext w:val="0"/>
            <w:spacing w:before="0" w:after="0" w:line="240" w:lineRule="auto"/>
            <w:jc w:val="center"/>
          </w:pPr>
          <w:r>
            <w:rPr>
              <w:rFonts w:ascii="Times New Roman" w:hAnsi="Times New Roman" w:eastAsia="Times New Roman"/>
              <w:sz w:val="14"/>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Bdr>
        <w:bottom w:val="single" w:sz="6" w:color="557030"/>
      </w:pBdr>
    </w:pPr>
    <w:r>
      <w:rPr>
        <w:rFonts w:ascii="Times New Roman" w:hAnsi="Times New Roman" w:eastAsia="Times New Roman"/>
        <w:sz w:val="14"/>
      </w:rPr>
      <w:t>Maddipatla Naga Venkata Sai Krishna &amp; Asit Kumar Sahoo, Sch J Eng Tech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eastAsia="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40" w:lineRule="auto"/>
      <w:outlineLvl w:val="0"/>
    </w:pPr>
    <w:rPr>
      <w:rFonts w:asciiTheme="majorHAnsi" w:eastAsiaTheme="majorEastAsia" w:hAnsiTheme="majorHAnsi" w:cstheme="majorBidi" w:ascii="Times New Roman" w:hAnsi="Times New Roman" w:eastAsia="Times New Roman"/>
      <w:b/>
      <w:bCs/>
      <w:color w:val="0070C0"/>
      <w:sz w:val="21"/>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Times New Roman" w:hAnsi="Times New Roman" w:eastAsia="Times New Roman"/>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360" w:hanging="259"/>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360" w:hanging="259"/>
      <w:contextualSpacing/>
    </w:pPr>
    <w:rPr>
      <w:rFonts w:ascii="Times New Roman" w:hAnsi="Times New Roman"/>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hyperlink" Target="https://github.com/mnvsk97/PLaND/tree/codex/pland-variance-study/experiments/ledgar-text-classification/results/variance-study-20260903" TargetMode="External"/><Relationship Id="rId16" Type="http://schemas.openxmlformats.org/officeDocument/2006/relationships/hyperlink" Target="https://github.com/mnvsk97/PLaND/tree/codex/pland-variance-study/experiments/cfpb-text-classification/results/variance-study-20260903" TargetMode="External"/><Relationship Id="rId17" Type="http://schemas.openxmlformats.org/officeDocument/2006/relationships/hyperlink" Target="https://github.com/mnvsk97/PLaND/tree/codex/pland-variance-study/experiments/spamassassin-email-classification/results/variance-study-20260903" TargetMode="External"/><Relationship Id="rId18" Type="http://schemas.openxmlformats.org/officeDocument/2006/relationships/hyperlink" Target="https://github.com/mnvsk97/PLaND/tree/codex/pland-variance-study" TargetMode="External"/><Relationship Id="rId19" Type="http://schemas.openxmlformats.org/officeDocument/2006/relationships/hyperlink" Target="https://agentskills.io/specification" TargetMode="External"/><Relationship Id="rId20" Type="http://schemas.openxmlformats.org/officeDocument/2006/relationships/hyperlink" Target="https://docs.langchain.com/oss/python/deepagents/skills" TargetMode="External"/><Relationship Id="rId21" Type="http://schemas.openxmlformats.org/officeDocument/2006/relationships/hyperlink" Target="https://docs.langchain.com/oss/python/langgraph/overview" TargetMode="External"/><Relationship Id="rId22" Type="http://schemas.openxmlformats.org/officeDocument/2006/relationships/hyperlink" Target="https://arxiv.org/abs/2310.03714" TargetMode="External"/><Relationship Id="rId23" Type="http://schemas.openxmlformats.org/officeDocument/2006/relationships/hyperlink" Target="https://arxiv.org/abs/2407.12821" TargetMode="External"/><Relationship Id="rId24" Type="http://schemas.openxmlformats.org/officeDocument/2006/relationships/hyperlink" Target="https://arxiv.org/abs/2410.10762" TargetMode="External"/><Relationship Id="rId25" Type="http://schemas.openxmlformats.org/officeDocument/2006/relationships/hyperlink" Target="https://arxiv.org/abs/2408.08435" TargetMode="External"/><Relationship Id="rId26" Type="http://schemas.openxmlformats.org/officeDocument/2006/relationships/hyperlink" Target="https://arxiv.org/abs/2605.23904" TargetMode="External"/><Relationship Id="rId27" Type="http://schemas.openxmlformats.org/officeDocument/2006/relationships/hyperlink" Target="https://arxiv.org/abs/2606.01139" TargetMode="External"/><Relationship Id="rId28" Type="http://schemas.openxmlformats.org/officeDocument/2006/relationships/hyperlink" Target="https://arxiv.org/abs/2603.29919" TargetMode="External"/><Relationship Id="rId29" Type="http://schemas.openxmlformats.org/officeDocument/2006/relationships/hyperlink" Target="https://arxiv.org/abs/2608.20614" TargetMode="External"/><Relationship Id="rId30" Type="http://schemas.openxmlformats.org/officeDocument/2006/relationships/hyperlink" Target="https://aclanthology.org/2020.lrec-1.155/" TargetMode="External"/><Relationship Id="rId31" Type="http://schemas.openxmlformats.org/officeDocument/2006/relationships/hyperlink" Target="https://www.consumerfinance.gov/data-research/consumer-complaints/" TargetMode="External"/><Relationship Id="rId32" Type="http://schemas.openxmlformats.org/officeDocument/2006/relationships/hyperlink" Target="https://spamassassin.apache.org/old/publiccorpus/" TargetMode="External"/><Relationship Id="rId33" Type="http://schemas.openxmlformats.org/officeDocument/2006/relationships/hyperlink" Target="https://arxiv.org/abs/2103.10213" TargetMode="External"/><Relationship Id="rId34" Type="http://schemas.openxmlformats.org/officeDocument/2006/relationships/hyperlink" Target="https://arxiv.org/abs/1502.07058" TargetMode="External"/><Relationship Id="rId35" Type="http://schemas.openxmlformats.org/officeDocument/2006/relationships/hyperlink" Target="https://arxiv.org/abs/2412.13140" TargetMode="External"/><Relationship Id="rId36" Type="http://schemas.openxmlformats.org/officeDocument/2006/relationships/hyperlink" Target="https://github.com/run-llama/litepa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PLaND - Path to Least Non Determinism</dc:title>
  <dc:subject>Controlled evolution of agent skills</dc:subject>
  <dc:creator>Maddipatla Naga Venkata Sai Krishna; Asit Kumar Sahoo</dc:creator>
  <cp:keywords>agent skills, deterministic workflows, evaluation</cp:keywords>
  <dc:description>generated by python-docx</dc:description>
  <cp:lastModifiedBy/>
  <cp:revision>1</cp:revision>
  <dcterms:created xsi:type="dcterms:W3CDTF">2013-12-23T23:15:00Z</dcterms:created>
  <dcterms:modified xsi:type="dcterms:W3CDTF">2013-12-23T23:15:00Z</dcterms:modified>
  <cp:category/>
</cp:coreProperties>
</file>