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60" w:line="240" w:lineRule="auto"/>
        <w:jc w:val="left"/>
      </w:pPr>
      <w:r>
        <w:rPr>
          <w:rFonts w:ascii="Times New Roman" w:hAnsi="Times New Roman" w:eastAsia="Times New Roman"/>
          <w:b/>
          <w:sz w:val="28"/>
        </w:rPr>
        <w:t>PLaND - Path to Least Non Determinism</w:t>
      </w:r>
    </w:p>
    <w:p>
      <w:pPr>
        <w:keepNext/>
        <w:spacing w:before="0" w:after="60" w:line="240" w:lineRule="auto"/>
        <w:jc w:val="left"/>
      </w:pPr>
      <w:r>
        <w:rPr>
          <w:rFonts w:ascii="Times New Roman" w:hAnsi="Times New Roman" w:eastAsia="Times New Roman"/>
          <w:b/>
          <w:sz w:val="20"/>
        </w:rPr>
        <w:t>Maddipatla Naga Venkata Sai Krishna</w:t>
      </w:r>
      <w:r>
        <w:rPr>
          <w:rFonts w:ascii="Times New Roman" w:hAnsi="Times New Roman" w:eastAsia="Times New Roman"/>
          <w:sz w:val="20"/>
        </w:rPr>
        <w:t xml:space="preserve">, </w:t>
      </w:r>
      <w:r>
        <w:rPr>
          <w:rFonts w:ascii="Times New Roman" w:hAnsi="Times New Roman" w:eastAsia="Times New Roman"/>
          <w:b/>
          <w:sz w:val="20"/>
        </w:rPr>
        <w:t>Asit Kumar Sahoo</w:t>
      </w:r>
    </w:p>
    <w:p>
      <w:pPr>
        <w:keepNext/>
        <w:spacing w:before="0" w:after="160" w:line="240" w:lineRule="auto"/>
        <w:jc w:val="center"/>
      </w:pPr>
      <w:r>
        <w:rPr>
          <w:rFonts w:ascii="Times New Roman" w:hAnsi="Times New Roman" w:eastAsia="Times New Roman"/>
          <w:i/>
          <w:sz w:val="20"/>
        </w:rPr>
        <w:t>Affiliations: Both authors are Independent Researchers, San Francisco, CA, USA. Corresponding author: Maddipatla Naga Venkata Sai Krishna; mnvsk97@gmail.com.</w:t>
      </w:r>
    </w:p>
    <w:p>
      <w:pPr>
        <w:pStyle w:val="Heading1"/>
      </w:pPr>
      <w:r>
        <w:rPr>
          <w:rFonts w:ascii="Times New Roman" w:hAnsi="Times New Roman" w:eastAsia="Times New Roman"/>
          <w:b/>
          <w:sz w:val="20"/>
        </w:rPr>
        <w:t>Abstract</w:t>
      </w:r>
    </w:p>
    <w:p>
      <w:pPr>
        <w:keepNext w:val="0"/>
        <w:spacing w:before="0" w:after="80" w:line="240" w:lineRule="auto"/>
        <w:ind w:firstLine="288"/>
        <w:jc w:val="both"/>
      </w:pPr>
      <w:r>
        <w:rPr>
          <w:rFonts w:ascii="Times New Roman" w:hAnsi="Times New Roman" w:eastAsia="Times New Roman"/>
          <w:sz w:val="20"/>
        </w:rPr>
        <w:t>Business processes and agentic systems contain decisions with different computational requirements. Some require interpretation, contextual judgment, novelty handling, or exception resolution; others are stable enough to execute deterministically. When these boundaries are not known in advance, a natural-language agent can provide an expressive starting point, but repeatedly routing already-stable work through a language model creates avoidable model calls and token consumption. We present Path to Least Non Determinism (PLaND), an evaluation-driven methodology for progressively reducing unnecessary model-mediated computation while preserving a predefined quality contract. PLaND begins with an entirely English SOP. Its evolver skill instructs a host reasoning agent to use development traces and scorer feedback to propose one bounded change, including explicit Python or Bash where appropriate; deterministic assessors then accept or reject the candidate under frozen comparison conditions. On the original untouched 1,000-case LEDGAR confirmatory test, natural-language and hybrid accuracy were 93.5% and 92.7%, respectively; the -0.8-point difference remained within the prespecified two-point non-inferiority margin, while model calls fell from 1,000 to 589 and tokens fell 40.02%. Three later optimized replications reproduced the -0.8-point difference and approximately 40.02% token reduction. A subsequent quality-first study, using fresh 500-case validation sets and stricter guardrails, rejected LEDGAR, CFPB, and SpamAssassin candidates; no test split was opened. These results support quality-gated deterministic substitution and fallback, not universal determinisation. They do not establish general autonomous pattern induction, continuous self-modifying workflows, or measured dollar savings.</w:t>
      </w:r>
    </w:p>
    <w:p>
      <w:pPr>
        <w:keepNext w:val="0"/>
        <w:spacing w:before="0" w:after="80" w:line="240" w:lineRule="auto"/>
        <w:ind w:firstLine="0"/>
      </w:pPr>
      <w:r>
        <w:rPr>
          <w:rFonts w:ascii="Times New Roman" w:hAnsi="Times New Roman" w:eastAsia="Times New Roman"/>
          <w:b/>
          <w:sz w:val="20"/>
        </w:rPr>
        <w:t>Keywords:</w:t>
      </w:r>
      <w:r>
        <w:rPr>
          <w:rFonts w:ascii="Times New Roman" w:hAnsi="Times New Roman" w:eastAsia="Times New Roman"/>
          <w:sz w:val="20"/>
        </w:rPr>
        <w:t xml:space="preserve"> agentic workflows, deterministic compilation, language-model agents, business processes, workflow optimization, token efficiency, hybrid systems</w:t>
      </w:r>
    </w:p>
    <w:p>
      <w:pPr>
        <w:pStyle w:val="Heading1"/>
      </w:pPr>
      <w:r>
        <w:rPr>
          <w:rFonts w:ascii="Times New Roman" w:hAnsi="Times New Roman" w:eastAsia="Times New Roman"/>
          <w:b/>
          <w:sz w:val="20"/>
        </w:rPr>
        <w:t>Introduction</w:t>
      </w:r>
    </w:p>
    <w:p>
      <w:pPr>
        <w:keepNext w:val="0"/>
        <w:spacing w:before="0" w:after="80" w:line="240" w:lineRule="auto"/>
        <w:ind w:firstLine="288"/>
        <w:jc w:val="both"/>
      </w:pPr>
      <w:r>
        <w:rPr>
          <w:rFonts w:ascii="Times New Roman" w:hAnsi="Times New Roman" w:eastAsia="Times New Roman"/>
          <w:sz w:val="20"/>
        </w:rPr>
        <w:t xml:space="preserve">Language-model agents are valuable when a task requires interpretation, contextual judgment, or exception handling. They are less valuable when repeatedly asked to parse fixed fields, count items, normalize values, validate a schema, or apply an exact rule. Reusable agent instructions are increasingly packaged as skills: the Agent Skills specification requires </w:t>
      </w:r>
      <w:r>
        <w:rPr>
          <w:rFonts w:ascii="Courier New" w:hAnsi="Courier New" w:eastAsia="Times New Roman"/>
          <w:sz w:val="20"/>
        </w:rPr>
        <w:t>SKILL.md</w:t>
      </w:r>
      <w:r>
        <w:rPr>
          <w:rFonts w:ascii="Times New Roman" w:hAnsi="Times New Roman" w:eastAsia="Times New Roman"/>
          <w:sz w:val="20"/>
        </w:rPr>
        <w:t xml:space="preserve"> and permits references, scripts, and assets [1]; DeepAgents supports open-ended skill use [2]; and LangGraph represents stable workflows as explicit graphs [3]. These systems do not determine which SOP steps should retain model judgment.</w:t>
      </w:r>
    </w:p>
    <w:p>
      <w:pPr>
        <w:keepNext w:val="0"/>
        <w:spacing w:before="0" w:after="80" w:line="240" w:lineRule="auto"/>
        <w:ind w:firstLine="288"/>
        <w:jc w:val="both"/>
      </w:pPr>
      <w:r>
        <w:rPr>
          <w:rFonts w:ascii="Times New Roman" w:hAnsi="Times New Roman" w:eastAsia="Times New Roman"/>
          <w:sz w:val="20"/>
        </w:rPr>
        <w:t>PLaND asks: what is the least non-deterministic form of a workflow that still satisfies its measured quality contract? Natural language remains appropriate for ambiguous decisions. Ordinary code is usually preferable for bounded, testable computation. The intended endpoint may therefore be an open-ended agent, a hybrid skill, or a mostly deterministic graph.</w:t>
      </w:r>
    </w:p>
    <w:p>
      <w:pPr>
        <w:keepNext w:val="0"/>
        <w:spacing w:before="0" w:after="80" w:line="240" w:lineRule="auto"/>
        <w:ind w:firstLine="288"/>
        <w:jc w:val="both"/>
      </w:pPr>
      <w:r>
        <w:rPr>
          <w:rFonts w:ascii="Times New Roman" w:hAnsi="Times New Roman" w:eastAsia="Times New Roman"/>
          <w:sz w:val="20"/>
        </w:rPr>
        <w:t xml:space="preserve">The same task makes this progression concrete. Figure 1 reproduces representative numbered lines from the repository's actual LEDGAR skills. The natural-language SOP asks the model to read the complete clause, identify its legal function, compare it with the allowed labels, and select the best label. The hybrid SOP inserts one command step, </w:t>
      </w:r>
      <w:r>
        <w:rPr>
          <w:rFonts w:ascii="Courier New" w:hAnsi="Courier New" w:eastAsia="Times New Roman"/>
          <w:sz w:val="20"/>
        </w:rPr>
        <w:t>python classify.py</w:t>
      </w:r>
      <w:r>
        <w:rPr>
          <w:rFonts w:ascii="Times New Roman" w:hAnsi="Times New Roman" w:eastAsia="Times New Roman"/>
          <w:sz w:val="20"/>
        </w:rPr>
        <w:t>, before those semantic instructions; it accepts only a high-confidence result and otherwise returns to the natural-language steps. A mature graph-based SOP would make stable operations explicit deterministic nodes while retaining model reasoning in only the few nodes that resolve ambiguous clauses. This graph is the preferred mature form when each substitution passes the quality contract; PLaND does not force a workflow to reach it.</w:t>
      </w:r>
    </w:p>
    <w:p>
      <w:pPr>
        <w:keepNext/>
        <w:spacing w:before="60" w:after="120" w:line="240" w:lineRule="auto"/>
        <w:jc w:val="center"/>
      </w:pPr>
      <w:r>
        <w:drawing>
          <wp:inline xmlns:a="http://schemas.openxmlformats.org/drawingml/2006/main" xmlns:pic="http://schemas.openxmlformats.org/drawingml/2006/picture">
            <wp:extent cx="5029200" cy="5029200"/>
            <wp:docPr id="1" name="Picture 1" descr="Evolution Path"/>
            <wp:cNvGraphicFramePr>
              <a:graphicFrameLocks noChangeAspect="1"/>
            </wp:cNvGraphicFramePr>
            <a:graphic>
              <a:graphicData uri="http://schemas.openxmlformats.org/drawingml/2006/picture">
                <pic:pic>
                  <pic:nvPicPr>
                    <pic:cNvPr id="0" name="evolution-path.jpg"/>
                    <pic:cNvPicPr/>
                  </pic:nvPicPr>
                  <pic:blipFill>
                    <a:blip r:embed="rId10"/>
                    <a:stretch>
                      <a:fillRect/>
                    </a:stretch>
                  </pic:blipFill>
                  <pic:spPr>
                    <a:xfrm>
                      <a:off x="0" y="0"/>
                      <a:ext cx="5029200" cy="5029200"/>
                    </a:xfrm>
                    <a:prstGeom prst="rect"/>
                  </pic:spPr>
                </pic:pic>
              </a:graphicData>
            </a:graphic>
          </wp:inline>
        </w:drawing>
      </w:r>
    </w:p>
    <w:p>
      <w:pPr>
        <w:keepNext w:val="0"/>
        <w:spacing w:before="0" w:after="120" w:line="240" w:lineRule="auto"/>
        <w:jc w:val="center"/>
      </w:pPr>
      <w:r>
        <w:rPr>
          <w:rFonts w:ascii="Times New Roman" w:hAnsi="Times New Roman" w:eastAsia="Times New Roman"/>
          <w:b/>
          <w:sz w:val="20"/>
        </w:rPr>
        <w:t>Figure 1. Actual LEDGAR SOP excerpts and the intended mature endpoint.</w:t>
      </w:r>
      <w:r>
        <w:rPr>
          <w:rFonts w:ascii="Times New Roman" w:hAnsi="Times New Roman" w:eastAsia="Times New Roman"/>
          <w:sz w:val="20"/>
        </w:rPr>
        <w:t xml:space="preserve"> The natural-language skill contains only English steps. The hybrid skill inserts </w:t>
      </w:r>
      <w:r>
        <w:rPr>
          <w:rFonts w:ascii="Courier New" w:hAnsi="Courier New" w:eastAsia="Times New Roman"/>
          <w:sz w:val="20"/>
        </w:rPr>
        <w:t>python classify.py</w:t>
      </w:r>
      <w:r>
        <w:rPr>
          <w:rFonts w:ascii="Times New Roman" w:hAnsi="Times New Roman" w:eastAsia="Times New Roman"/>
          <w:sz w:val="20"/>
        </w:rPr>
        <w:t>, accepts only a high-confidence result, and uses the English steps when the command abstains. When further validated substitutions are available, the preferred mature endpoint is a graph-based SOP in which stable nodes are deterministic and only a few semantic nodes remain non-deterministic.</w:t>
      </w:r>
    </w:p>
    <w:p>
      <w:pPr>
        <w:keepNext w:val="0"/>
        <w:spacing w:before="0" w:after="80" w:line="240" w:lineRule="auto"/>
        <w:ind w:firstLine="288"/>
        <w:jc w:val="both"/>
      </w:pPr>
      <w:r>
        <w:rPr>
          <w:rFonts w:ascii="Times New Roman" w:hAnsi="Times New Roman" w:eastAsia="Times New Roman"/>
          <w:sz w:val="20"/>
        </w:rPr>
        <w:t>Related systems optimize language-model programs, prompts, workflows, or skills. DSPy compiles declarative model pipelines against metrics [4]; AutoFlow and AFlow generate and optimize workflows [5, 6]; and Automated Design of Agentic Systems searches agent designs [7]. SkillOpt, SkillRevise, SkillReducer, and ACES optimize or evaluate reusable skills [8-11]. PLaND contributes a narrower representation path - English instruction, reference, or command - plus a frozen mutation boundary, paired evaluation, explicit rejection records, and a held-out release gate.</w:t>
      </w:r>
    </w:p>
    <w:p>
      <w:pPr>
        <w:keepNext w:val="0"/>
        <w:spacing w:before="0" w:after="80" w:line="240" w:lineRule="auto"/>
        <w:ind w:firstLine="288"/>
        <w:jc w:val="both"/>
      </w:pPr>
      <w:r>
        <w:rPr>
          <w:rFonts w:ascii="Times New Roman" w:hAnsi="Times New Roman" w:eastAsia="Times New Roman"/>
          <w:sz w:val="20"/>
        </w:rPr>
        <w:t>We ask whether a hybrid SOP can reduce model-mediated work while remaining inside a fixed quality margin, whether validation gates block efficient but unsafe candidates, whether savings arise from fewer calls rather than prompt shortening alone, and how stable case-level predictions are across a small set of controlled replications.</w:t>
      </w:r>
    </w:p>
    <w:p>
      <w:pPr>
        <w:pStyle w:val="Heading1"/>
      </w:pPr>
      <w:r>
        <w:rPr>
          <w:rFonts w:ascii="Times New Roman" w:hAnsi="Times New Roman" w:eastAsia="Times New Roman"/>
          <w:b/>
          <w:sz w:val="20"/>
        </w:rPr>
        <w:t>Material and Methods</w:t>
      </w:r>
    </w:p>
    <w:p>
      <w:pPr>
        <w:pStyle w:val="Heading2"/>
      </w:pPr>
      <w:r>
        <w:rPr>
          <w:rFonts w:ascii="Times New Roman" w:hAnsi="Times New Roman" w:eastAsia="Times New Roman"/>
          <w:b/>
          <w:sz w:val="20"/>
        </w:rPr>
        <w:t>Methodology and mutation boundary</w:t>
      </w:r>
    </w:p>
    <w:p>
      <w:pPr>
        <w:keepNext w:val="0"/>
        <w:spacing w:before="0" w:after="80" w:line="240" w:lineRule="auto"/>
        <w:ind w:firstLine="288"/>
        <w:jc w:val="both"/>
      </w:pPr>
      <w:r>
        <w:rPr>
          <w:rFonts w:ascii="Times New Roman" w:hAnsi="Times New Roman" w:eastAsia="Times New Roman"/>
          <w:sz w:val="20"/>
        </w:rPr>
        <w:t xml:space="preserve">PLaND uses two open-ended skills. </w:t>
      </w:r>
      <w:r>
        <w:rPr>
          <w:rFonts w:ascii="Courier New" w:hAnsi="Courier New" w:eastAsia="Times New Roman"/>
          <w:sz w:val="20"/>
        </w:rPr>
        <w:t>generate-initial-version</w:t>
      </w:r>
      <w:r>
        <w:rPr>
          <w:rFonts w:ascii="Times New Roman" w:hAnsi="Times New Roman" w:eastAsia="Times New Roman"/>
          <w:sz w:val="20"/>
        </w:rPr>
        <w:t xml:space="preserve"> converts natural-language task requirements, approved data sources, and evaluation examples into an initial agent, system prompt, and natural-language SOP. </w:t>
      </w:r>
      <w:r>
        <w:rPr>
          <w:rFonts w:ascii="Courier New" w:hAnsi="Courier New" w:eastAsia="Times New Roman"/>
          <w:sz w:val="20"/>
        </w:rPr>
        <w:t>pland-evolver</w:t>
      </w:r>
      <w:r>
        <w:rPr>
          <w:rFonts w:ascii="Times New Roman" w:hAnsi="Times New Roman" w:eastAsia="Times New Roman"/>
          <w:sz w:val="20"/>
        </w:rPr>
        <w:t xml:space="preserve"> uses development traces to propose bounded changes. Task-local runners and scorers define the executable interface and primary quality measure, so the methodology is not restricted to classification or a particular output type.</w:t>
      </w:r>
    </w:p>
    <w:p>
      <w:pPr>
        <w:keepNext/>
        <w:spacing w:before="60" w:after="120" w:line="240" w:lineRule="auto"/>
        <w:jc w:val="center"/>
      </w:pPr>
      <w:r>
        <w:drawing>
          <wp:inline xmlns:a="http://schemas.openxmlformats.org/drawingml/2006/main" xmlns:pic="http://schemas.openxmlformats.org/drawingml/2006/picture">
            <wp:extent cx="4343400" cy="4343400"/>
            <wp:docPr id="2" name="Picture 2" descr="Architecture"/>
            <wp:cNvGraphicFramePr>
              <a:graphicFrameLocks noChangeAspect="1"/>
            </wp:cNvGraphicFramePr>
            <a:graphic>
              <a:graphicData uri="http://schemas.openxmlformats.org/drawingml/2006/picture">
                <pic:pic>
                  <pic:nvPicPr>
                    <pic:cNvPr id="0" name="architecture.jpg"/>
                    <pic:cNvPicPr/>
                  </pic:nvPicPr>
                  <pic:blipFill>
                    <a:blip r:embed="rId11"/>
                    <a:stretch>
                      <a:fillRect/>
                    </a:stretch>
                  </pic:blipFill>
                  <pic:spPr>
                    <a:xfrm>
                      <a:off x="0" y="0"/>
                      <a:ext cx="4343400" cy="4343400"/>
                    </a:xfrm>
                    <a:prstGeom prst="rect"/>
                  </pic:spPr>
                </pic:pic>
              </a:graphicData>
            </a:graphic>
          </wp:inline>
        </w:drawing>
      </w:r>
    </w:p>
    <w:p>
      <w:pPr>
        <w:keepNext w:val="0"/>
        <w:spacing w:before="0" w:after="120" w:line="240" w:lineRule="auto"/>
        <w:jc w:val="center"/>
      </w:pPr>
      <w:r>
        <w:rPr>
          <w:rFonts w:ascii="Times New Roman" w:hAnsi="Times New Roman" w:eastAsia="Times New Roman"/>
          <w:b/>
          <w:sz w:val="20"/>
        </w:rPr>
        <w:t>Figure 2. Frozen PLaND boundary.</w:t>
      </w:r>
      <w:r>
        <w:rPr>
          <w:rFonts w:ascii="Times New Roman" w:hAnsi="Times New Roman" w:eastAsia="Times New Roman"/>
          <w:sz w:val="20"/>
        </w:rPr>
        <w:t xml:space="preserve"> The initial agent and evaluation contract are finalized before baseline measurement; only the workflow skill package may evolve.</w:t>
      </w:r>
    </w:p>
    <w:p>
      <w:pPr>
        <w:keepNext w:val="0"/>
        <w:spacing w:before="0" w:after="80" w:line="240" w:lineRule="auto"/>
        <w:ind w:firstLine="288"/>
        <w:jc w:val="both"/>
      </w:pPr>
      <w:r>
        <w:rPr>
          <w:rFonts w:ascii="Times New Roman" w:hAnsi="Times New Roman" w:eastAsia="Times New Roman"/>
          <w:sz w:val="20"/>
        </w:rPr>
        <w:t xml:space="preserve">Every numbered SOP step is marked as an English instruction, a reference to supporting skill material, or a direct Python/Bash command. A command counts as compiled only when the evaluated runtime invokes it and consumes its output. </w:t>
      </w:r>
      <w:r>
        <w:rPr>
          <w:rFonts w:ascii="Courier New" w:hAnsi="Courier New" w:eastAsia="Times New Roman"/>
          <w:sz w:val="20"/>
        </w:rPr>
        <w:t>SKILL.md</w:t>
      </w:r>
      <w:r>
        <w:rPr>
          <w:rFonts w:ascii="Times New Roman" w:hAnsi="Times New Roman" w:eastAsia="Times New Roman"/>
          <w:sz w:val="20"/>
        </w:rPr>
        <w:t xml:space="preserve"> is the SOP source of truth, while the comparison hash also covers directly referenced instructions, invoked scripts, and approved dependencies.</w:t>
      </w:r>
    </w:p>
    <w:p>
      <w:pPr>
        <w:keepNext w:val="0"/>
        <w:spacing w:before="0" w:after="80" w:line="240" w:lineRule="auto"/>
        <w:ind w:firstLine="288"/>
        <w:jc w:val="both"/>
      </w:pPr>
      <w:r>
        <w:rPr>
          <w:rFonts w:ascii="Times New Roman" w:hAnsi="Times New Roman" w:eastAsia="Times New Roman"/>
          <w:sz w:val="20"/>
        </w:rPr>
        <w:t>The model and digest, system prompt, normalized harness, evaluation cases and expected outputs, scorer, datasource snapshot, seed, model/runtime settings, permissions, quality floor, non-inferiority margin, and expense objective are frozen. Comparison code rejects mismatched fingerprints, duplicated case identifiers, or missing full hashes. The candidate may change only the skill package. Commands require bounded input/output contracts and an English fallback. Caching and parallelism are allowed only when applied consistently and recorded as runtime invariants.</w:t>
      </w:r>
    </w:p>
    <w:p>
      <w:pPr>
        <w:keepNext/>
        <w:spacing w:before="60" w:after="120" w:line="240" w:lineRule="auto"/>
        <w:jc w:val="center"/>
      </w:pPr>
      <w:r>
        <w:drawing>
          <wp:inline xmlns:a="http://schemas.openxmlformats.org/drawingml/2006/main" xmlns:pic="http://schemas.openxmlformats.org/drawingml/2006/picture">
            <wp:extent cx="3657600" cy="3730752"/>
            <wp:docPr id="3" name="Picture 3" descr="Evolution Loop"/>
            <wp:cNvGraphicFramePr>
              <a:graphicFrameLocks noChangeAspect="1"/>
            </wp:cNvGraphicFramePr>
            <a:graphic>
              <a:graphicData uri="http://schemas.openxmlformats.org/drawingml/2006/picture">
                <pic:pic>
                  <pic:nvPicPr>
                    <pic:cNvPr id="0" name="evolution-loop.jpg"/>
                    <pic:cNvPicPr/>
                  </pic:nvPicPr>
                  <pic:blipFill>
                    <a:blip r:embed="rId12"/>
                    <a:stretch>
                      <a:fillRect/>
                    </a:stretch>
                  </pic:blipFill>
                  <pic:spPr>
                    <a:xfrm>
                      <a:off x="0" y="0"/>
                      <a:ext cx="3657600" cy="3730752"/>
                    </a:xfrm>
                    <a:prstGeom prst="rect"/>
                  </pic:spPr>
                </pic:pic>
              </a:graphicData>
            </a:graphic>
          </wp:inline>
        </w:drawing>
      </w:r>
    </w:p>
    <w:p>
      <w:pPr>
        <w:keepNext w:val="0"/>
        <w:spacing w:before="0" w:after="120" w:line="240" w:lineRule="auto"/>
        <w:jc w:val="center"/>
      </w:pPr>
      <w:r>
        <w:rPr>
          <w:rFonts w:ascii="Times New Roman" w:hAnsi="Times New Roman" w:eastAsia="Times New Roman"/>
          <w:b/>
          <w:sz w:val="20"/>
        </w:rPr>
        <w:t>Figure 3. One bounded evolution iteration.</w:t>
      </w:r>
      <w:r>
        <w:rPr>
          <w:rFonts w:ascii="Times New Roman" w:hAnsi="Times New Roman" w:eastAsia="Times New Roman"/>
          <w:sz w:val="20"/>
        </w:rPr>
        <w:t xml:space="preserve"> Development evidence proposes a change; validation promotes it only when frozen quality and expense gates pass.</w:t>
      </w:r>
    </w:p>
    <w:p>
      <w:pPr>
        <w:keepNext w:val="0"/>
        <w:spacing w:before="0" w:after="80" w:line="240" w:lineRule="auto"/>
        <w:ind w:firstLine="288"/>
        <w:jc w:val="both"/>
      </w:pPr>
      <w:r>
        <w:rPr>
          <w:rFonts w:ascii="Times New Roman" w:hAnsi="Times New Roman" w:eastAsia="Times New Roman"/>
          <w:sz w:val="20"/>
        </w:rPr>
        <w:t>Evolution was capped at ten candidates. A baseline first had to meet an absolute viability floor. Candidate selection required task quality within a prespecified margin and strict improvement in one primary expense measure. Development informed changes; validation selected candidates; test cases were released once only after validation passed.</w:t>
      </w:r>
    </w:p>
    <w:p>
      <w:pPr>
        <w:pStyle w:val="Heading2"/>
      </w:pPr>
      <w:r>
        <w:rPr>
          <w:rFonts w:ascii="Times New Roman" w:hAnsi="Times New Roman" w:eastAsia="Times New Roman"/>
          <w:b/>
          <w:sz w:val="20"/>
        </w:rPr>
        <w:t>Data and evaluation</w:t>
      </w:r>
    </w:p>
    <w:p>
      <w:pPr>
        <w:keepNext w:val="0"/>
        <w:spacing w:before="0" w:after="80" w:line="240" w:lineRule="auto"/>
        <w:ind w:firstLine="288"/>
        <w:jc w:val="both"/>
      </w:pPr>
      <w:r>
        <w:rPr>
          <w:rFonts w:ascii="Times New Roman" w:hAnsi="Times New Roman" w:eastAsia="Times New Roman"/>
          <w:sz w:val="20"/>
        </w:rPr>
        <w:t xml:space="preserve">We prepared public datasets resembling enterprise work: LEDGAR legal clauses [12], CFPB complaint narratives [13], SpamAssassin email [14], SROIE receipts [15], and RVL-CDIP/Tobacco3482 document images [16, 17]. LiteParse supplied a local OCR condition, not a dataset [18]. Selection manifests record source identifiers and hashes, seed 20260902, exclusions, and split membership. Audits checked unique identifiers, split/content overlap, missing files, label leakage, source boundaries, and pilot overlap. The repeated study uses the exact prepared snapshots documented in the </w:t>
      </w:r>
      <w:hyperlink r:id="rId13">
        <w:r>
          <w:rPr>
            <w:rFonts w:ascii="Times New Roman" w:hAnsi="Times New Roman"/>
            <w:color w:val="0000FF"/>
            <w:u w:val="single"/>
            <w:sz w:val="20"/>
          </w:rPr>
          <w:t>LEDGAR evidence folder</w:t>
        </w:r>
      </w:hyperlink>
      <w:r>
        <w:rPr>
          <w:rFonts w:ascii="Times New Roman" w:hAnsi="Times New Roman" w:eastAsia="Times New Roman"/>
          <w:sz w:val="20"/>
        </w:rPr>
        <w:t xml:space="preserve">, </w:t>
      </w:r>
      <w:hyperlink r:id="rId14">
        <w:r>
          <w:rPr>
            <w:rFonts w:ascii="Times New Roman" w:hAnsi="Times New Roman"/>
            <w:color w:val="0000FF"/>
            <w:u w:val="single"/>
            <w:sz w:val="20"/>
          </w:rPr>
          <w:t>CFPB evidence folder</w:t>
        </w:r>
      </w:hyperlink>
      <w:r>
        <w:rPr>
          <w:rFonts w:ascii="Times New Roman" w:hAnsi="Times New Roman" w:eastAsia="Times New Roman"/>
          <w:sz w:val="20"/>
        </w:rPr>
        <w:t xml:space="preserve">, and </w:t>
      </w:r>
      <w:hyperlink r:id="rId15">
        <w:r>
          <w:rPr>
            <w:rFonts w:ascii="Times New Roman" w:hAnsi="Times New Roman"/>
            <w:color w:val="0000FF"/>
            <w:u w:val="single"/>
            <w:sz w:val="20"/>
          </w:rPr>
          <w:t>SpamAssassin evidence folder</w:t>
        </w:r>
      </w:hyperlink>
      <w:r>
        <w:rPr>
          <w:rFonts w:ascii="Times New Roman" w:hAnsi="Times New Roman" w:eastAsia="Times New Roman"/>
          <w:sz w:val="20"/>
        </w:rPr>
        <w:t>.</w:t>
      </w:r>
    </w:p>
    <w:p>
      <w:pPr>
        <w:keepNext/>
        <w:spacing w:before="80" w:after="40" w:line="240" w:lineRule="auto"/>
      </w:pPr>
      <w:r>
        <w:rPr>
          <w:rFonts w:ascii="Times New Roman" w:hAnsi="Times New Roman" w:eastAsia="Times New Roman"/>
          <w:b/>
          <w:sz w:val="20"/>
        </w:rPr>
        <w:t>Table 1. Original confirmatory results</w:t>
      </w:r>
    </w:p>
    <w:tbl>
      <w:tblPr>
        <w:tblW w:type="dxa" w:w="9026"/>
        <w:jc w:val="left"/>
        <w:tblLayout w:type="fixed"/>
        <w:tblLook w:firstColumn="1" w:firstRow="1" w:lastColumn="0" w:lastRow="0" w:noHBand="0" w:noVBand="1" w:val="04A0"/>
        <w:tblInd w:w="0" w:type="dxa"/>
        <w:tblBorders>
          <w:top w:val="single" w:sz="4" w:color="557030"/>
          <w:left w:val="single" w:sz="4" w:color="557030"/>
          <w:bottom w:val="single" w:sz="4" w:color="557030"/>
          <w:right w:val="single" w:sz="4" w:color="557030"/>
          <w:insideH w:val="single" w:sz="4" w:color="557030"/>
          <w:insideV w:val="single" w:sz="4" w:color="557030"/>
        </w:tblBorders>
      </w:tblPr>
      <w:tblGrid>
        <w:gridCol w:w="2777"/>
        <w:gridCol w:w="2170"/>
        <w:gridCol w:w="2430"/>
        <w:gridCol w:w="1649"/>
      </w:tblGrid>
      <w:tr>
        <w:trPr>
          <w:tblHeader w:val="true"/>
          <w:cantSplit w:val="true"/>
        </w:trPr>
        <w:tc>
          <w:tcPr>
            <w:tcW w:type="dxa" w:w="277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Workflow and split</w:t>
            </w:r>
          </w:p>
        </w:tc>
        <w:tc>
          <w:tcPr>
            <w:tcW w:type="dxa" w:w="217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Quality (NL -&gt; hybrid)</w:t>
            </w:r>
          </w:p>
        </w:tc>
        <w:tc>
          <w:tcPr>
            <w:tcW w:type="dxa" w:w="243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Tokens (NL -&gt; hybrid)</w:t>
            </w:r>
          </w:p>
        </w:tc>
        <w:tc>
          <w:tcPr>
            <w:tcW w:type="dxa" w:w="164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Decision</w:t>
            </w:r>
          </w:p>
        </w:tc>
      </w:tr>
      <w:tr>
        <w:trPr>
          <w:cantSplit w:val="true"/>
        </w:trPr>
        <w:tc>
          <w:tcPr>
            <w:tcW w:type="dxa" w:w="277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LEDGAR validation (100)</w:t>
            </w:r>
          </w:p>
        </w:tc>
        <w:tc>
          <w:tcPr>
            <w:tcW w:type="dxa" w:w="217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92.0% -&gt; 93.0% accuracy</w:t>
            </w:r>
          </w:p>
        </w:tc>
        <w:tc>
          <w:tcPr>
            <w:tcW w:type="dxa" w:w="243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37,147 -&gt; 21,104 (-43.19%)</w:t>
            </w:r>
          </w:p>
        </w:tc>
        <w:tc>
          <w:tcPr>
            <w:tcW w:type="dxa" w:w="164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Pass; test released</w:t>
            </w:r>
          </w:p>
        </w:tc>
      </w:tr>
      <w:tr>
        <w:trPr>
          <w:cantSplit w:val="true"/>
        </w:trPr>
        <w:tc>
          <w:tcPr>
            <w:tcW w:type="dxa" w:w="277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LEDGAR test (1,000)</w:t>
            </w:r>
          </w:p>
        </w:tc>
        <w:tc>
          <w:tcPr>
            <w:tcW w:type="dxa" w:w="217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93.5% -&gt; 92.7% accuracy</w:t>
            </w:r>
          </w:p>
        </w:tc>
        <w:tc>
          <w:tcPr>
            <w:tcW w:type="dxa" w:w="243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376,088 -&gt; 225,573 (-40.02%)</w:t>
            </w:r>
          </w:p>
        </w:tc>
        <w:tc>
          <w:tcPr>
            <w:tcW w:type="dxa" w:w="164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Pass</w:t>
            </w:r>
          </w:p>
        </w:tc>
      </w:tr>
      <w:tr>
        <w:trPr>
          <w:cantSplit w:val="true"/>
        </w:trPr>
        <w:tc>
          <w:tcPr>
            <w:tcW w:type="dxa" w:w="277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CFPB validation (100)</w:t>
            </w:r>
          </w:p>
        </w:tc>
        <w:tc>
          <w:tcPr>
            <w:tcW w:type="dxa" w:w="217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79.0% -&gt; 72.0% accuracy</w:t>
            </w:r>
          </w:p>
        </w:tc>
        <w:tc>
          <w:tcPr>
            <w:tcW w:type="dxa" w:w="243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60,514 -&gt; 35,247 (-41.75%)</w:t>
            </w:r>
          </w:p>
        </w:tc>
        <w:tc>
          <w:tcPr>
            <w:tcW w:type="dxa" w:w="164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Reject; test closed</w:t>
            </w:r>
          </w:p>
        </w:tc>
      </w:tr>
      <w:tr>
        <w:trPr>
          <w:cantSplit w:val="true"/>
        </w:trPr>
        <w:tc>
          <w:tcPr>
            <w:tcW w:type="dxa" w:w="277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SpamAssassin validation (100)</w:t>
            </w:r>
          </w:p>
        </w:tc>
        <w:tc>
          <w:tcPr>
            <w:tcW w:type="dxa" w:w="217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90.0% -&gt; 86.0% accuracy</w:t>
            </w:r>
          </w:p>
        </w:tc>
        <w:tc>
          <w:tcPr>
            <w:tcW w:type="dxa" w:w="243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238,077 -&gt; 228,359 (-4.08%)</w:t>
            </w:r>
          </w:p>
        </w:tc>
        <w:tc>
          <w:tcPr>
            <w:tcW w:type="dxa" w:w="164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Reject; test closed</w:t>
            </w:r>
          </w:p>
        </w:tc>
      </w:tr>
      <w:tr>
        <w:trPr>
          <w:cantSplit w:val="true"/>
        </w:trPr>
        <w:tc>
          <w:tcPr>
            <w:tcW w:type="dxa" w:w="277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QS-OCR/Tobacco validation (100)</w:t>
            </w:r>
          </w:p>
        </w:tc>
        <w:tc>
          <w:tcPr>
            <w:tcW w:type="dxa" w:w="217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70.0% -&gt; not run</w:t>
            </w:r>
          </w:p>
        </w:tc>
        <w:tc>
          <w:tcPr>
            <w:tcW w:type="dxa" w:w="243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1,082,556 -&gt; not run</w:t>
            </w:r>
          </w:p>
        </w:tc>
        <w:tc>
          <w:tcPr>
            <w:tcW w:type="dxa" w:w="164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Baseline nonviable</w:t>
            </w:r>
          </w:p>
        </w:tc>
      </w:tr>
      <w:tr>
        <w:trPr>
          <w:cantSplit w:val="true"/>
        </w:trPr>
        <w:tc>
          <w:tcPr>
            <w:tcW w:type="dxa" w:w="277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SROIE LiteParse validation (100)</w:t>
            </w:r>
          </w:p>
        </w:tc>
        <w:tc>
          <w:tcPr>
            <w:tcW w:type="dxa" w:w="217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0.344 field F1 -&gt; not run</w:t>
            </w:r>
          </w:p>
        </w:tc>
        <w:tc>
          <w:tcPr>
            <w:tcW w:type="dxa" w:w="243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49,768 -&gt; not run</w:t>
            </w:r>
          </w:p>
        </w:tc>
        <w:tc>
          <w:tcPr>
            <w:tcW w:type="dxa" w:w="164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Baseline nonviable</w:t>
            </w:r>
          </w:p>
        </w:tc>
      </w:tr>
      <w:tr>
        <w:trPr>
          <w:cantSplit w:val="true"/>
        </w:trPr>
        <w:tc>
          <w:tcPr>
            <w:tcW w:type="dxa" w:w="277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RVL mirror validation (100)</w:t>
            </w:r>
          </w:p>
        </w:tc>
        <w:tc>
          <w:tcPr>
            <w:tcW w:type="dxa" w:w="217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50.0% -&gt; not run</w:t>
            </w:r>
          </w:p>
        </w:tc>
        <w:tc>
          <w:tcPr>
            <w:tcW w:type="dxa" w:w="243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1,072,199 -&gt; not run</w:t>
            </w:r>
          </w:p>
        </w:tc>
        <w:tc>
          <w:tcPr>
            <w:tcW w:type="dxa" w:w="164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Baseline nonviable</w:t>
            </w:r>
          </w:p>
        </w:tc>
      </w:tr>
    </w:tbl>
    <w:p>
      <w:pPr>
        <w:keepNext w:val="0"/>
        <w:spacing w:before="0" w:after="40" w:line="240" w:lineRule="auto"/>
      </w:pPr>
    </w:p>
    <w:p>
      <w:pPr>
        <w:keepNext w:val="0"/>
        <w:spacing w:before="0" w:after="80" w:line="240" w:lineRule="auto"/>
        <w:ind w:firstLine="288"/>
        <w:jc w:val="both"/>
      </w:pPr>
      <w:r>
        <w:rPr>
          <w:rFonts w:ascii="Times New Roman" w:hAnsi="Times New Roman" w:eastAsia="Times New Roman"/>
          <w:sz w:val="20"/>
        </w:rPr>
        <w:t xml:space="preserve">Classification required both variants to reach 0.80 accuracy. Extraction required field F1 of at least 0.50. For baseline b and hybrid h, the lower bound of a paired bootstrap 95% interval for </w:t>
      </w:r>
      <w:r>
        <w:rPr>
          <w:rFonts w:ascii="Courier New" w:hAnsi="Courier New" w:eastAsia="Times New Roman"/>
          <w:sz w:val="20"/>
        </w:rPr>
        <w:t>accuracy_h - accuracy_b</w:t>
      </w:r>
      <w:r>
        <w:rPr>
          <w:rFonts w:ascii="Times New Roman" w:hAnsi="Times New Roman" w:eastAsia="Times New Roman"/>
          <w:sz w:val="20"/>
        </w:rPr>
        <w:t xml:space="preserve"> had to be at least -0.02. Token reduction had to be at least 5%, with a positive bootstrap lower bound. We used 5,000 paired resamples with seed 20260902, Wilson accuracy intervals, and an exact McNemar test.</w:t>
      </w:r>
    </w:p>
    <w:p>
      <w:pPr>
        <w:keepNext w:val="0"/>
        <w:spacing w:before="0" w:after="80" w:line="240" w:lineRule="auto"/>
        <w:ind w:firstLine="288"/>
        <w:jc w:val="both"/>
      </w:pPr>
      <w:r>
        <w:rPr>
          <w:rFonts w:ascii="Times New Roman" w:hAnsi="Times New Roman" w:eastAsia="Times New Roman"/>
          <w:sz w:val="20"/>
        </w:rPr>
        <w:t xml:space="preserve">Text experiments used local Ollama 0.33.0 and </w:t>
      </w:r>
      <w:r>
        <w:rPr>
          <w:rFonts w:ascii="Courier New" w:hAnsi="Courier New" w:eastAsia="Times New Roman"/>
          <w:sz w:val="20"/>
        </w:rPr>
        <w:t>qwen3:14b</w:t>
      </w:r>
      <w:r>
        <w:rPr>
          <w:rFonts w:ascii="Times New Roman" w:hAnsi="Times New Roman" w:eastAsia="Times New Roman"/>
          <w:sz w:val="20"/>
        </w:rPr>
        <w:t xml:space="preserve">, digest </w:t>
      </w:r>
      <w:r>
        <w:rPr>
          <w:rFonts w:ascii="Courier New" w:hAnsi="Courier New" w:eastAsia="Times New Roman"/>
          <w:sz w:val="20"/>
        </w:rPr>
        <w:t>bdbd181c33f2ed1b31c972991882db3cf4d192569092138a7d29e973cd9debe8</w:t>
      </w:r>
      <w:r>
        <w:rPr>
          <w:rFonts w:ascii="Times New Roman" w:hAnsi="Times New Roman" w:eastAsia="Times New Roman"/>
          <w:sz w:val="20"/>
        </w:rPr>
        <w:t>, on an Apple M5 Pro with 48 GB unified memory. Original confirmatory runs were sequential. The repeated optimized study disabled thinking and streaming; used temperature 0, seeds 20260903-20260905, a 4,096-token context, a 128-token output cap, and an exact JSON schema; preloaded and retained the model; and enabled Flash Attention, q8_0 KV cache, one loaded model, and two parallel requests. The same seed was used within each NL/hybrid pair. Order was NL-hybrid, hybrid-NL, then NL-hybrid. Checkpoints, exact commands, timestamps, hashes, component durations, per-case latency/tokens/routing, and wall time were stored. The original sequential run is not pooled with these two-worker replications, and every repeated LEDGAR test evaluation is a replication rather than an untouched test.</w:t>
      </w:r>
    </w:p>
    <w:p>
      <w:pPr>
        <w:pStyle w:val="Heading1"/>
      </w:pPr>
      <w:r>
        <w:rPr>
          <w:rFonts w:ascii="Times New Roman" w:hAnsi="Times New Roman" w:eastAsia="Times New Roman"/>
          <w:b/>
          <w:sz w:val="20"/>
        </w:rPr>
        <w:t>Results</w:t>
      </w:r>
    </w:p>
    <w:p>
      <w:pPr>
        <w:keepNext/>
        <w:spacing w:before="80" w:after="40" w:line="240" w:lineRule="auto"/>
      </w:pPr>
      <w:r>
        <w:rPr>
          <w:rFonts w:ascii="Times New Roman" w:hAnsi="Times New Roman" w:eastAsia="Times New Roman"/>
          <w:b/>
          <w:sz w:val="20"/>
        </w:rPr>
        <w:t>Table 2. Three-run optimized replication results</w:t>
      </w:r>
    </w:p>
    <w:tbl>
      <w:tblPr>
        <w:tblW w:type="dxa" w:w="9026"/>
        <w:jc w:val="left"/>
        <w:tblLayout w:type="fixed"/>
        <w:tblLook w:firstColumn="1" w:firstRow="1" w:lastColumn="0" w:lastRow="0" w:noHBand="0" w:noVBand="1" w:val="04A0"/>
        <w:tblInd w:w="0" w:type="dxa"/>
        <w:tblBorders>
          <w:top w:val="single" w:sz="4" w:color="557030"/>
          <w:left w:val="single" w:sz="4" w:color="557030"/>
          <w:bottom w:val="single" w:sz="4" w:color="557030"/>
          <w:right w:val="single" w:sz="4" w:color="557030"/>
          <w:insideH w:val="single" w:sz="4" w:color="557030"/>
          <w:insideV w:val="single" w:sz="4" w:color="557030"/>
        </w:tblBorders>
      </w:tblPr>
      <w:tblGrid>
        <w:gridCol w:w="2045"/>
        <w:gridCol w:w="2750"/>
        <w:gridCol w:w="2186"/>
        <w:gridCol w:w="2045"/>
      </w:tblGrid>
      <w:tr>
        <w:trPr>
          <w:tblHeader w:val="true"/>
          <w:cantSplit w:val="true"/>
        </w:trPr>
        <w:tc>
          <w:tcPr>
            <w:tcW w:type="dxa" w:w="204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Workflow and split</w:t>
            </w:r>
          </w:p>
        </w:tc>
        <w:tc>
          <w:tcPr>
            <w:tcW w:type="dxa" w:w="275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Accuracy mean (sample SD), NL -&gt; hybrid</w:t>
            </w:r>
          </w:p>
        </w:tc>
        <w:tc>
          <w:tcPr>
            <w:tcW w:type="dxa" w:w="2186"/>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Mean tokens, NL -&gt; hybrid</w:t>
            </w:r>
          </w:p>
        </w:tc>
        <w:tc>
          <w:tcPr>
            <w:tcW w:type="dxa" w:w="204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Decision across runs</w:t>
            </w:r>
          </w:p>
        </w:tc>
      </w:tr>
      <w:tr>
        <w:trPr>
          <w:cantSplit w:val="true"/>
        </w:trPr>
        <w:tc>
          <w:tcPr>
            <w:tcW w:type="dxa" w:w="204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LEDGAR test (1,000)</w:t>
            </w:r>
          </w:p>
        </w:tc>
        <w:tc>
          <w:tcPr>
            <w:tcW w:type="dxa" w:w="275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93.7% (0) -&gt; 92.9% (0)</w:t>
            </w:r>
          </w:p>
        </w:tc>
        <w:tc>
          <w:tcPr>
            <w:tcW w:type="dxa" w:w="2186"/>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376,090 -&gt; 225,575.33 (-40.02%)</w:t>
            </w:r>
          </w:p>
        </w:tc>
        <w:tc>
          <w:tcPr>
            <w:tcW w:type="dxa" w:w="204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3/3 pass</w:t>
            </w:r>
          </w:p>
        </w:tc>
      </w:tr>
      <w:tr>
        <w:trPr>
          <w:cantSplit w:val="true"/>
        </w:trPr>
        <w:tc>
          <w:tcPr>
            <w:tcW w:type="dxa" w:w="204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CFPB validation (100)</w:t>
            </w:r>
          </w:p>
        </w:tc>
        <w:tc>
          <w:tcPr>
            <w:tcW w:type="dxa" w:w="275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78.0% (0) -&gt; 71.0% (0)</w:t>
            </w:r>
          </w:p>
        </w:tc>
        <w:tc>
          <w:tcPr>
            <w:tcW w:type="dxa" w:w="2186"/>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58,372 -&gt; 33,120 (-43.26%)</w:t>
            </w:r>
          </w:p>
        </w:tc>
        <w:tc>
          <w:tcPr>
            <w:tcW w:type="dxa" w:w="204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0/3; reject quality/viability</w:t>
            </w:r>
          </w:p>
        </w:tc>
      </w:tr>
      <w:tr>
        <w:trPr>
          <w:cantSplit w:val="true"/>
        </w:trPr>
        <w:tc>
          <w:tcPr>
            <w:tcW w:type="dxa" w:w="204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SpamAssassin validation (100)</w:t>
            </w:r>
          </w:p>
        </w:tc>
        <w:tc>
          <w:tcPr>
            <w:tcW w:type="dxa" w:w="275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88.0% (0) -&gt; 85.0% (0)</w:t>
            </w:r>
          </w:p>
        </w:tc>
        <w:tc>
          <w:tcPr>
            <w:tcW w:type="dxa" w:w="2186"/>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188,384 -&gt; 178,880.67 (-5.04%)</w:t>
            </w:r>
          </w:p>
        </w:tc>
        <w:tc>
          <w:tcPr>
            <w:tcW w:type="dxa" w:w="204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0/3; reject quality</w:t>
            </w:r>
          </w:p>
        </w:tc>
      </w:tr>
    </w:tbl>
    <w:p>
      <w:pPr>
        <w:keepNext w:val="0"/>
        <w:spacing w:before="0" w:after="40" w:line="240" w:lineRule="auto"/>
      </w:pPr>
    </w:p>
    <w:p>
      <w:pPr>
        <w:keepNext w:val="0"/>
        <w:spacing w:before="0" w:after="80" w:line="240" w:lineRule="auto"/>
        <w:ind w:firstLine="288"/>
        <w:jc w:val="both"/>
      </w:pPr>
      <w:r>
        <w:rPr>
          <w:rFonts w:ascii="Times New Roman" w:hAnsi="Times New Roman" w:eastAsia="Times New Roman"/>
          <w:sz w:val="20"/>
        </w:rPr>
        <w:t xml:space="preserve">The original 1,000-case LEDGAR test produced a -0.8-point hybrid-minus-NL accuracy difference (95% interval [-1.6, 0.0]) and passed the prespecified gate. Each new replication also produced a -0.8-point difference; bootstrap intervals were [-1.6, -0.1], [-1.6, 0.0], and [-1.6, 0.0] points. Each pair had 17 differing predicted labels and passed absolute viability, non-inferiority, and efficiency. The repeated result supports the chosen engineering margin, not equivalence or universal non-inferiority. Exact run and comparison payloads are in the </w:t>
      </w:r>
      <w:hyperlink r:id="rId13">
        <w:r>
          <w:rPr>
            <w:rFonts w:ascii="Times New Roman" w:hAnsi="Times New Roman"/>
            <w:color w:val="0000FF"/>
            <w:u w:val="single"/>
            <w:sz w:val="20"/>
          </w:rPr>
          <w:t>LEDGAR evidence folder</w:t>
        </w:r>
      </w:hyperlink>
      <w:r>
        <w:rPr>
          <w:rFonts w:ascii="Times New Roman" w:hAnsi="Times New Roman" w:eastAsia="Times New Roman"/>
          <w:sz w:val="20"/>
        </w:rPr>
        <w:t>.</w:t>
      </w:r>
    </w:p>
    <w:p>
      <w:pPr>
        <w:keepNext w:val="0"/>
        <w:spacing w:before="0" w:after="80" w:line="240" w:lineRule="auto"/>
        <w:ind w:firstLine="288"/>
        <w:jc w:val="both"/>
      </w:pPr>
      <w:r>
        <w:rPr>
          <w:rFonts w:ascii="Times New Roman" w:hAnsi="Times New Roman" w:eastAsia="Times New Roman"/>
          <w:sz w:val="20"/>
        </w:rPr>
        <w:t>LEDGAR model calls were 1,000 NL and 589 hybrid in every run because the same 411 cases used deterministic commands. NL tokens were exactly 376,090; hybrid tokens ranged from 225,575 to 225,576 (sample SD 0.58). CFPB calls were 100 versus 58 and SpamAssassin calls were 100 versus 97 in every run. Routing never changed across seeds. Each dataset had zero cross-run label disagreement within NL and within hybrid, including separately among stable command-routed and model-fallback cases. This is direct reproducibility evidence under the frozen temperature-zero runtime; because both variants reached the same zero-disagreement floor, it does not show that hybrid execution reduced variance relative to NL.</w:t>
      </w:r>
    </w:p>
    <w:p>
      <w:pPr>
        <w:keepNext w:val="0"/>
        <w:spacing w:before="0" w:after="80" w:line="240" w:lineRule="auto"/>
        <w:ind w:firstLine="288"/>
        <w:jc w:val="both"/>
      </w:pPr>
      <w:r>
        <w:rPr>
          <w:rFonts w:ascii="Times New Roman" w:hAnsi="Times New Roman" w:eastAsia="Times New Roman"/>
          <w:sz w:val="20"/>
        </w:rPr>
        <w:t xml:space="preserve">CFPB repeated the same rejection three times: 43.26% token savings, 78% NL versus 71% hybrid accuracy, paired difference intervals of [-13, -2] points, and failure of the 80% floor. SpamAssassin repeated 5.04% savings, 88% versus 85% accuracy, and non-inferiority failure in all three runs. Neither test set was released; exact comparisons are in the </w:t>
      </w:r>
      <w:hyperlink r:id="rId14">
        <w:r>
          <w:rPr>
            <w:rFonts w:ascii="Times New Roman" w:hAnsi="Times New Roman"/>
            <w:color w:val="0000FF"/>
            <w:u w:val="single"/>
            <w:sz w:val="20"/>
          </w:rPr>
          <w:t>CFPB</w:t>
        </w:r>
      </w:hyperlink>
      <w:r>
        <w:rPr>
          <w:rFonts w:ascii="Times New Roman" w:hAnsi="Times New Roman" w:eastAsia="Times New Roman"/>
          <w:sz w:val="20"/>
        </w:rPr>
        <w:t xml:space="preserve"> and </w:t>
      </w:r>
      <w:hyperlink r:id="rId15">
        <w:r>
          <w:rPr>
            <w:rFonts w:ascii="Times New Roman" w:hAnsi="Times New Roman"/>
            <w:color w:val="0000FF"/>
            <w:u w:val="single"/>
            <w:sz w:val="20"/>
          </w:rPr>
          <w:t>SpamAssassin</w:t>
        </w:r>
      </w:hyperlink>
      <w:r>
        <w:rPr>
          <w:rFonts w:ascii="Times New Roman" w:hAnsi="Times New Roman" w:eastAsia="Times New Roman"/>
          <w:sz w:val="20"/>
        </w:rPr>
        <w:t xml:space="preserve"> evidence folders. QS-OCR/Tobacco3482 remains a single-baseline classification feasibility failure at 70% accuracy. SROIE remains a separate single-baseline extraction failure at 0.344 field F1 with OCR word-error rate 0.676. RVL-CDIP remains a single-baseline classification feasibility failure at 50% accuracy. Accuracy, field F1, and OCR error are not combined.</w:t>
      </w:r>
    </w:p>
    <w:p>
      <w:pPr>
        <w:pStyle w:val="Heading2"/>
      </w:pPr>
      <w:r>
        <w:rPr>
          <w:rFonts w:ascii="Times New Roman" w:hAnsi="Times New Roman" w:eastAsia="Times New Roman"/>
          <w:b/>
          <w:sz w:val="20"/>
        </w:rPr>
        <w:t>Fresh quality-first validation</w:t>
      </w:r>
    </w:p>
    <w:p>
      <w:pPr>
        <w:keepNext w:val="0"/>
        <w:spacing w:before="0" w:after="80" w:line="240" w:lineRule="auto"/>
        <w:ind w:firstLine="288"/>
        <w:jc w:val="both"/>
      </w:pPr>
      <w:r>
        <w:rPr>
          <w:rFonts w:ascii="Times New Roman" w:hAnsi="Times New Roman" w:eastAsia="Times New Roman"/>
          <w:sz w:val="20"/>
        </w:rPr>
        <w:t>A subsequent study applied one dataset-independent quality-first policy to fresh 500-case validation sets for LEDGAR, CFPB, and SpamAssassin. Each new selection excluded all 1,200 cases from that dataset's prior confirmatory selection. The complete natural-language fallback was preserved in every candidate. The release contract required absolute accuracy of at least 0.80, no observed accuracy regression, a paired accuracy lower bound of at least -0.5 percentage points, a maximum per-label recall drop of 2 percentage points, command-route precision of at least 99%, and token reduction of at least 5% with a positive paired lower bound. Three paired seeds produced identical predictions and token counts within each dataset and variant.</w:t>
      </w:r>
    </w:p>
    <w:p>
      <w:pPr>
        <w:keepNext/>
        <w:spacing w:before="80" w:after="40" w:line="240" w:lineRule="auto"/>
      </w:pPr>
      <w:r>
        <w:rPr>
          <w:rFonts w:ascii="Times New Roman" w:hAnsi="Times New Roman" w:eastAsia="Times New Roman"/>
          <w:b/>
          <w:sz w:val="20"/>
        </w:rPr>
        <w:t>Table 3. Fresh quality-first validation results</w:t>
      </w:r>
    </w:p>
    <w:tbl>
      <w:tblPr>
        <w:tblW w:type="dxa" w:w="9026"/>
        <w:jc w:val="left"/>
        <w:tblLayout w:type="fixed"/>
        <w:tblLook w:firstColumn="1" w:firstRow="1" w:lastColumn="0" w:lastRow="0" w:noHBand="0" w:noVBand="1" w:val="04A0"/>
        <w:tblInd w:w="0" w:type="dxa"/>
        <w:tblBorders>
          <w:top w:val="single" w:sz="4" w:color="557030"/>
          <w:left w:val="single" w:sz="4" w:color="557030"/>
          <w:bottom w:val="single" w:sz="4" w:color="557030"/>
          <w:right w:val="single" w:sz="4" w:color="557030"/>
          <w:insideH w:val="single" w:sz="4" w:color="557030"/>
          <w:insideV w:val="single" w:sz="4" w:color="557030"/>
        </w:tblBorders>
      </w:tblPr>
      <w:tblGrid>
        <w:gridCol w:w="1343"/>
        <w:gridCol w:w="2238"/>
        <w:gridCol w:w="1865"/>
        <w:gridCol w:w="3580"/>
      </w:tblGrid>
      <w:tr>
        <w:trPr>
          <w:tblHeader w:val="true"/>
          <w:cantSplit w:val="true"/>
        </w:trPr>
        <w:tc>
          <w:tcPr>
            <w:tcW w:type="dxa" w:w="134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Dataset</w:t>
            </w:r>
          </w:p>
        </w:tc>
        <w:tc>
          <w:tcPr>
            <w:tcW w:type="dxa" w:w="2238"/>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Accuracy (NL -&gt; quality-first)</w:t>
            </w:r>
          </w:p>
        </w:tc>
        <w:tc>
          <w:tcPr>
            <w:tcW w:type="dxa" w:w="186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Difference (95% interval)</w:t>
            </w:r>
          </w:p>
        </w:tc>
        <w:tc>
          <w:tcPr>
            <w:tcW w:type="dxa" w:w="358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Efficiency / route / outcome</w:t>
            </w:r>
          </w:p>
        </w:tc>
      </w:tr>
      <w:tr>
        <w:trPr>
          <w:cantSplit w:val="true"/>
        </w:trPr>
        <w:tc>
          <w:tcPr>
            <w:tcW w:type="dxa" w:w="134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LEDGAR</w:t>
            </w:r>
          </w:p>
        </w:tc>
        <w:tc>
          <w:tcPr>
            <w:tcW w:type="dxa" w:w="2238"/>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93.6% -&gt; 92.8%</w:t>
            </w:r>
          </w:p>
        </w:tc>
        <w:tc>
          <w:tcPr>
            <w:tcW w:type="dxa" w:w="186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-0.8 pp [-1.6, -0.2]</w:t>
            </w:r>
          </w:p>
        </w:tc>
        <w:tc>
          <w:tcPr>
            <w:tcW w:type="dxa" w:w="358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8.36% token reduction; 82/500 at 98.78% precision; reject</w:t>
            </w:r>
          </w:p>
        </w:tc>
      </w:tr>
      <w:tr>
        <w:trPr>
          <w:cantSplit w:val="true"/>
        </w:trPr>
        <w:tc>
          <w:tcPr>
            <w:tcW w:type="dxa" w:w="134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CFPB</w:t>
            </w:r>
          </w:p>
        </w:tc>
        <w:tc>
          <w:tcPr>
            <w:tcW w:type="dxa" w:w="2238"/>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74.8% -&gt; 73.8%</w:t>
            </w:r>
          </w:p>
        </w:tc>
        <w:tc>
          <w:tcPr>
            <w:tcW w:type="dxa" w:w="186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-1.0 pp [-2.4, +0.2]</w:t>
            </w:r>
          </w:p>
        </w:tc>
        <w:tc>
          <w:tcPr>
            <w:tcW w:type="dxa" w:w="358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-2.25% token reduction; 12/500 at 100% precision; reject</w:t>
            </w:r>
          </w:p>
        </w:tc>
      </w:tr>
      <w:tr>
        <w:trPr>
          <w:cantSplit w:val="true"/>
        </w:trPr>
        <w:tc>
          <w:tcPr>
            <w:tcW w:type="dxa" w:w="134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SpamAssassin</w:t>
            </w:r>
          </w:p>
        </w:tc>
        <w:tc>
          <w:tcPr>
            <w:tcW w:type="dxa" w:w="2238"/>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90.2% -&gt; 89.0%</w:t>
            </w:r>
          </w:p>
        </w:tc>
        <w:tc>
          <w:tcPr>
            <w:tcW w:type="dxa" w:w="186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-1.2 pp [-2.2, -0.4]</w:t>
            </w:r>
          </w:p>
        </w:tc>
        <w:tc>
          <w:tcPr>
            <w:tcW w:type="dxa" w:w="358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-0.59% token reduction; 3/500 at 100% precision; reject</w:t>
            </w:r>
          </w:p>
        </w:tc>
      </w:tr>
    </w:tbl>
    <w:p>
      <w:pPr>
        <w:keepNext w:val="0"/>
        <w:spacing w:before="0" w:after="40" w:line="240" w:lineRule="auto"/>
      </w:pPr>
    </w:p>
    <w:p>
      <w:pPr>
        <w:keepNext w:val="0"/>
        <w:spacing w:before="0" w:after="80" w:line="240" w:lineRule="auto"/>
        <w:ind w:firstLine="288"/>
        <w:jc w:val="both"/>
      </w:pPr>
      <w:r>
        <w:rPr>
          <w:rFonts w:ascii="Times New Roman" w:hAnsi="Times New Roman" w:eastAsia="Times New Roman"/>
          <w:sz w:val="20"/>
        </w:rPr>
        <w:t>All three candidates failed the frozen release policy in all three replications, so no test split was opened. LEDGAR remained informative: the narrower command layer routed only 82 of 500 cases and reduced tokens 8.36%, but command precision was 98.78%, below the 99% requirement, and the candidate also failed the no-regression and paired-lower-bound requirements. The stricter study therefore does not overturn the earlier confirmatory result; it asks a different question under a stricter current-policy contract and shows that the acceptable deterministic frontier depends on the quality policy.</w:t>
      </w:r>
    </w:p>
    <w:p>
      <w:pPr>
        <w:pStyle w:val="Heading2"/>
      </w:pPr>
      <w:r>
        <w:rPr>
          <w:rFonts w:ascii="Times New Roman" w:hAnsi="Times New Roman" w:eastAsia="Times New Roman"/>
          <w:b/>
          <w:sz w:val="20"/>
        </w:rPr>
        <w:t>Earlier pilot and robustness evidence</w:t>
      </w:r>
    </w:p>
    <w:p>
      <w:pPr>
        <w:keepNext/>
        <w:spacing w:before="80" w:after="40" w:line="240" w:lineRule="auto"/>
      </w:pPr>
      <w:r>
        <w:rPr>
          <w:rFonts w:ascii="Times New Roman" w:hAnsi="Times New Roman" w:eastAsia="Times New Roman"/>
          <w:b/>
          <w:sz w:val="20"/>
        </w:rPr>
        <w:t>Table 4. Earlier pilot and robustness studies</w:t>
      </w:r>
    </w:p>
    <w:tbl>
      <w:tblPr>
        <w:tblW w:type="dxa" w:w="9026"/>
        <w:jc w:val="left"/>
        <w:tblLayout w:type="fixed"/>
        <w:tblLook w:firstColumn="1" w:firstRow="1" w:lastColumn="0" w:lastRow="0" w:noHBand="0" w:noVBand="1" w:val="04A0"/>
        <w:tblInd w:w="0" w:type="dxa"/>
        <w:tblBorders>
          <w:top w:val="single" w:sz="4" w:color="557030"/>
          <w:left w:val="single" w:sz="4" w:color="557030"/>
          <w:bottom w:val="single" w:sz="4" w:color="557030"/>
          <w:right w:val="single" w:sz="4" w:color="557030"/>
          <w:insideH w:val="single" w:sz="4" w:color="557030"/>
          <w:insideV w:val="single" w:sz="4" w:color="557030"/>
        </w:tblBorders>
      </w:tblPr>
      <w:tblGrid>
        <w:gridCol w:w="2149"/>
        <w:gridCol w:w="3438"/>
        <w:gridCol w:w="3439"/>
      </w:tblGrid>
      <w:tr>
        <w:trPr>
          <w:tblHeader w:val="true"/>
          <w:cantSplit w:val="true"/>
        </w:trPr>
        <w:tc>
          <w:tcPr>
            <w:tcW w:type="dxa" w:w="214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Study</w:t>
            </w:r>
          </w:p>
        </w:tc>
        <w:tc>
          <w:tcPr>
            <w:tcW w:type="dxa" w:w="3438"/>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Key result</w:t>
            </w:r>
          </w:p>
        </w:tc>
        <w:tc>
          <w:tcPr>
            <w:tcW w:type="dxa" w:w="343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Evidence boundary</w:t>
            </w:r>
          </w:p>
        </w:tc>
      </w:tr>
      <w:tr>
        <w:trPr>
          <w:cantSplit w:val="true"/>
        </w:trPr>
        <w:tc>
          <w:tcPr>
            <w:tcW w:type="dxa" w:w="214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QS-OCR/Tobacco original pilot</w:t>
            </w:r>
          </w:p>
        </w:tc>
        <w:tc>
          <w:tcPr>
            <w:tcW w:type="dxa" w:w="3438"/>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Preserved 100% validation accuracy and reduced validation tokens 46.40%, but the accepted SOP had no command step.</w:t>
            </w:r>
          </w:p>
        </w:tc>
        <w:tc>
          <w:tcPr>
            <w:tcW w:type="dxa" w:w="343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Pre-protocol agent-boundary optimization; not English-to-command SOP compilation.</w:t>
            </w:r>
          </w:p>
        </w:tc>
      </w:tr>
      <w:tr>
        <w:trPr>
          <w:cantSplit w:val="true"/>
        </w:trPr>
        <w:tc>
          <w:tcPr>
            <w:tcW w:type="dxa" w:w="214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QS-OCR/Tobacco schema-v2</w:t>
            </w:r>
          </w:p>
        </w:tc>
        <w:tc>
          <w:tcPr>
            <w:tcW w:type="dxa" w:w="3438"/>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Preserved 100% validation accuracy on 10 cases, reduced tokens 23.30%, and reduced mean latency 23.16%.</w:t>
            </w:r>
          </w:p>
        </w:tc>
        <w:tc>
          <w:tcPr>
            <w:tcW w:type="dxa" w:w="343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Genuine hybrid operation-level proof-of-concept; one case per class, one seed, no third held-out split.</w:t>
            </w:r>
          </w:p>
        </w:tc>
      </w:tr>
      <w:tr>
        <w:trPr>
          <w:cantSplit w:val="true"/>
        </w:trPr>
        <w:tc>
          <w:tcPr>
            <w:tcW w:type="dxa" w:w="214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SpamAssassin pilot</w:t>
            </w:r>
          </w:p>
        </w:tc>
        <w:tc>
          <w:tcPr>
            <w:tcW w:type="dxa" w:w="3438"/>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Across 20 cases, accuracy was 90% NL vs 85% hybrid; tokens fell 15.27% and calls 20 -&gt; 16. Four-case held-out test was 100% vs 75%.</w:t>
            </w:r>
          </w:p>
        </w:tc>
        <w:tc>
          <w:tcPr>
            <w:tcW w:type="dxa" w:w="343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Accepted under an earlier 75% absolute threshold; threshold-level pilot evidence only.</w:t>
            </w:r>
          </w:p>
        </w:tc>
      </w:tr>
      <w:tr>
        <w:trPr>
          <w:cantSplit w:val="true"/>
        </w:trPr>
        <w:tc>
          <w:tcPr>
            <w:tcW w:type="dxa" w:w="214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RVL-CDIP schema-v2</w:t>
            </w:r>
          </w:p>
        </w:tc>
        <w:tc>
          <w:tcPr>
            <w:tcW w:type="dxa" w:w="3438"/>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Validation accuracy improved 81.25% -&gt; 87.50%, tokens fell 34.36%, and mean latency fell 29.17%.</w:t>
            </w:r>
          </w:p>
        </w:tc>
        <w:tc>
          <w:tcPr>
            <w:tcW w:type="dxa" w:w="343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Rejected because performance remained below the frozen 90% quality floor.</w:t>
            </w:r>
          </w:p>
        </w:tc>
      </w:tr>
      <w:tr>
        <w:trPr>
          <w:cantSplit w:val="true"/>
        </w:trPr>
        <w:tc>
          <w:tcPr>
            <w:tcW w:type="dxa" w:w="214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SROIE pilot / OCR replications</w:t>
            </w:r>
          </w:p>
        </w:tc>
        <w:tc>
          <w:tcPr>
            <w:tcW w:type="dxa" w:w="3438"/>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Frozen-OCR hybrid reduced tokens 7.28% overall but validation field F1 fell 0.746 -&gt; 0.715; end-to-end OCR baselines were below viability.</w:t>
            </w:r>
          </w:p>
        </w:tc>
        <w:tc>
          <w:tcPr>
            <w:tcW w:type="dxa" w:w="343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Negative evidence; OCR quality dominated and no accepted hybrid was established.</w:t>
            </w:r>
          </w:p>
        </w:tc>
      </w:tr>
    </w:tbl>
    <w:p>
      <w:pPr>
        <w:keepNext w:val="0"/>
        <w:spacing w:before="0" w:after="40" w:line="240" w:lineRule="auto"/>
      </w:pPr>
    </w:p>
    <w:p>
      <w:pPr>
        <w:keepNext w:val="0"/>
        <w:spacing w:before="0" w:after="80" w:line="240" w:lineRule="auto"/>
        <w:ind w:firstLine="288"/>
        <w:jc w:val="both"/>
      </w:pPr>
      <w:r>
        <w:rPr>
          <w:rFonts w:ascii="Times New Roman" w:hAnsi="Times New Roman" w:eastAsia="Times New Roman"/>
          <w:sz w:val="20"/>
        </w:rPr>
        <w:t>These pilots clarify mechanisms and failure modes but are not pooled with the later confirmatory or quality-first estimates.</w:t>
      </w:r>
    </w:p>
    <w:p>
      <w:pPr>
        <w:pStyle w:val="Heading2"/>
      </w:pPr>
      <w:r>
        <w:rPr>
          <w:rFonts w:ascii="Times New Roman" w:hAnsi="Times New Roman" w:eastAsia="Times New Roman"/>
          <w:b/>
          <w:sz w:val="20"/>
        </w:rPr>
        <w:t>Claim-to-evidence boundary</w:t>
      </w:r>
    </w:p>
    <w:p>
      <w:pPr>
        <w:keepNext/>
        <w:spacing w:before="80" w:after="40" w:line="240" w:lineRule="auto"/>
      </w:pPr>
      <w:r>
        <w:rPr>
          <w:rFonts w:ascii="Times New Roman" w:hAnsi="Times New Roman" w:eastAsia="Times New Roman"/>
          <w:b/>
          <w:sz w:val="20"/>
        </w:rPr>
        <w:t>Table 5. What the current repository establishes</w:t>
      </w:r>
    </w:p>
    <w:tbl>
      <w:tblPr>
        <w:tblW w:type="dxa" w:w="9026"/>
        <w:jc w:val="left"/>
        <w:tblLayout w:type="fixed"/>
        <w:tblLook w:firstColumn="1" w:firstRow="1" w:lastColumn="0" w:lastRow="0" w:noHBand="0" w:noVBand="1" w:val="04A0"/>
        <w:tblInd w:w="0" w:type="dxa"/>
        <w:tblBorders>
          <w:top w:val="single" w:sz="4" w:color="557030"/>
          <w:left w:val="single" w:sz="4" w:color="557030"/>
          <w:bottom w:val="single" w:sz="4" w:color="557030"/>
          <w:right w:val="single" w:sz="4" w:color="557030"/>
          <w:insideH w:val="single" w:sz="4" w:color="557030"/>
          <w:insideV w:val="single" w:sz="4" w:color="557030"/>
        </w:tblBorders>
      </w:tblPr>
      <w:tblGrid>
        <w:gridCol w:w="4513"/>
        <w:gridCol w:w="4513"/>
      </w:tblGrid>
      <w:tr>
        <w:trPr>
          <w:tblHeader w:val="true"/>
          <w:cantSplit w:val="true"/>
        </w:trPr>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Claim</w:t>
            </w:r>
          </w:p>
        </w:tc>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Evidence status</w:t>
            </w:r>
          </w:p>
        </w:tc>
      </w:tr>
      <w:tr>
        <w:trPr>
          <w:cantSplit w:val="true"/>
        </w:trPr>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A workflow SOP can combine model-mediated and deterministic representations</w:t>
            </w:r>
          </w:p>
        </w:tc>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Implemented and exercised</w:t>
            </w:r>
          </w:p>
        </w:tc>
      </w:tr>
      <w:tr>
        <w:trPr>
          <w:cantSplit w:val="true"/>
        </w:trPr>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A command can resolve a bounded region and abstain to model fallback</w:t>
            </w:r>
          </w:p>
        </w:tc>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Implemented and exercised in text routing</w:t>
            </w:r>
          </w:p>
        </w:tc>
      </w:tr>
      <w:tr>
        <w:trPr>
          <w:cantSplit w:val="true"/>
        </w:trPr>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Deterministic routing can bypass model calls and materially reduce tokens</w:t>
            </w:r>
          </w:p>
        </w:tc>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Demonstrated in the original LEDGAR confirmatory test</w:t>
            </w:r>
          </w:p>
        </w:tc>
      </w:tr>
      <w:tr>
        <w:trPr>
          <w:cantSplit w:val="true"/>
        </w:trPr>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Token savings alone are insufficient for acceptance</w:t>
            </w:r>
          </w:p>
        </w:tc>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Demonstrated repeatedly by rejected studies</w:t>
            </w:r>
          </w:p>
        </w:tc>
      </w:tr>
      <w:tr>
        <w:trPr>
          <w:cantSplit w:val="true"/>
        </w:trPr>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Current-policy candidates preserve the complete accepted NL fallback</w:t>
            </w:r>
          </w:p>
        </w:tc>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Implemented in evolver policy and quality-first SOPs</w:t>
            </w:r>
          </w:p>
        </w:tc>
      </w:tr>
      <w:tr>
        <w:trPr>
          <w:cantSplit w:val="true"/>
        </w:trPr>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The evolver can instruct a host agent to propose bounded code changes from development traces</w:t>
            </w:r>
          </w:p>
        </w:tc>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Implemented as Agent Skill policy</w:t>
            </w:r>
          </w:p>
        </w:tc>
      </w:tr>
      <w:tr>
        <w:trPr>
          <w:cantSplit w:val="true"/>
        </w:trPr>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General autonomous pattern discovery or researcher-independent trace-to-rule synthesis</w:t>
            </w:r>
          </w:p>
        </w:tc>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Not established</w:t>
            </w:r>
          </w:p>
        </w:tc>
      </w:tr>
      <w:tr>
        <w:trPr>
          <w:cantSplit w:val="true"/>
        </w:trPr>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Autonomous DeepAgent command execution produced the main text results</w:t>
            </w:r>
          </w:p>
        </w:tc>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Not tested; routing used the benchmark harness</w:t>
            </w:r>
          </w:p>
        </w:tc>
      </w:tr>
      <w:tr>
        <w:trPr>
          <w:cantSplit w:val="true"/>
        </w:trPr>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Continuous production self-modification, monitoring, or demotion</w:t>
            </w:r>
          </w:p>
        </w:tc>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Not implemented; prospective</w:t>
            </w:r>
          </w:p>
        </w:tc>
      </w:tr>
      <w:tr>
        <w:trPr>
          <w:cantSplit w:val="true"/>
        </w:trPr>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Global least-nondeterministic optimum</w:t>
            </w:r>
          </w:p>
        </w:tc>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Not established; search is bounded</w:t>
            </w:r>
          </w:p>
        </w:tc>
      </w:tr>
      <w:tr>
        <w:trPr>
          <w:cantSplit w:val="true"/>
        </w:trPr>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Dollar, energy, or carbon savings</w:t>
            </w:r>
          </w:p>
        </w:tc>
        <w:tc>
          <w:tcPr>
            <w:tcW w:type="dxa" w:w="45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Not measured; tokens and calls are proxies</w:t>
            </w:r>
          </w:p>
        </w:tc>
      </w:tr>
    </w:tbl>
    <w:p>
      <w:pPr>
        <w:keepNext w:val="0"/>
        <w:spacing w:before="0" w:after="40" w:line="240" w:lineRule="auto"/>
      </w:pPr>
    </w:p>
    <w:p>
      <w:pPr>
        <w:pStyle w:val="Heading1"/>
      </w:pPr>
      <w:r>
        <w:rPr>
          <w:rFonts w:ascii="Times New Roman" w:hAnsi="Times New Roman" w:eastAsia="Times New Roman"/>
          <w:b/>
          <w:sz w:val="20"/>
        </w:rPr>
        <w:t>Discussion</w:t>
      </w:r>
    </w:p>
    <w:p>
      <w:pPr>
        <w:keepNext w:val="0"/>
        <w:spacing w:before="0" w:after="80" w:line="240" w:lineRule="auto"/>
        <w:ind w:firstLine="288"/>
        <w:jc w:val="both"/>
      </w:pPr>
      <w:r>
        <w:rPr>
          <w:rFonts w:ascii="Times New Roman" w:hAnsi="Times New Roman" w:eastAsia="Times New Roman"/>
          <w:sz w:val="20"/>
        </w:rPr>
        <w:t>The main result is not that hybrid workflows always win. It is that PLaND exposes when deterministic substitution is acceptable. Under the original frozen protocol, LEDGAR retained accuracy within a prespecified engineering margin while eliminating 41.1% of model calls. The mechanism decomposition is important: prompt compression explained only 2.76% of savings, whereas call bypass explained 97.24%. Under the later stricter quality-first contract, even LEDGAR's narrower candidate was rejected. CFPB, SpamAssassin, RVL-CDIP, and SROIE likewise show that lower token use or latency alone is insufficient.</w:t>
      </w:r>
    </w:p>
    <w:p>
      <w:pPr>
        <w:keepNext w:val="0"/>
        <w:spacing w:before="0" w:after="80" w:line="240" w:lineRule="auto"/>
        <w:ind w:firstLine="288"/>
        <w:jc w:val="both"/>
      </w:pPr>
      <w:r>
        <w:rPr>
          <w:rFonts w:ascii="Times New Roman" w:hAnsi="Times New Roman" w:eastAsia="Times New Roman"/>
          <w:sz w:val="20"/>
        </w:rPr>
        <w:t>The methodology supports an evidence-driven progression. An unfamiliar task may remain an open-ended agent. Stable steps can move into commands while semantic judgment remains in language. A mature workflow may become a graph, but conversion stops whenever quality declines. References help manage large instructions; they are not automatically deterministic. Current-policy command candidates preserve the complete accepted English fallback. Runtime canary monitoring and automatic demotion remain prospective design extensions and were not used to obtain these results.</w:t>
      </w:r>
    </w:p>
    <w:p>
      <w:pPr>
        <w:keepNext w:val="0"/>
        <w:spacing w:before="0" w:after="80" w:line="240" w:lineRule="auto"/>
        <w:ind w:firstLine="288"/>
        <w:jc w:val="both"/>
      </w:pPr>
      <w:r>
        <w:rPr>
          <w:rFonts w:ascii="Times New Roman" w:hAnsi="Times New Roman" w:eastAsia="Times New Roman"/>
          <w:sz w:val="20"/>
        </w:rPr>
        <w:t>Several assumptions bound interpretation. Dataset labels and selected samples are treated as the evaluation target; the balanced LEDGAR subset does not estimate full multi-label or production prevalence. Tokens and model calls are expense proxies, not measured currency, energy, or carbon. The text experiments test harness-level routing, not autonomous DeepAgent command interpretation. The 2-point margin and 80% floor are task-design choices rather than universal standards. Only three seeds, one local model, one machine, and one temperature-zero runtime were studied. Zero observed disagreement is descriptive, may reflect the deterministic runtime floor, and is not evidence of significance or broad stochastic robustness. Parallel timing can vary with warm-up, caching, scheduling, and thermal state and cannot be compared causally with the sequential study. SROIE and RVL test sizes were constrained by eligible source data. Author-designed rules may not transfer to other domains, and the generalized generator/evolver was not reevaluated end to end here.</w:t>
      </w:r>
    </w:p>
    <w:p>
      <w:pPr>
        <w:keepNext w:val="0"/>
        <w:spacing w:before="0" w:after="80" w:line="240" w:lineRule="auto"/>
        <w:ind w:firstLine="288"/>
        <w:jc w:val="both"/>
      </w:pPr>
      <w:r>
        <w:rPr>
          <w:rFonts w:ascii="Times New Roman" w:hAnsi="Times New Roman" w:eastAsia="Times New Roman"/>
          <w:sz w:val="20"/>
        </w:rPr>
        <w:t>Future work should repeat paired conditions across models and less deterministic sampling regimes, add tool-sequence disagreement, test natural-language and no-skill ablations, and evaluate runtime fallback and demotion. Stateful environments such as tau-bench remain future work and should use final-state and action verification rather than classification accuracy; PLaND leaves that scorer task-defined.</w:t>
      </w:r>
    </w:p>
    <w:p>
      <w:pPr>
        <w:pStyle w:val="Heading1"/>
      </w:pPr>
      <w:r>
        <w:rPr>
          <w:rFonts w:ascii="Times New Roman" w:hAnsi="Times New Roman" w:eastAsia="Times New Roman"/>
          <w:b/>
          <w:sz w:val="20"/>
        </w:rPr>
        <w:t>Conclusion</w:t>
      </w:r>
    </w:p>
    <w:p>
      <w:pPr>
        <w:keepNext w:val="0"/>
        <w:spacing w:before="0" w:after="80" w:line="240" w:lineRule="auto"/>
        <w:ind w:firstLine="288"/>
        <w:jc w:val="both"/>
      </w:pPr>
      <w:r>
        <w:rPr>
          <w:rFonts w:ascii="Times New Roman" w:hAnsi="Times New Roman" w:eastAsia="Times New Roman"/>
          <w:sz w:val="20"/>
        </w:rPr>
        <w:t>PLaND is a methodology for selectively moving stable agent work from natural language into tested code under a frozen evaluation contract. The strongest positive held-out result is the original LEDGAR confirmatory test: 411 of 1,000 cases bypassed the model, tokens fell 40.02%, and the -0.8-point accuracy difference remained within the prespecified two-point margin. Three optimized replications reproduced the same qualitative outcome. A later quality-first study used fresh 500-case validation sets and stricter current-policy guardrails; LEDGAR, CFPB, and SpamAssassin candidates were all rejected and no tests were opened. Both text variants showed zero cross-run label disagreement, so the evidence supports reproducibility in this frozen condition but not hybrid-specific variance reduction. The practical rule is simple: keep judgment where it adds value, compile stable operations where evidence permits, and preserve rejection evidence when it does not.</w:t>
      </w:r>
    </w:p>
    <w:p>
      <w:pPr>
        <w:pStyle w:val="Heading1"/>
      </w:pPr>
      <w:r>
        <w:rPr>
          <w:rFonts w:ascii="Times New Roman" w:hAnsi="Times New Roman" w:eastAsia="Times New Roman"/>
          <w:b/>
          <w:sz w:val="20"/>
        </w:rPr>
        <w:t>Acknowledgements</w:t>
      </w:r>
    </w:p>
    <w:p>
      <w:pPr>
        <w:keepNext w:val="0"/>
        <w:spacing w:before="0" w:after="80" w:line="240" w:lineRule="auto"/>
        <w:ind w:firstLine="288"/>
        <w:jc w:val="both"/>
      </w:pPr>
      <w:r>
        <w:rPr>
          <w:rFonts w:ascii="Times New Roman" w:hAnsi="Times New Roman" w:eastAsia="Times New Roman"/>
          <w:sz w:val="20"/>
        </w:rPr>
        <w:t>None.</w:t>
      </w:r>
    </w:p>
    <w:p>
      <w:pPr>
        <w:pStyle w:val="Heading1"/>
      </w:pPr>
      <w:r>
        <w:rPr>
          <w:rFonts w:ascii="Times New Roman" w:hAnsi="Times New Roman" w:eastAsia="Times New Roman"/>
          <w:b/>
          <w:sz w:val="20"/>
        </w:rPr>
        <w:t>Disclosure and Conflict of Interest</w:t>
      </w:r>
    </w:p>
    <w:p>
      <w:pPr>
        <w:keepNext w:val="0"/>
        <w:spacing w:before="0" w:after="80" w:line="240" w:lineRule="auto"/>
        <w:ind w:firstLine="288"/>
        <w:jc w:val="both"/>
      </w:pPr>
      <w:r>
        <w:rPr>
          <w:rFonts w:ascii="Times New Roman" w:hAnsi="Times New Roman" w:eastAsia="Times New Roman"/>
          <w:sz w:val="20"/>
        </w:rPr>
        <w:t>This work received no external funding. The authors declare no conflicts of interest.</w:t>
      </w:r>
    </w:p>
    <w:p>
      <w:pPr>
        <w:pStyle w:val="Heading1"/>
      </w:pPr>
      <w:r>
        <w:rPr>
          <w:rFonts w:ascii="Times New Roman" w:hAnsi="Times New Roman" w:eastAsia="Times New Roman"/>
          <w:b/>
          <w:sz w:val="20"/>
        </w:rPr>
        <w:t>Data and Code Availability</w:t>
      </w:r>
    </w:p>
    <w:p>
      <w:pPr>
        <w:keepNext w:val="0"/>
        <w:spacing w:before="0" w:after="80" w:line="240" w:lineRule="auto"/>
        <w:ind w:firstLine="288"/>
        <w:jc w:val="both"/>
      </w:pPr>
      <w:r>
        <w:rPr>
          <w:rFonts w:ascii="Times New Roman" w:hAnsi="Times New Roman" w:eastAsia="Times New Roman"/>
          <w:sz w:val="20"/>
        </w:rPr>
        <w:t xml:space="preserve">Source code, methodology skills, preparation scripts, frozen protocols, result summaries, safe traces, comparisons, and SHA-256 manifests are available in the public PLaND repository at </w:t>
      </w:r>
      <w:hyperlink r:id="rId16">
        <w:r>
          <w:rPr>
            <w:rFonts w:ascii="Times New Roman" w:hAnsi="Times New Roman"/>
            <w:color w:val="0000FF"/>
            <w:u w:val="single"/>
            <w:sz w:val="20"/>
          </w:rPr>
          <w:t>https://github.com/mnvsk97/PLaND</w:t>
        </w:r>
      </w:hyperlink>
      <w:r>
        <w:rPr>
          <w:rFonts w:ascii="Times New Roman" w:hAnsi="Times New Roman" w:eastAsia="Times New Roman"/>
          <w:sz w:val="20"/>
        </w:rPr>
        <w:t>.</w:t>
      </w:r>
      <w:r>
        <w:rPr>
          <w:rFonts w:ascii="Times New Roman" w:hAnsi="Times New Roman" w:eastAsia="Times New Roman"/>
          <w:sz w:val="20"/>
        </w:rPr>
        <w:t xml:space="preserve"> This manuscript is aligned to evidence commit </w:t>
      </w:r>
      <w:r>
        <w:rPr>
          <w:rFonts w:ascii="Courier New" w:hAnsi="Courier New" w:eastAsia="Times New Roman"/>
          <w:sz w:val="20"/>
        </w:rPr>
        <w:t>f9aa70753c64bd6d409b9ff6ae934edd1f7bedc4</w:t>
      </w:r>
      <w:r>
        <w:rPr>
          <w:rFonts w:ascii="Times New Roman" w:hAnsi="Times New Roman" w:eastAsia="Times New Roman"/>
          <w:sz w:val="20"/>
        </w:rPr>
        <w:t>. The repository distinguishes exploratory pilots, original confirmatory studies, optimized replications, and fresh quality-first validations. The three-run text variance study reruns frozen skills and is reported as replication evidence rather than new candidate evolution. The quality-first study uses fresh validation sets and keeps all corresponding test splits closed because every candidate failed at least one release gate. Large copyrighted or sensitive source records are not redistributed; source references, selection procedures, and hashes are retained for authorized reproduction.</w:t>
      </w:r>
    </w:p>
    <w:p>
      <w:pPr>
        <w:pStyle w:val="Heading1"/>
      </w:pPr>
      <w:r>
        <w:rPr>
          <w:rFonts w:ascii="Times New Roman" w:hAnsi="Times New Roman" w:eastAsia="Times New Roman"/>
          <w:b/>
          <w:sz w:val="20"/>
        </w:rPr>
        <w:t>References</w:t>
      </w:r>
    </w:p>
    <w:p>
      <w:pPr>
        <w:keepNext w:val="0"/>
        <w:spacing w:before="0" w:after="20" w:line="240" w:lineRule="auto"/>
        <w:ind w:left="317" w:hanging="317"/>
        <w:jc w:val="both"/>
      </w:pPr>
      <w:r>
        <w:rPr>
          <w:rFonts w:ascii="Times New Roman" w:hAnsi="Times New Roman" w:eastAsia="Times New Roman"/>
          <w:sz w:val="20"/>
        </w:rPr>
        <w:t xml:space="preserve">[1] Agent Skills. (2026). </w:t>
      </w:r>
      <w:r>
        <w:rPr>
          <w:rFonts w:ascii="Times New Roman" w:hAnsi="Times New Roman" w:eastAsia="Times New Roman"/>
          <w:i/>
          <w:sz w:val="20"/>
        </w:rPr>
        <w:t>Agent Skills specification</w:t>
      </w:r>
      <w:r>
        <w:rPr>
          <w:rFonts w:ascii="Times New Roman" w:hAnsi="Times New Roman" w:eastAsia="Times New Roman"/>
          <w:sz w:val="20"/>
        </w:rPr>
        <w:t xml:space="preserve">. </w:t>
      </w:r>
      <w:hyperlink r:id="rId17">
        <w:r>
          <w:rPr>
            <w:rFonts w:ascii="Times New Roman" w:hAnsi="Times New Roman"/>
            <w:color w:val="0000FF"/>
            <w:u w:val="single"/>
            <w:sz w:val="20"/>
          </w:rPr>
          <w:t>https://agentskills.io/specification</w:t>
        </w:r>
      </w:hyperlink>
    </w:p>
    <w:p>
      <w:pPr>
        <w:keepNext w:val="0"/>
        <w:spacing w:before="0" w:after="20" w:line="240" w:lineRule="auto"/>
        <w:ind w:left="317" w:hanging="317"/>
        <w:jc w:val="both"/>
      </w:pPr>
      <w:r>
        <w:rPr>
          <w:rFonts w:ascii="Times New Roman" w:hAnsi="Times New Roman" w:eastAsia="Times New Roman"/>
          <w:sz w:val="20"/>
        </w:rPr>
        <w:t xml:space="preserve">[2] LangChain. (2026). </w:t>
      </w:r>
      <w:r>
        <w:rPr>
          <w:rFonts w:ascii="Times New Roman" w:hAnsi="Times New Roman" w:eastAsia="Times New Roman"/>
          <w:i/>
          <w:sz w:val="20"/>
        </w:rPr>
        <w:t>DeepAgents: Skills</w:t>
      </w:r>
      <w:r>
        <w:rPr>
          <w:rFonts w:ascii="Times New Roman" w:hAnsi="Times New Roman" w:eastAsia="Times New Roman"/>
          <w:sz w:val="20"/>
        </w:rPr>
        <w:t xml:space="preserve">. </w:t>
      </w:r>
      <w:hyperlink r:id="rId18">
        <w:r>
          <w:rPr>
            <w:rFonts w:ascii="Times New Roman" w:hAnsi="Times New Roman"/>
            <w:color w:val="0000FF"/>
            <w:u w:val="single"/>
            <w:sz w:val="20"/>
          </w:rPr>
          <w:t>https://docs.langchain.com/oss/python/deepagents/skills</w:t>
        </w:r>
      </w:hyperlink>
    </w:p>
    <w:p>
      <w:pPr>
        <w:keepNext w:val="0"/>
        <w:spacing w:before="0" w:after="20" w:line="240" w:lineRule="auto"/>
        <w:ind w:left="317" w:hanging="317"/>
        <w:jc w:val="both"/>
      </w:pPr>
      <w:r>
        <w:rPr>
          <w:rFonts w:ascii="Times New Roman" w:hAnsi="Times New Roman" w:eastAsia="Times New Roman"/>
          <w:sz w:val="20"/>
        </w:rPr>
        <w:t xml:space="preserve">[3] LangChain. (2026). </w:t>
      </w:r>
      <w:r>
        <w:rPr>
          <w:rFonts w:ascii="Times New Roman" w:hAnsi="Times New Roman" w:eastAsia="Times New Roman"/>
          <w:i/>
          <w:sz w:val="20"/>
        </w:rPr>
        <w:t>LangGraph overview</w:t>
      </w:r>
      <w:r>
        <w:rPr>
          <w:rFonts w:ascii="Times New Roman" w:hAnsi="Times New Roman" w:eastAsia="Times New Roman"/>
          <w:sz w:val="20"/>
        </w:rPr>
        <w:t xml:space="preserve">. </w:t>
      </w:r>
      <w:hyperlink r:id="rId19">
        <w:r>
          <w:rPr>
            <w:rFonts w:ascii="Times New Roman" w:hAnsi="Times New Roman"/>
            <w:color w:val="0000FF"/>
            <w:u w:val="single"/>
            <w:sz w:val="20"/>
          </w:rPr>
          <w:t>https://docs.langchain.com/oss/python/langgraph/overview</w:t>
        </w:r>
      </w:hyperlink>
    </w:p>
    <w:p>
      <w:pPr>
        <w:keepNext w:val="0"/>
        <w:spacing w:before="0" w:after="20" w:line="240" w:lineRule="auto"/>
        <w:ind w:left="317" w:hanging="317"/>
        <w:jc w:val="both"/>
      </w:pPr>
      <w:r>
        <w:rPr>
          <w:rFonts w:ascii="Times New Roman" w:hAnsi="Times New Roman" w:eastAsia="Times New Roman"/>
          <w:sz w:val="20"/>
        </w:rPr>
        <w:t xml:space="preserve">[4] Khattab, O., et al. (2023). DSPy: Compiling declarative language model calls into self-improving pipelines. </w:t>
      </w:r>
      <w:r>
        <w:rPr>
          <w:rFonts w:ascii="Times New Roman" w:hAnsi="Times New Roman" w:eastAsia="Times New Roman"/>
          <w:i/>
          <w:sz w:val="20"/>
        </w:rPr>
        <w:t>arXiv</w:t>
      </w:r>
      <w:r>
        <w:rPr>
          <w:rFonts w:ascii="Times New Roman" w:hAnsi="Times New Roman" w:eastAsia="Times New Roman"/>
          <w:sz w:val="20"/>
        </w:rPr>
        <w:t xml:space="preserve">. </w:t>
      </w:r>
      <w:hyperlink r:id="rId20">
        <w:r>
          <w:rPr>
            <w:rFonts w:ascii="Times New Roman" w:hAnsi="Times New Roman"/>
            <w:color w:val="0000FF"/>
            <w:u w:val="single"/>
            <w:sz w:val="20"/>
          </w:rPr>
          <w:t>https://arxiv.org/abs/2310.03714</w:t>
        </w:r>
      </w:hyperlink>
    </w:p>
    <w:p>
      <w:pPr>
        <w:keepNext w:val="0"/>
        <w:spacing w:before="0" w:after="20" w:line="240" w:lineRule="auto"/>
        <w:ind w:left="317" w:hanging="317"/>
        <w:jc w:val="both"/>
      </w:pPr>
      <w:r>
        <w:rPr>
          <w:rFonts w:ascii="Times New Roman" w:hAnsi="Times New Roman" w:eastAsia="Times New Roman"/>
          <w:sz w:val="20"/>
        </w:rPr>
        <w:t xml:space="preserve">[5] Li, Z., et al. (2024). AutoFlow: Automated workflow generation for large language model agents. </w:t>
      </w:r>
      <w:r>
        <w:rPr>
          <w:rFonts w:ascii="Times New Roman" w:hAnsi="Times New Roman" w:eastAsia="Times New Roman"/>
          <w:i/>
          <w:sz w:val="20"/>
        </w:rPr>
        <w:t>arXiv</w:t>
      </w:r>
      <w:r>
        <w:rPr>
          <w:rFonts w:ascii="Times New Roman" w:hAnsi="Times New Roman" w:eastAsia="Times New Roman"/>
          <w:sz w:val="20"/>
        </w:rPr>
        <w:t xml:space="preserve">. </w:t>
      </w:r>
      <w:hyperlink r:id="rId21">
        <w:r>
          <w:rPr>
            <w:rFonts w:ascii="Times New Roman" w:hAnsi="Times New Roman"/>
            <w:color w:val="0000FF"/>
            <w:u w:val="single"/>
            <w:sz w:val="20"/>
          </w:rPr>
          <w:t>https://arxiv.org/abs/2407.12821</w:t>
        </w:r>
      </w:hyperlink>
    </w:p>
    <w:p>
      <w:pPr>
        <w:keepNext w:val="0"/>
        <w:spacing w:before="0" w:after="20" w:line="240" w:lineRule="auto"/>
        <w:ind w:left="317" w:hanging="317"/>
        <w:jc w:val="both"/>
      </w:pPr>
      <w:r>
        <w:rPr>
          <w:rFonts w:ascii="Times New Roman" w:hAnsi="Times New Roman" w:eastAsia="Times New Roman"/>
          <w:sz w:val="20"/>
        </w:rPr>
        <w:t xml:space="preserve">[6] Zhang, J., et al. (2024). AFlow: Automating agentic workflow generation. </w:t>
      </w:r>
      <w:r>
        <w:rPr>
          <w:rFonts w:ascii="Times New Roman" w:hAnsi="Times New Roman" w:eastAsia="Times New Roman"/>
          <w:i/>
          <w:sz w:val="20"/>
        </w:rPr>
        <w:t>arXiv</w:t>
      </w:r>
      <w:r>
        <w:rPr>
          <w:rFonts w:ascii="Times New Roman" w:hAnsi="Times New Roman" w:eastAsia="Times New Roman"/>
          <w:sz w:val="20"/>
        </w:rPr>
        <w:t xml:space="preserve">. </w:t>
      </w:r>
      <w:hyperlink r:id="rId22">
        <w:r>
          <w:rPr>
            <w:rFonts w:ascii="Times New Roman" w:hAnsi="Times New Roman"/>
            <w:color w:val="0000FF"/>
            <w:u w:val="single"/>
            <w:sz w:val="20"/>
          </w:rPr>
          <w:t>https://arxiv.org/abs/2410.10762</w:t>
        </w:r>
      </w:hyperlink>
    </w:p>
    <w:p>
      <w:pPr>
        <w:keepNext w:val="0"/>
        <w:spacing w:before="0" w:after="20" w:line="240" w:lineRule="auto"/>
        <w:ind w:left="317" w:hanging="317"/>
        <w:jc w:val="both"/>
      </w:pPr>
      <w:r>
        <w:rPr>
          <w:rFonts w:ascii="Times New Roman" w:hAnsi="Times New Roman" w:eastAsia="Times New Roman"/>
          <w:sz w:val="20"/>
        </w:rPr>
        <w:t xml:space="preserve">[7] Hu, S., Lu, C., &amp; Clune, J. (2024). Automated design of agentic systems. </w:t>
      </w:r>
      <w:r>
        <w:rPr>
          <w:rFonts w:ascii="Times New Roman" w:hAnsi="Times New Roman" w:eastAsia="Times New Roman"/>
          <w:i/>
          <w:sz w:val="20"/>
        </w:rPr>
        <w:t>NeurIPS</w:t>
      </w:r>
      <w:r>
        <w:rPr>
          <w:rFonts w:ascii="Times New Roman" w:hAnsi="Times New Roman" w:eastAsia="Times New Roman"/>
          <w:sz w:val="20"/>
        </w:rPr>
        <w:t xml:space="preserve">. </w:t>
      </w:r>
      <w:hyperlink r:id="rId23">
        <w:r>
          <w:rPr>
            <w:rFonts w:ascii="Times New Roman" w:hAnsi="Times New Roman"/>
            <w:color w:val="0000FF"/>
            <w:u w:val="single"/>
            <w:sz w:val="20"/>
          </w:rPr>
          <w:t>https://arxiv.org/abs/2408.08435</w:t>
        </w:r>
      </w:hyperlink>
    </w:p>
    <w:p>
      <w:pPr>
        <w:keepNext w:val="0"/>
        <w:spacing w:before="0" w:after="20" w:line="240" w:lineRule="auto"/>
        <w:ind w:left="317" w:hanging="317"/>
        <w:jc w:val="both"/>
      </w:pPr>
      <w:r>
        <w:rPr>
          <w:rFonts w:ascii="Times New Roman" w:hAnsi="Times New Roman" w:eastAsia="Times New Roman"/>
          <w:sz w:val="20"/>
        </w:rPr>
        <w:t xml:space="preserve">[8] Yang, Y., et al. (2026). SkillOpt: Executive strategy for self-evolving agent skills. </w:t>
      </w:r>
      <w:r>
        <w:rPr>
          <w:rFonts w:ascii="Times New Roman" w:hAnsi="Times New Roman" w:eastAsia="Times New Roman"/>
          <w:i/>
          <w:sz w:val="20"/>
        </w:rPr>
        <w:t>arXiv</w:t>
      </w:r>
      <w:r>
        <w:rPr>
          <w:rFonts w:ascii="Times New Roman" w:hAnsi="Times New Roman" w:eastAsia="Times New Roman"/>
          <w:sz w:val="20"/>
        </w:rPr>
        <w:t xml:space="preserve">. </w:t>
      </w:r>
      <w:hyperlink r:id="rId24">
        <w:r>
          <w:rPr>
            <w:rFonts w:ascii="Times New Roman" w:hAnsi="Times New Roman"/>
            <w:color w:val="0000FF"/>
            <w:u w:val="single"/>
            <w:sz w:val="20"/>
          </w:rPr>
          <w:t>https://arxiv.org/abs/2605.23904</w:t>
        </w:r>
      </w:hyperlink>
    </w:p>
    <w:p>
      <w:pPr>
        <w:keepNext w:val="0"/>
        <w:spacing w:before="0" w:after="20" w:line="240" w:lineRule="auto"/>
        <w:ind w:left="317" w:hanging="317"/>
        <w:jc w:val="both"/>
      </w:pPr>
      <w:r>
        <w:rPr>
          <w:rFonts w:ascii="Times New Roman" w:hAnsi="Times New Roman" w:eastAsia="Times New Roman"/>
          <w:sz w:val="20"/>
        </w:rPr>
        <w:t xml:space="preserve">[9] Liu, Y., et al. (2026). SkillRevise: Improving LLM-authored agent skills via trace-conditioned skill revision. </w:t>
      </w:r>
      <w:r>
        <w:rPr>
          <w:rFonts w:ascii="Times New Roman" w:hAnsi="Times New Roman" w:eastAsia="Times New Roman"/>
          <w:i/>
          <w:sz w:val="20"/>
        </w:rPr>
        <w:t>arXiv</w:t>
      </w:r>
      <w:r>
        <w:rPr>
          <w:rFonts w:ascii="Times New Roman" w:hAnsi="Times New Roman" w:eastAsia="Times New Roman"/>
          <w:sz w:val="20"/>
        </w:rPr>
        <w:t xml:space="preserve">. </w:t>
      </w:r>
      <w:hyperlink r:id="rId25">
        <w:r>
          <w:rPr>
            <w:rFonts w:ascii="Times New Roman" w:hAnsi="Times New Roman"/>
            <w:color w:val="0000FF"/>
            <w:u w:val="single"/>
            <w:sz w:val="20"/>
          </w:rPr>
          <w:t>https://arxiv.org/abs/2606.01139</w:t>
        </w:r>
      </w:hyperlink>
    </w:p>
    <w:p>
      <w:pPr>
        <w:keepNext w:val="0"/>
        <w:spacing w:before="0" w:after="20" w:line="240" w:lineRule="auto"/>
        <w:ind w:left="317" w:hanging="317"/>
        <w:jc w:val="both"/>
      </w:pPr>
      <w:r>
        <w:rPr>
          <w:rFonts w:ascii="Times New Roman" w:hAnsi="Times New Roman" w:eastAsia="Times New Roman"/>
          <w:sz w:val="20"/>
        </w:rPr>
        <w:t xml:space="preserve">[10] Gao, Y., et al. (2026). SkillReducer: Optimizing LLM agent skills for token efficiency. </w:t>
      </w:r>
      <w:r>
        <w:rPr>
          <w:rFonts w:ascii="Times New Roman" w:hAnsi="Times New Roman" w:eastAsia="Times New Roman"/>
          <w:i/>
          <w:sz w:val="20"/>
        </w:rPr>
        <w:t>arXiv</w:t>
      </w:r>
      <w:r>
        <w:rPr>
          <w:rFonts w:ascii="Times New Roman" w:hAnsi="Times New Roman" w:eastAsia="Times New Roman"/>
          <w:sz w:val="20"/>
        </w:rPr>
        <w:t xml:space="preserve">. </w:t>
      </w:r>
      <w:hyperlink r:id="rId26">
        <w:r>
          <w:rPr>
            <w:rFonts w:ascii="Times New Roman" w:hAnsi="Times New Roman"/>
            <w:color w:val="0000FF"/>
            <w:u w:val="single"/>
            <w:sz w:val="20"/>
          </w:rPr>
          <w:t>https://arxiv.org/abs/2603.29919</w:t>
        </w:r>
      </w:hyperlink>
    </w:p>
    <w:p>
      <w:pPr>
        <w:keepNext w:val="0"/>
        <w:spacing w:before="0" w:after="20" w:line="240" w:lineRule="auto"/>
        <w:ind w:left="317" w:hanging="317"/>
        <w:jc w:val="both"/>
      </w:pPr>
      <w:r>
        <w:rPr>
          <w:rFonts w:ascii="Times New Roman" w:hAnsi="Times New Roman" w:eastAsia="Times New Roman"/>
          <w:sz w:val="20"/>
        </w:rPr>
        <w:t xml:space="preserve">[11] Kevin, C., et al. (2026). Evaluating skills, not just agents: Agentic continuous evaluation of skills. </w:t>
      </w:r>
      <w:r>
        <w:rPr>
          <w:rFonts w:ascii="Times New Roman" w:hAnsi="Times New Roman" w:eastAsia="Times New Roman"/>
          <w:i/>
          <w:sz w:val="20"/>
        </w:rPr>
        <w:t>arXiv</w:t>
      </w:r>
      <w:r>
        <w:rPr>
          <w:rFonts w:ascii="Times New Roman" w:hAnsi="Times New Roman" w:eastAsia="Times New Roman"/>
          <w:sz w:val="20"/>
        </w:rPr>
        <w:t xml:space="preserve">. </w:t>
      </w:r>
      <w:hyperlink r:id="rId27">
        <w:r>
          <w:rPr>
            <w:rFonts w:ascii="Times New Roman" w:hAnsi="Times New Roman"/>
            <w:color w:val="0000FF"/>
            <w:u w:val="single"/>
            <w:sz w:val="20"/>
          </w:rPr>
          <w:t>https://arxiv.org/abs/2608.20614</w:t>
        </w:r>
      </w:hyperlink>
    </w:p>
    <w:p>
      <w:pPr>
        <w:keepNext w:val="0"/>
        <w:spacing w:before="0" w:after="20" w:line="240" w:lineRule="auto"/>
        <w:ind w:left="317" w:hanging="317"/>
        <w:jc w:val="both"/>
      </w:pPr>
      <w:r>
        <w:rPr>
          <w:rFonts w:ascii="Times New Roman" w:hAnsi="Times New Roman" w:eastAsia="Times New Roman"/>
          <w:sz w:val="20"/>
        </w:rPr>
        <w:t xml:space="preserve">[12] Tuggener, D., et al. (2020). LEDGAR: A large-scale multi-label corpus for text classification of legal provisions in contracts. </w:t>
      </w:r>
      <w:r>
        <w:rPr>
          <w:rFonts w:ascii="Times New Roman" w:hAnsi="Times New Roman" w:eastAsia="Times New Roman"/>
          <w:i/>
          <w:sz w:val="20"/>
        </w:rPr>
        <w:t>LREC 2020</w:t>
      </w:r>
      <w:r>
        <w:rPr>
          <w:rFonts w:ascii="Times New Roman" w:hAnsi="Times New Roman" w:eastAsia="Times New Roman"/>
          <w:sz w:val="20"/>
        </w:rPr>
        <w:t xml:space="preserve">, 1235-1241. </w:t>
      </w:r>
      <w:hyperlink r:id="rId28">
        <w:r>
          <w:rPr>
            <w:rFonts w:ascii="Times New Roman" w:hAnsi="Times New Roman"/>
            <w:color w:val="0000FF"/>
            <w:u w:val="single"/>
            <w:sz w:val="20"/>
          </w:rPr>
          <w:t>https://aclanthology.org/2020.lrec-1.155/</w:t>
        </w:r>
      </w:hyperlink>
    </w:p>
    <w:p>
      <w:pPr>
        <w:keepNext w:val="0"/>
        <w:spacing w:before="0" w:after="20" w:line="240" w:lineRule="auto"/>
        <w:ind w:left="317" w:hanging="317"/>
        <w:jc w:val="both"/>
      </w:pPr>
      <w:r>
        <w:rPr>
          <w:rFonts w:ascii="Times New Roman" w:hAnsi="Times New Roman" w:eastAsia="Times New Roman"/>
          <w:sz w:val="20"/>
        </w:rPr>
        <w:t xml:space="preserve">[13] Consumer Financial Protection Bureau. (2026). </w:t>
      </w:r>
      <w:r>
        <w:rPr>
          <w:rFonts w:ascii="Times New Roman" w:hAnsi="Times New Roman" w:eastAsia="Times New Roman"/>
          <w:i/>
          <w:sz w:val="20"/>
        </w:rPr>
        <w:t>Consumer Complaint Database</w:t>
      </w:r>
      <w:r>
        <w:rPr>
          <w:rFonts w:ascii="Times New Roman" w:hAnsi="Times New Roman" w:eastAsia="Times New Roman"/>
          <w:sz w:val="20"/>
        </w:rPr>
        <w:t xml:space="preserve">. </w:t>
      </w:r>
      <w:hyperlink r:id="rId29">
        <w:r>
          <w:rPr>
            <w:rFonts w:ascii="Times New Roman" w:hAnsi="Times New Roman"/>
            <w:color w:val="0000FF"/>
            <w:u w:val="single"/>
            <w:sz w:val="20"/>
          </w:rPr>
          <w:t>https://www.consumerfinance.gov/data-research/consumer-complaints/</w:t>
        </w:r>
      </w:hyperlink>
    </w:p>
    <w:p>
      <w:pPr>
        <w:keepNext w:val="0"/>
        <w:spacing w:before="0" w:after="20" w:line="240" w:lineRule="auto"/>
        <w:ind w:left="317" w:hanging="317"/>
        <w:jc w:val="both"/>
      </w:pPr>
      <w:r>
        <w:rPr>
          <w:rFonts w:ascii="Times New Roman" w:hAnsi="Times New Roman" w:eastAsia="Times New Roman"/>
          <w:sz w:val="20"/>
        </w:rPr>
        <w:t xml:space="preserve">[14] Apache SpamAssassin. (2006). </w:t>
      </w:r>
      <w:r>
        <w:rPr>
          <w:rFonts w:ascii="Times New Roman" w:hAnsi="Times New Roman" w:eastAsia="Times New Roman"/>
          <w:i/>
          <w:sz w:val="20"/>
        </w:rPr>
        <w:t>Public corpus</w:t>
      </w:r>
      <w:r>
        <w:rPr>
          <w:rFonts w:ascii="Times New Roman" w:hAnsi="Times New Roman" w:eastAsia="Times New Roman"/>
          <w:sz w:val="20"/>
        </w:rPr>
        <w:t xml:space="preserve">. </w:t>
      </w:r>
      <w:hyperlink r:id="rId30">
        <w:r>
          <w:rPr>
            <w:rFonts w:ascii="Times New Roman" w:hAnsi="Times New Roman"/>
            <w:color w:val="0000FF"/>
            <w:u w:val="single"/>
            <w:sz w:val="20"/>
          </w:rPr>
          <w:t>https://spamassassin.apache.org/old/publiccorpus/</w:t>
        </w:r>
      </w:hyperlink>
    </w:p>
    <w:p>
      <w:pPr>
        <w:keepNext w:val="0"/>
        <w:spacing w:before="0" w:after="20" w:line="240" w:lineRule="auto"/>
        <w:ind w:left="317" w:hanging="317"/>
        <w:jc w:val="both"/>
      </w:pPr>
      <w:r>
        <w:rPr>
          <w:rFonts w:ascii="Times New Roman" w:hAnsi="Times New Roman" w:eastAsia="Times New Roman"/>
          <w:sz w:val="20"/>
        </w:rPr>
        <w:t xml:space="preserve">[15] Huang, Z., et al. (2021). ICDAR2019 competition on scanned receipt OCR and information extraction. </w:t>
      </w:r>
      <w:r>
        <w:rPr>
          <w:rFonts w:ascii="Times New Roman" w:hAnsi="Times New Roman" w:eastAsia="Times New Roman"/>
          <w:i/>
          <w:sz w:val="20"/>
        </w:rPr>
        <w:t>arXiv</w:t>
      </w:r>
      <w:r>
        <w:rPr>
          <w:rFonts w:ascii="Times New Roman" w:hAnsi="Times New Roman" w:eastAsia="Times New Roman"/>
          <w:sz w:val="20"/>
        </w:rPr>
        <w:t xml:space="preserve">. </w:t>
      </w:r>
      <w:hyperlink r:id="rId31">
        <w:r>
          <w:rPr>
            <w:rFonts w:ascii="Times New Roman" w:hAnsi="Times New Roman"/>
            <w:color w:val="0000FF"/>
            <w:u w:val="single"/>
            <w:sz w:val="20"/>
          </w:rPr>
          <w:t>https://arxiv.org/abs/2103.10213</w:t>
        </w:r>
      </w:hyperlink>
    </w:p>
    <w:p>
      <w:pPr>
        <w:keepNext w:val="0"/>
        <w:spacing w:before="0" w:after="20" w:line="240" w:lineRule="auto"/>
        <w:ind w:left="317" w:hanging="317"/>
        <w:jc w:val="both"/>
      </w:pPr>
      <w:r>
        <w:rPr>
          <w:rFonts w:ascii="Times New Roman" w:hAnsi="Times New Roman" w:eastAsia="Times New Roman"/>
          <w:sz w:val="20"/>
        </w:rPr>
        <w:t xml:space="preserve">[16] Harley, A. W., Ufkes, A., &amp; Derpanis, K. G. (2015). Evaluation of deep convolutional nets for document image classification and retrieval. </w:t>
      </w:r>
      <w:r>
        <w:rPr>
          <w:rFonts w:ascii="Times New Roman" w:hAnsi="Times New Roman" w:eastAsia="Times New Roman"/>
          <w:i/>
          <w:sz w:val="20"/>
        </w:rPr>
        <w:t>ICDAR 2015</w:t>
      </w:r>
      <w:r>
        <w:rPr>
          <w:rFonts w:ascii="Times New Roman" w:hAnsi="Times New Roman" w:eastAsia="Times New Roman"/>
          <w:sz w:val="20"/>
        </w:rPr>
        <w:t xml:space="preserve">. </w:t>
      </w:r>
      <w:hyperlink r:id="rId32">
        <w:r>
          <w:rPr>
            <w:rFonts w:ascii="Times New Roman" w:hAnsi="Times New Roman"/>
            <w:color w:val="0000FF"/>
            <w:u w:val="single"/>
            <w:sz w:val="20"/>
          </w:rPr>
          <w:t>https://arxiv.org/abs/1502.07058</w:t>
        </w:r>
      </w:hyperlink>
    </w:p>
    <w:p>
      <w:pPr>
        <w:keepNext w:val="0"/>
        <w:spacing w:before="0" w:after="20" w:line="240" w:lineRule="auto"/>
        <w:ind w:left="317" w:hanging="317"/>
        <w:jc w:val="both"/>
      </w:pPr>
      <w:r>
        <w:rPr>
          <w:rFonts w:ascii="Times New Roman" w:hAnsi="Times New Roman" w:eastAsia="Times New Roman"/>
          <w:sz w:val="20"/>
        </w:rPr>
        <w:t xml:space="preserve">[17] Lim, G., Larson, S., &amp; Leach, K. (2024). Label errors in the Tobacco3482 dataset. </w:t>
      </w:r>
      <w:r>
        <w:rPr>
          <w:rFonts w:ascii="Times New Roman" w:hAnsi="Times New Roman" w:eastAsia="Times New Roman"/>
          <w:i/>
          <w:sz w:val="20"/>
        </w:rPr>
        <w:t>arXiv</w:t>
      </w:r>
      <w:r>
        <w:rPr>
          <w:rFonts w:ascii="Times New Roman" w:hAnsi="Times New Roman" w:eastAsia="Times New Roman"/>
          <w:sz w:val="20"/>
        </w:rPr>
        <w:t xml:space="preserve">. </w:t>
      </w:r>
      <w:hyperlink r:id="rId33">
        <w:r>
          <w:rPr>
            <w:rFonts w:ascii="Times New Roman" w:hAnsi="Times New Roman"/>
            <w:color w:val="0000FF"/>
            <w:u w:val="single"/>
            <w:sz w:val="20"/>
          </w:rPr>
          <w:t>https://arxiv.org/abs/2412.13140</w:t>
        </w:r>
      </w:hyperlink>
    </w:p>
    <w:p>
      <w:pPr>
        <w:keepNext w:val="0"/>
        <w:spacing w:before="0" w:after="20" w:line="240" w:lineRule="auto"/>
        <w:ind w:left="317" w:hanging="317"/>
        <w:jc w:val="both"/>
      </w:pPr>
      <w:r>
        <w:rPr>
          <w:rFonts w:ascii="Times New Roman" w:hAnsi="Times New Roman" w:eastAsia="Times New Roman"/>
          <w:sz w:val="20"/>
        </w:rPr>
        <w:t xml:space="preserve">[18] LlamaIndex. (2026). </w:t>
      </w:r>
      <w:r>
        <w:rPr>
          <w:rFonts w:ascii="Times New Roman" w:hAnsi="Times New Roman" w:eastAsia="Times New Roman"/>
          <w:i/>
          <w:sz w:val="20"/>
        </w:rPr>
        <w:t>LiteParse: Open-source document parsing</w:t>
      </w:r>
      <w:r>
        <w:rPr>
          <w:rFonts w:ascii="Times New Roman" w:hAnsi="Times New Roman" w:eastAsia="Times New Roman"/>
          <w:sz w:val="20"/>
        </w:rPr>
        <w:t xml:space="preserve">. </w:t>
      </w:r>
      <w:hyperlink r:id="rId34">
        <w:r>
          <w:rPr>
            <w:rFonts w:ascii="Times New Roman" w:hAnsi="Times New Roman"/>
            <w:color w:val="0000FF"/>
            <w:u w:val="single"/>
            <w:sz w:val="20"/>
          </w:rPr>
          <w:t>https://github.com/run-llama/liteparse</w:t>
        </w:r>
      </w:hyperlink>
    </w:p>
    <w:sectPr w:rsidR="00FC693F" w:rsidRPr="0006063C" w:rsidSect="00034616">
      <w:footerReference w:type="default" r:id="rId9"/>
      <w:pgSz w:w="11906" w:h="16838"/>
      <w:pgMar w:top="1440" w:right="1440" w:bottom="1440" w:left="1440" w:header="720" w:footer="720" w:gutter="0"/>
      <w:cols w:space="34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center"/>
    </w:pPr>
    <w:r>
      <w:rPr>
        <w:rFonts w:ascii="Times New Roman" w:hAnsi="Times New Roman" w:eastAsia="Times New Roman"/>
        <w:sz w:val="20"/>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40" w:lineRule="auto"/>
    </w:pPr>
    <w:rPr>
      <w:rFonts w:ascii="Times New Roman" w:hAnsi="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line="24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40" w:line="24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360" w:hanging="259"/>
      <w:contextualSpacing/>
    </w:pPr>
    <w:rPr>
      <w:rFonts w:ascii="Times New Roman" w:hAnsi="Times New Roman"/>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360" w:hanging="259"/>
      <w:contextualSpacing/>
    </w:pPr>
    <w:rPr>
      <w:rFonts w:ascii="Times New Roman" w:hAnsi="Times New Roman"/>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hyperlink" Target="https://github.com/mnvsk97/PLaND/tree/f9aa70753c64bd6d409b9ff6ae934edd1f7bedc4/experiments/ledgar-text-classification/results/variance-study-20260903" TargetMode="External"/><Relationship Id="rId14" Type="http://schemas.openxmlformats.org/officeDocument/2006/relationships/hyperlink" Target="https://github.com/mnvsk97/PLaND/tree/f9aa70753c64bd6d409b9ff6ae934edd1f7bedc4/experiments/cfpb-text-classification/results/variance-study-20260903" TargetMode="External"/><Relationship Id="rId15" Type="http://schemas.openxmlformats.org/officeDocument/2006/relationships/hyperlink" Target="https://github.com/mnvsk97/PLaND/tree/f9aa70753c64bd6d409b9ff6ae934edd1f7bedc4/experiments/spamassassin-email-classification/results/variance-study-20260903" TargetMode="External"/><Relationship Id="rId16" Type="http://schemas.openxmlformats.org/officeDocument/2006/relationships/hyperlink" Target="https://github.com/mnvsk97/PLaND" TargetMode="External"/><Relationship Id="rId17" Type="http://schemas.openxmlformats.org/officeDocument/2006/relationships/hyperlink" Target="https://agentskills.io/specification" TargetMode="External"/><Relationship Id="rId18" Type="http://schemas.openxmlformats.org/officeDocument/2006/relationships/hyperlink" Target="https://docs.langchain.com/oss/python/deepagents/skills" TargetMode="External"/><Relationship Id="rId19" Type="http://schemas.openxmlformats.org/officeDocument/2006/relationships/hyperlink" Target="https://docs.langchain.com/oss/python/langgraph/overview" TargetMode="External"/><Relationship Id="rId20" Type="http://schemas.openxmlformats.org/officeDocument/2006/relationships/hyperlink" Target="https://arxiv.org/abs/2310.03714" TargetMode="External"/><Relationship Id="rId21" Type="http://schemas.openxmlformats.org/officeDocument/2006/relationships/hyperlink" Target="https://arxiv.org/abs/2407.12821" TargetMode="External"/><Relationship Id="rId22" Type="http://schemas.openxmlformats.org/officeDocument/2006/relationships/hyperlink" Target="https://arxiv.org/abs/2410.10762" TargetMode="External"/><Relationship Id="rId23" Type="http://schemas.openxmlformats.org/officeDocument/2006/relationships/hyperlink" Target="https://arxiv.org/abs/2408.08435" TargetMode="External"/><Relationship Id="rId24" Type="http://schemas.openxmlformats.org/officeDocument/2006/relationships/hyperlink" Target="https://arxiv.org/abs/2605.23904" TargetMode="External"/><Relationship Id="rId25" Type="http://schemas.openxmlformats.org/officeDocument/2006/relationships/hyperlink" Target="https://arxiv.org/abs/2606.01139" TargetMode="External"/><Relationship Id="rId26" Type="http://schemas.openxmlformats.org/officeDocument/2006/relationships/hyperlink" Target="https://arxiv.org/abs/2603.29919" TargetMode="External"/><Relationship Id="rId27" Type="http://schemas.openxmlformats.org/officeDocument/2006/relationships/hyperlink" Target="https://arxiv.org/abs/2608.20614" TargetMode="External"/><Relationship Id="rId28" Type="http://schemas.openxmlformats.org/officeDocument/2006/relationships/hyperlink" Target="https://aclanthology.org/2020.lrec-1.155/" TargetMode="External"/><Relationship Id="rId29" Type="http://schemas.openxmlformats.org/officeDocument/2006/relationships/hyperlink" Target="https://www.consumerfinance.gov/data-research/consumer-complaints/" TargetMode="External"/><Relationship Id="rId30" Type="http://schemas.openxmlformats.org/officeDocument/2006/relationships/hyperlink" Target="https://spamassassin.apache.org/old/publiccorpus/" TargetMode="External"/><Relationship Id="rId31" Type="http://schemas.openxmlformats.org/officeDocument/2006/relationships/hyperlink" Target="https://arxiv.org/abs/2103.10213" TargetMode="External"/><Relationship Id="rId32" Type="http://schemas.openxmlformats.org/officeDocument/2006/relationships/hyperlink" Target="https://arxiv.org/abs/1502.07058" TargetMode="External"/><Relationship Id="rId33" Type="http://schemas.openxmlformats.org/officeDocument/2006/relationships/hyperlink" Target="https://arxiv.org/abs/2412.13140" TargetMode="External"/><Relationship Id="rId34" Type="http://schemas.openxmlformats.org/officeDocument/2006/relationships/hyperlink" Target="https://github.com/run-llama/litepar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PLaND - Path to Least Non Determinism</dc:title>
  <dc:subject>Controlled evolution of agent skills</dc:subject>
  <dc:creator>Maddipatla Naga Venkata Sai Krishna; Asit Kumar Sahoo</dc:creator>
  <cp:keywords>agent skills, deterministic workflows, evaluation</cp:keywords>
  <dc:description>generated by python-docx</dc:description>
  <cp:lastModifiedBy/>
  <cp:revision>1</cp:revision>
  <dcterms:created xsi:type="dcterms:W3CDTF">2013-12-23T23:15:00Z</dcterms:created>
  <dcterms:modified xsi:type="dcterms:W3CDTF">2013-12-23T23:15:00Z</dcterms:modified>
  <cp:category/>
</cp:coreProperties>
</file>