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AC92AD6" w14:textId="77777777" w:rsidR="001F4389" w:rsidRDefault="00542BA2" w:rsidP="001F4389">
      <w:pPr>
        <w:jc w:val="center"/>
      </w:pPr>
      <w:r>
        <w:rPr>
          <w:noProof/>
        </w:rPr>
        <w:drawing>
          <wp:anchor distT="0" distB="0" distL="114300" distR="114300" simplePos="0" relativeHeight="251659264" behindDoc="0" locked="0" layoutInCell="1" allowOverlap="1" wp14:anchorId="55EF5AB9" wp14:editId="5A785E4C">
            <wp:simplePos x="0" y="0"/>
            <wp:positionH relativeFrom="margin">
              <wp:align>right</wp:align>
            </wp:positionH>
            <wp:positionV relativeFrom="paragraph">
              <wp:posOffset>0</wp:posOffset>
            </wp:positionV>
            <wp:extent cx="883920" cy="1018540"/>
            <wp:effectExtent l="0" t="0" r="0" b="0"/>
            <wp:wrapThrough wrapText="bothSides">
              <wp:wrapPolygon edited="0">
                <wp:start x="0" y="0"/>
                <wp:lineTo x="0" y="15352"/>
                <wp:lineTo x="3259" y="19796"/>
                <wp:lineTo x="7448" y="21007"/>
                <wp:lineTo x="13966" y="21007"/>
                <wp:lineTo x="17224" y="19796"/>
                <wp:lineTo x="20948" y="14544"/>
                <wp:lineTo x="20948" y="0"/>
                <wp:lineTo x="0" y="0"/>
              </wp:wrapPolygon>
            </wp:wrapThrough>
            <wp:docPr id="1938358314" name="Graphic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8358314" name="Graphic 1938358314"/>
                    <pic:cNvPicPr/>
                  </pic:nvPicPr>
                  <pic:blipFill>
                    <a:blip r:embed="rId8">
                      <a:extLst>
                        <a:ext uri="{96DAC541-7B7A-43D3-8B79-37D633B846F1}">
                          <asvg:svgBlip xmlns:asvg="http://schemas.microsoft.com/office/drawing/2016/SVG/main" r:embed="rId9"/>
                        </a:ext>
                      </a:extLst>
                    </a:blip>
                    <a:stretch>
                      <a:fillRect/>
                    </a:stretch>
                  </pic:blipFill>
                  <pic:spPr>
                    <a:xfrm>
                      <a:off x="0" y="0"/>
                      <a:ext cx="883920" cy="1018540"/>
                    </a:xfrm>
                    <a:prstGeom prst="rect">
                      <a:avLst/>
                    </a:prstGeom>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60288" behindDoc="0" locked="0" layoutInCell="1" allowOverlap="1" wp14:anchorId="56C66373" wp14:editId="13E20474">
            <wp:simplePos x="0" y="0"/>
            <wp:positionH relativeFrom="margin">
              <wp:align>left</wp:align>
            </wp:positionH>
            <wp:positionV relativeFrom="paragraph">
              <wp:posOffset>0</wp:posOffset>
            </wp:positionV>
            <wp:extent cx="1161415" cy="1051560"/>
            <wp:effectExtent l="0" t="0" r="635" b="0"/>
            <wp:wrapThrough wrapText="bothSides">
              <wp:wrapPolygon edited="0">
                <wp:start x="7794" y="0"/>
                <wp:lineTo x="5669" y="783"/>
                <wp:lineTo x="354" y="5478"/>
                <wp:lineTo x="0" y="12522"/>
                <wp:lineTo x="0" y="14087"/>
                <wp:lineTo x="3543" y="19174"/>
                <wp:lineTo x="7440" y="21130"/>
                <wp:lineTo x="14172" y="21130"/>
                <wp:lineTo x="14526" y="20739"/>
                <wp:lineTo x="18069" y="19174"/>
                <wp:lineTo x="21258" y="14087"/>
                <wp:lineTo x="21258" y="11739"/>
                <wp:lineTo x="20903" y="5478"/>
                <wp:lineTo x="15589" y="783"/>
                <wp:lineTo x="13463" y="0"/>
                <wp:lineTo x="7794" y="0"/>
              </wp:wrapPolygon>
            </wp:wrapThrough>
            <wp:docPr id="334603307" name="Graphic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4603307" name="Graphic 334603307"/>
                    <pic:cNvPicPr/>
                  </pic:nvPicPr>
                  <pic:blipFill>
                    <a:blip r:embed="rId10">
                      <a:extLst>
                        <a:ext uri="{96DAC541-7B7A-43D3-8B79-37D633B846F1}">
                          <asvg:svgBlip xmlns:asvg="http://schemas.microsoft.com/office/drawing/2016/SVG/main" r:embed="rId11"/>
                        </a:ext>
                      </a:extLst>
                    </a:blip>
                    <a:stretch>
                      <a:fillRect/>
                    </a:stretch>
                  </pic:blipFill>
                  <pic:spPr>
                    <a:xfrm>
                      <a:off x="0" y="0"/>
                      <a:ext cx="1161415" cy="1051560"/>
                    </a:xfrm>
                    <a:prstGeom prst="rect">
                      <a:avLst/>
                    </a:prstGeom>
                  </pic:spPr>
                </pic:pic>
              </a:graphicData>
            </a:graphic>
            <wp14:sizeRelH relativeFrom="margin">
              <wp14:pctWidth>0</wp14:pctWidth>
            </wp14:sizeRelH>
            <wp14:sizeRelV relativeFrom="margin">
              <wp14:pctHeight>0</wp14:pctHeight>
            </wp14:sizeRelV>
          </wp:anchor>
        </w:drawing>
      </w:r>
    </w:p>
    <w:p w14:paraId="727D40D6" w14:textId="77777777" w:rsidR="001F4389" w:rsidRDefault="001F4389" w:rsidP="001F4389">
      <w:pPr>
        <w:jc w:val="center"/>
        <w:rPr>
          <w:b/>
          <w:bCs/>
          <w:sz w:val="32"/>
          <w:szCs w:val="32"/>
        </w:rPr>
      </w:pPr>
    </w:p>
    <w:p w14:paraId="4A2D3D90" w14:textId="77777777" w:rsidR="00542BA2" w:rsidRDefault="00542BA2" w:rsidP="001F4389">
      <w:pPr>
        <w:jc w:val="center"/>
        <w:rPr>
          <w:b/>
          <w:bCs/>
          <w:sz w:val="32"/>
          <w:szCs w:val="32"/>
        </w:rPr>
      </w:pPr>
    </w:p>
    <w:p w14:paraId="449FA5D6" w14:textId="77777777" w:rsidR="001F4389" w:rsidRPr="006C34D0" w:rsidRDefault="001F4389" w:rsidP="001F4389">
      <w:pPr>
        <w:jc w:val="center"/>
        <w:rPr>
          <w:b/>
          <w:bCs/>
          <w:sz w:val="32"/>
          <w:szCs w:val="32"/>
        </w:rPr>
      </w:pPr>
      <w:r>
        <w:rPr>
          <w:b/>
          <w:bCs/>
          <w:sz w:val="32"/>
          <w:szCs w:val="32"/>
        </w:rPr>
        <w:t>Cairo University</w:t>
      </w:r>
      <w:r>
        <w:rPr>
          <w:rFonts w:hint="cs"/>
          <w:b/>
          <w:bCs/>
          <w:sz w:val="32"/>
          <w:szCs w:val="32"/>
          <w:rtl/>
        </w:rPr>
        <w:t xml:space="preserve"> </w:t>
      </w:r>
      <w:r>
        <w:rPr>
          <w:b/>
          <w:bCs/>
          <w:sz w:val="32"/>
          <w:szCs w:val="32"/>
        </w:rPr>
        <w:t>-</w:t>
      </w:r>
      <w:r>
        <w:rPr>
          <w:rFonts w:hint="cs"/>
          <w:b/>
          <w:bCs/>
          <w:sz w:val="32"/>
          <w:szCs w:val="32"/>
          <w:rtl/>
        </w:rPr>
        <w:t xml:space="preserve"> </w:t>
      </w:r>
      <w:r>
        <w:rPr>
          <w:b/>
          <w:bCs/>
          <w:sz w:val="32"/>
          <w:szCs w:val="32"/>
        </w:rPr>
        <w:t>Faculty of Engineering</w:t>
      </w:r>
    </w:p>
    <w:p w14:paraId="3BA9EB7E" w14:textId="77777777" w:rsidR="001F4389" w:rsidRPr="006C34D0" w:rsidRDefault="001F4389" w:rsidP="001F4389">
      <w:pPr>
        <w:jc w:val="center"/>
        <w:rPr>
          <w:sz w:val="32"/>
          <w:szCs w:val="32"/>
        </w:rPr>
      </w:pPr>
      <w:r>
        <w:rPr>
          <w:sz w:val="32"/>
          <w:szCs w:val="32"/>
        </w:rPr>
        <w:t>Electronics &amp; Electrical Communication Engineering</w:t>
      </w:r>
    </w:p>
    <w:p w14:paraId="00BC1812" w14:textId="77777777" w:rsidR="00542BA2" w:rsidRDefault="003708ED" w:rsidP="00542BA2">
      <w:pPr>
        <w:jc w:val="center"/>
        <w:rPr>
          <w:b/>
          <w:bCs/>
        </w:rPr>
      </w:pPr>
      <w:r>
        <w:rPr>
          <w:b/>
          <w:bCs/>
          <w:sz w:val="32"/>
          <w:szCs w:val="32"/>
        </w:rPr>
        <w:t xml:space="preserve">Advanced Communication Systems </w:t>
      </w:r>
      <w:r>
        <w:rPr>
          <w:sz w:val="32"/>
          <w:szCs w:val="32"/>
        </w:rPr>
        <w:t xml:space="preserve">- </w:t>
      </w:r>
      <w:r>
        <w:rPr>
          <w:b/>
          <w:bCs/>
          <w:sz w:val="32"/>
          <w:szCs w:val="32"/>
        </w:rPr>
        <w:t>EECG331</w:t>
      </w:r>
    </w:p>
    <w:p w14:paraId="4AF40F1B" w14:textId="77777777" w:rsidR="00542BA2" w:rsidRDefault="00542BA2" w:rsidP="00542BA2">
      <w:pPr>
        <w:jc w:val="center"/>
        <w:rPr>
          <w:b/>
          <w:bCs/>
        </w:rPr>
      </w:pPr>
    </w:p>
    <w:p w14:paraId="0FF44ADE" w14:textId="77777777" w:rsidR="00542BA2" w:rsidRDefault="00542BA2" w:rsidP="00542BA2">
      <w:pPr>
        <w:jc w:val="center"/>
        <w:rPr>
          <w:b/>
          <w:bCs/>
        </w:rPr>
      </w:pPr>
    </w:p>
    <w:p w14:paraId="29E8CD3D" w14:textId="77777777" w:rsidR="00542BA2" w:rsidRDefault="00542BA2" w:rsidP="00542BA2">
      <w:pPr>
        <w:jc w:val="center"/>
        <w:rPr>
          <w:b/>
          <w:bCs/>
        </w:rPr>
      </w:pPr>
    </w:p>
    <w:p w14:paraId="6316658A" w14:textId="77777777" w:rsidR="00542BA2" w:rsidRDefault="00542BA2" w:rsidP="00542BA2">
      <w:pPr>
        <w:jc w:val="center"/>
        <w:rPr>
          <w:b/>
          <w:bCs/>
        </w:rPr>
      </w:pPr>
    </w:p>
    <w:p w14:paraId="6D424ACD" w14:textId="77777777" w:rsidR="00542BA2" w:rsidRPr="00542BA2" w:rsidRDefault="001F4389" w:rsidP="00542BA2">
      <w:pPr>
        <w:jc w:val="center"/>
        <w:rPr>
          <w:b/>
          <w:bCs/>
        </w:rPr>
      </w:pPr>
      <w:r>
        <w:br/>
      </w:r>
      <w:r>
        <w:rPr>
          <w:noProof/>
        </w:rPr>
        <mc:AlternateContent>
          <mc:Choice Requires="wps">
            <w:drawing>
              <wp:inline distT="0" distB="0" distL="0" distR="0" wp14:anchorId="60D1892A" wp14:editId="618804D8">
                <wp:extent cx="6858000" cy="6763"/>
                <wp:effectExtent l="0" t="0" r="19050" b="31750"/>
                <wp:docPr id="395589572" name="Straight Connector 5"/>
                <wp:cNvGraphicFramePr/>
                <a:graphic xmlns:a="http://schemas.openxmlformats.org/drawingml/2006/main">
                  <a:graphicData uri="http://schemas.microsoft.com/office/word/2010/wordprocessingShape">
                    <wps:wsp>
                      <wps:cNvCnPr/>
                      <wps:spPr>
                        <a:xfrm flipV="1">
                          <a:off x="0" y="0"/>
                          <a:ext cx="6858000" cy="6763"/>
                        </a:xfrm>
                        <a:prstGeom prst="line">
                          <a:avLst/>
                        </a:prstGeom>
                      </wps:spPr>
                      <wps:style>
                        <a:lnRef idx="2">
                          <a:schemeClr val="accent1"/>
                        </a:lnRef>
                        <a:fillRef idx="0">
                          <a:schemeClr val="accent1"/>
                        </a:fillRef>
                        <a:effectRef idx="1">
                          <a:schemeClr val="accent1"/>
                        </a:effectRef>
                        <a:fontRef idx="minor">
                          <a:schemeClr val="tx1"/>
                        </a:fontRef>
                      </wps:style>
                      <wps:bodyPr/>
                    </wps:wsp>
                  </a:graphicData>
                </a:graphic>
              </wp:inline>
            </w:drawing>
          </mc:Choice>
          <mc:Fallback>
            <w:pict>
              <v:line w14:anchorId="4ADBBABB" id="Straight Connector 5" o:spid="_x0000_s1026" style="flip:y;visibility:visible;mso-wrap-style:square;mso-left-percent:-10001;mso-top-percent:-10001;mso-position-horizontal:absolute;mso-position-horizontal-relative:char;mso-position-vertical:absolute;mso-position-vertical-relative:line;mso-left-percent:-10001;mso-top-percent:-10001" from="0,0" to="540pt,.5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6yECAqgEAAKEDAAAOAAAAZHJzL2Uyb0RvYy54bWysU01v2zAMvRfYfxB0b+ykWBoYcXpo0V2G rVi73VWZigXoC5QWO/9+lJy4wzasQNGLIIl8j3xP1PZmtIYdAKP2ruXLRc0ZOOk77fYt//50f7nh LCbhOmG8g5YfIfKb3YeL7RAaWPnemw6QEYmLzRBa3qcUmqqKsgcr4sIHcBRUHq1IdMR91aEYiN2a alXX62rw2AX0EmKk27spyHeFXymQ6atSERIzLafeUlmxrM95rXZb0exRhF7LUxviDV1YoR0Vnanu RBLsJ+q/qKyW6KNXaSG9rbxSWkLRQGqW9R9qHnsRoGghc2KYbYrvRyu/HG7dA5INQ4hNDA+YVYwK LVNGhx/0pkUXdcrGYttxtg3GxCRdrjcfN3VN7kqKra/XV9nVamLJbAFj+gTesrxpudEuixKNOHyO aUo9pxDupY+yS0cDOdm4b6CY7qjeqqDLiMCtQXYQ9LhCSnBpeSpdsjNMaWNmYP068JSfoVDGZwZP Pvy36owolb1LM9hq5/Ff1dN4bllN+WcHJt3ZgmffHcsLFWtoDoq5p5nNg/b7ucBfftbuFwAAAP// AwBQSwMEFAAGAAgAAAAhACEEYxjbAAAABAEAAA8AAABkcnMvZG93bnJldi54bWxMj0FLw0AQhe9C /8Mygje7WwVpYzalRkREQdrqwdsmOyah2dmwu23jv3fqxV6Gebzhzffy5eh6ccAQO08aZlMFAqn2 tqNGw8f26XoOIiZD1vSeUMMPRlgWk4vcZNYfaY2HTWoEh1DMjIY2pSGTMtYtOhOnfkBi79sHZxLL 0EgbzJHDXS9vlLqTznTEH1ozYNlivdvsnYbHr9f3qnx5W92G7eJhXT53n2Motb66HFf3IBKO6f8Y TviMDgUzVX5PNopeAxdJf/PkqbliXfE2A1nk8hy++AUAAP//AwBQSwECLQAUAAYACAAAACEAtoM4 kv4AAADhAQAAEwAAAAAAAAAAAAAAAAAAAAAAW0NvbnRlbnRfVHlwZXNdLnhtbFBLAQItABQABgAI AAAAIQA4/SH/1gAAAJQBAAALAAAAAAAAAAAAAAAAAC8BAABfcmVscy8ucmVsc1BLAQItABQABgAI AAAAIQC6yECAqgEAAKEDAAAOAAAAAAAAAAAAAAAAAC4CAABkcnMvZTJvRG9jLnhtbFBLAQItABQA BgAIAAAAIQAhBGMY2wAAAAQBAAAPAAAAAAAAAAAAAAAAAAQEAABkcnMvZG93bnJldi54bWxQSwUG AAAAAAQABADzAAAADAUAAAAA " strokecolor="#156082 [3204]" strokeweight="1pt">
                <v:stroke joinstyle="miter"/>
                <w10:anchorlock/>
              </v:line>
            </w:pict>
          </mc:Fallback>
        </mc:AlternateContent>
      </w:r>
      <w:r>
        <w:br/>
      </w:r>
      <w:r>
        <w:br/>
      </w:r>
      <w:r>
        <w:rPr>
          <w:b/>
          <w:bCs/>
          <w:color w:val="1F3864"/>
          <w:sz w:val="36"/>
          <w:szCs w:val="36"/>
        </w:rPr>
        <w:t>Part 1: Single-Carrier System over an AWGN Channel</w:t>
      </w:r>
    </w:p>
    <w:p w14:paraId="233C9B5A" w14:textId="77777777" w:rsidR="00542BA2" w:rsidRDefault="00542BA2" w:rsidP="00542BA2">
      <w:pPr>
        <w:spacing w:after="160"/>
        <w:jc w:val="center"/>
      </w:pPr>
      <w:r>
        <w:rPr>
          <w:i/>
          <w:iCs/>
          <w:sz w:val="24"/>
          <w:szCs w:val="24"/>
        </w:rPr>
        <w:t>BER Performance of BPSK, QPSK, 8PSK, 16-QAM and BFSK, with BFSK Power Spectral Density</w:t>
      </w:r>
    </w:p>
    <w:p w14:paraId="15793ACF" w14:textId="77777777" w:rsidR="001F4389" w:rsidRPr="006C34D0" w:rsidRDefault="001F4389" w:rsidP="00542BA2">
      <w:pPr>
        <w:jc w:val="center"/>
      </w:pPr>
      <w:r>
        <w:rPr>
          <w:noProof/>
        </w:rPr>
        <mc:AlternateContent>
          <mc:Choice Requires="wps">
            <w:drawing>
              <wp:inline distT="0" distB="0" distL="0" distR="0" wp14:anchorId="3A2EC496" wp14:editId="2F387A79">
                <wp:extent cx="6858000" cy="6350"/>
                <wp:effectExtent l="0" t="0" r="19050" b="31750"/>
                <wp:docPr id="1601496592" name="Straight Connector 5"/>
                <wp:cNvGraphicFramePr/>
                <a:graphic xmlns:a="http://schemas.openxmlformats.org/drawingml/2006/main">
                  <a:graphicData uri="http://schemas.microsoft.com/office/word/2010/wordprocessingShape">
                    <wps:wsp>
                      <wps:cNvCnPr/>
                      <wps:spPr>
                        <a:xfrm flipV="1">
                          <a:off x="0" y="0"/>
                          <a:ext cx="6858000" cy="6350"/>
                        </a:xfrm>
                        <a:prstGeom prst="line">
                          <a:avLst/>
                        </a:prstGeom>
                      </wps:spPr>
                      <wps:style>
                        <a:lnRef idx="2">
                          <a:schemeClr val="accent1"/>
                        </a:lnRef>
                        <a:fillRef idx="0">
                          <a:schemeClr val="accent1"/>
                        </a:fillRef>
                        <a:effectRef idx="1">
                          <a:schemeClr val="accent1"/>
                        </a:effectRef>
                        <a:fontRef idx="minor">
                          <a:schemeClr val="tx1"/>
                        </a:fontRef>
                      </wps:style>
                      <wps:bodyPr/>
                    </wps:wsp>
                  </a:graphicData>
                </a:graphic>
              </wp:inline>
            </w:drawing>
          </mc:Choice>
          <mc:Fallback>
            <w:pict>
              <v:line w14:anchorId="43DD9EB0" id="Straight Connector 5" o:spid="_x0000_s1026" style="flip:y;visibility:visible;mso-wrap-style:square;mso-left-percent:-10001;mso-top-percent:-10001;mso-position-horizontal:absolute;mso-position-horizontal-relative:char;mso-position-vertical:absolute;mso-position-vertical-relative:line;mso-left-percent:-10001;mso-top-percent:-10001" from="0,0" to="540pt,.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TRCu8qwEAAKEDAAAOAAAAZHJzL2Uyb0RvYy54bWysU01rGzEQvRf6H4Tu9a5dYszidQ4JyaW0 IW1zV7Qjr0BfSKp3/e8zmrU3oSkNhFyEPua9mfdmtL0crWEHiEl71/LlouYMnPSddvuW//5182XD WcrCdcJ4By0/QuKXu8+ftkNoYOV7bzqIDElcaobQ8j7n0FRVkj1YkRY+gMNH5aMVGY9xX3VRDMhu TbWq63U1+NiF6CWkhLfX0yPfEb9SIPMPpRJkZlqOtWVaI62PZa12W9Hsowi9lqcyxDuqsEI7TDpT XYss2J+oX1FZLaNPXuWF9LbySmkJpAHVLOu/1PzsRQDSguakMNuUPo5Wfj9cubuINgwhNSncxaJi VNEyZXR4wJ6SLqyUjWTbcbYNxswkXq43F5u6Rnclvq2/XpCr1cRS2EJM+Ra8ZWXTcqNdESUacfiW MmbG0HMIHp7roF0+GijBxt2DYrrDfCtC04jAlYnsILC5QkpweVkainwUXWBKGzMD67eBp/gCBRqf GTz58N+sM4Iye5dnsNXOx39lz+O5ZDXFnx2YdBcLHn13pA6RNTgHpPA0s2XQXp4J/vyzdk8AAAD/ /wMAUEsDBBQABgAIAAAAIQB5hIHP2gAAAAQBAAAPAAAAZHJzL2Rvd25yZXYueG1sTI9BS8NAEIXv gv9hGcGb3VVBappNqRERUSht7cHbJDsmwexs2N228d+78aKXYR5vePO9fDnaXhzJh86xhuuZAkFc O9Nxo+F993Q1BxEissHeMWn4pgDL4vwsx8y4E2/ouI2NSCEcMtTQxjhkUoa6JYth5gbi5H06bzEm 6RtpPJ5SuO3ljVJ30mLH6UOLA5Ut1V/bg9Xw+PG6rsqXt9Wt390/bMrnbj/6UuvLi3G1ABFpjH/H MOEndCgSU+UObILoNaQi8XdOnpqrpKtpA1nk8j988QMAAP//AwBQSwECLQAUAAYACAAAACEAtoM4 kv4AAADhAQAAEwAAAAAAAAAAAAAAAAAAAAAAW0NvbnRlbnRfVHlwZXNdLnhtbFBLAQItABQABgAI AAAAIQA4/SH/1gAAAJQBAAALAAAAAAAAAAAAAAAAAC8BAABfcmVscy8ucmVsc1BLAQItABQABgAI AAAAIQDTRCu8qwEAAKEDAAAOAAAAAAAAAAAAAAAAAC4CAABkcnMvZTJvRG9jLnhtbFBLAQItABQA BgAIAAAAIQB5hIHP2gAAAAQBAAAPAAAAAAAAAAAAAAAAAAUEAABkcnMvZG93bnJldi54bWxQSwUG AAAAAAQABADzAAAADAUAAAAA " strokecolor="#156082 [3204]" strokeweight="1pt">
                <v:stroke joinstyle="miter"/>
                <w10:anchorlock/>
              </v:line>
            </w:pict>
          </mc:Fallback>
        </mc:AlternateContent>
      </w:r>
      <w:r>
        <w:br/>
      </w:r>
      <w:r>
        <w:br/>
      </w:r>
      <w:r>
        <w:br/>
      </w:r>
      <w:r>
        <w:br/>
      </w:r>
    </w:p>
    <w:p w14:paraId="66D1C341" w14:textId="77777777" w:rsidR="001F4389" w:rsidRDefault="001F4389" w:rsidP="001F4389">
      <w:pPr>
        <w:jc w:val="right"/>
      </w:pPr>
    </w:p>
    <w:p w14:paraId="183C8D53" w14:textId="77777777" w:rsidR="001F4389" w:rsidRDefault="001F4389" w:rsidP="001F4389">
      <w:pPr>
        <w:jc w:val="right"/>
      </w:pPr>
    </w:p>
    <w:p w14:paraId="66067487" w14:textId="77777777" w:rsidR="001F4389" w:rsidRDefault="001F4389" w:rsidP="001F4389">
      <w:pPr>
        <w:jc w:val="right"/>
      </w:pPr>
    </w:p>
    <w:p w14:paraId="20B154E8" w14:textId="77777777" w:rsidR="001F4389" w:rsidRDefault="001F4389" w:rsidP="001F4389">
      <w:pPr>
        <w:jc w:val="right"/>
      </w:pPr>
    </w:p>
    <w:p w14:paraId="4E131768" w14:textId="77777777" w:rsidR="001F4389" w:rsidRDefault="001F4389" w:rsidP="001F4389">
      <w:pPr>
        <w:jc w:val="right"/>
      </w:pPr>
    </w:p>
    <w:p w14:paraId="4D75C36D" w14:textId="77777777" w:rsidR="001F4389" w:rsidRDefault="001F4389" w:rsidP="001F4389">
      <w:pPr>
        <w:jc w:val="right"/>
      </w:pPr>
    </w:p>
    <w:p w14:paraId="39D713D9" w14:textId="77777777" w:rsidR="001F4389" w:rsidRDefault="001F4389" w:rsidP="001F4389">
      <w:pPr>
        <w:jc w:val="right"/>
      </w:pPr>
    </w:p>
    <w:p w14:paraId="0B215137" w14:textId="77777777" w:rsidR="001F4389" w:rsidRDefault="001F4389" w:rsidP="001F4389">
      <w:pPr>
        <w:jc w:val="right"/>
      </w:pPr>
    </w:p>
    <w:p w14:paraId="1835553E" w14:textId="77777777" w:rsidR="001F4389" w:rsidRDefault="001F4389" w:rsidP="001F4389">
      <w:pPr>
        <w:jc w:val="right"/>
      </w:pPr>
    </w:p>
    <w:p w14:paraId="5113F015" w14:textId="77777777" w:rsidR="001F4389" w:rsidRDefault="001F4389" w:rsidP="001F4389">
      <w:pPr>
        <w:spacing w:after="60"/>
        <w:rPr>
          <w:b/>
          <w:bCs/>
          <w:sz w:val="28"/>
          <w:szCs w:val="28"/>
        </w:rPr>
      </w:pPr>
    </w:p>
    <w:p w14:paraId="04EE3731" w14:textId="77777777" w:rsidR="00542BA2" w:rsidRDefault="001F4389" w:rsidP="00542BA2">
      <w:pPr>
        <w:rPr>
          <w:b/>
          <w:bCs/>
          <w:sz w:val="28"/>
          <w:szCs w:val="28"/>
        </w:rPr>
      </w:pPr>
      <w:r>
        <w:rPr>
          <w:b/>
          <w:bCs/>
          <w:sz w:val="28"/>
          <w:szCs w:val="28"/>
        </w:rPr>
        <w:br w:type="page"/>
      </w:r>
    </w:p>
    <w:sdt>
      <w:sdtPr>
        <w:rPr>
          <w:rFonts w:ascii="Times New Roman" w:eastAsia="Times New Roman" w:hAnsi="Times New Roman" w:cs="Times New Roman"/>
          <w:color w:val="auto"/>
          <w:sz w:val="22"/>
          <w:szCs w:val="22"/>
        </w:rPr>
        <w:id w:val="344599752"/>
        <w:docPartObj>
          <w:docPartGallery w:val="Table of Contents"/>
          <w:docPartUnique/>
        </w:docPartObj>
      </w:sdtPr>
      <w:sdtEndPr>
        <w:rPr>
          <w:b/>
          <w:bCs/>
          <w:noProof/>
        </w:rPr>
      </w:sdtEndPr>
      <w:sdtContent>
        <w:p w14:paraId="41C7F2F2" w14:textId="77777777" w:rsidR="007D0CAD" w:rsidRDefault="007D0CAD" w:rsidP="007D0CAD">
          <w:pPr>
            <w:pStyle w:val="TOCHeading"/>
            <w:jc w:val="center"/>
            <w:rPr>
              <w:b/>
              <w:bCs/>
              <w:sz w:val="40"/>
              <w:szCs w:val="40"/>
            </w:rPr>
          </w:pPr>
          <w:r>
            <w:rPr>
              <w:b/>
              <w:bCs/>
              <w:sz w:val="40"/>
              <w:szCs w:val="40"/>
            </w:rPr>
            <w:t>Table of Contents</w:t>
          </w:r>
        </w:p>
        <w:p w14:paraId="2EC004D5" w14:textId="77777777" w:rsidR="007D0CAD" w:rsidRPr="007D0CAD" w:rsidRDefault="007D0CAD" w:rsidP="007D0CAD"/>
        <w:p w14:paraId="17862DD5" w14:textId="77777777" w:rsidR="007D0CAD" w:rsidRDefault="007D0CAD">
          <w:pPr>
            <w:pStyle w:val="TOC1"/>
            <w:tabs>
              <w:tab w:val="right" w:leader="dot" w:pos="10456"/>
            </w:tabs>
            <w:rPr>
              <w:rFonts w:cstheme="minorBidi"/>
              <w:noProof/>
              <w:kern w:val="2"/>
              <w:sz w:val="24"/>
              <w:szCs w:val="24"/>
              <w14:ligatures w14:val="standardContextual"/>
            </w:rPr>
          </w:pPr>
          <w:r>
            <w:fldChar w:fldCharType="begin"/>
          </w:r>
          <w:r>
            <w:instrText xml:space="preserve"> TOC \o "1-3" \h \z \u </w:instrText>
          </w:r>
          <w:r>
            <w:fldChar w:fldCharType="separate"/>
          </w:r>
          <w:hyperlink w:anchor="_Toc243600660" w:history="1">
            <w:r>
              <w:rPr>
                <w:rStyle w:val="Hyperlink"/>
                <w:noProof/>
              </w:rPr>
              <w:t>1. Objective and Scope</w:t>
            </w:r>
            <w:r>
              <w:rPr>
                <w:noProof/>
                <w:webHidden/>
              </w:rPr>
              <w:tab/>
            </w:r>
            <w:r>
              <w:rPr>
                <w:noProof/>
                <w:webHidden/>
              </w:rPr>
              <w:fldChar w:fldCharType="begin"/>
            </w:r>
            <w:r>
              <w:rPr>
                <w:noProof/>
                <w:webHidden/>
              </w:rPr>
              <w:instrText xml:space="preserve"> PAGEREF _Toc243600660 \h </w:instrText>
            </w:r>
            <w:r>
              <w:rPr>
                <w:noProof/>
                <w:webHidden/>
              </w:rPr>
            </w:r>
            <w:r>
              <w:rPr>
                <w:noProof/>
                <w:webHidden/>
              </w:rPr>
              <w:fldChar w:fldCharType="separate"/>
            </w:r>
            <w:r>
              <w:rPr>
                <w:noProof/>
                <w:webHidden/>
              </w:rPr>
              <w:t>3</w:t>
            </w:r>
            <w:r>
              <w:rPr>
                <w:noProof/>
                <w:webHidden/>
              </w:rPr>
              <w:fldChar w:fldCharType="end"/>
            </w:r>
          </w:hyperlink>
        </w:p>
        <w:p w14:paraId="1198FEAD" w14:textId="77777777" w:rsidR="007D0CAD" w:rsidRDefault="00000000">
          <w:pPr>
            <w:pStyle w:val="TOC1"/>
            <w:tabs>
              <w:tab w:val="right" w:leader="dot" w:pos="10456"/>
            </w:tabs>
            <w:rPr>
              <w:rFonts w:cstheme="minorBidi"/>
              <w:noProof/>
              <w:kern w:val="2"/>
              <w:sz w:val="24"/>
              <w:szCs w:val="24"/>
              <w14:ligatures w14:val="standardContextual"/>
            </w:rPr>
          </w:pPr>
          <w:hyperlink w:anchor="_Toc243600661" w:history="1">
            <w:r w:rsidR="007D0CAD">
              <w:rPr>
                <w:rStyle w:val="Hyperlink"/>
                <w:noProof/>
              </w:rPr>
              <w:t>2. System Model and Simulation Method</w:t>
            </w:r>
            <w:r w:rsidR="007D0CAD">
              <w:rPr>
                <w:noProof/>
                <w:webHidden/>
              </w:rPr>
              <w:tab/>
            </w:r>
            <w:r w:rsidR="007D0CAD">
              <w:rPr>
                <w:noProof/>
                <w:webHidden/>
              </w:rPr>
              <w:fldChar w:fldCharType="begin"/>
            </w:r>
            <w:r w:rsidR="007D0CAD">
              <w:rPr>
                <w:noProof/>
                <w:webHidden/>
              </w:rPr>
              <w:instrText xml:space="preserve"> PAGEREF _Toc243600661 \h </w:instrText>
            </w:r>
            <w:r w:rsidR="007D0CAD">
              <w:rPr>
                <w:noProof/>
                <w:webHidden/>
              </w:rPr>
            </w:r>
            <w:r w:rsidR="007D0CAD">
              <w:rPr>
                <w:noProof/>
                <w:webHidden/>
              </w:rPr>
              <w:fldChar w:fldCharType="separate"/>
            </w:r>
            <w:r w:rsidR="007D0CAD">
              <w:rPr>
                <w:noProof/>
                <w:webHidden/>
              </w:rPr>
              <w:t>3</w:t>
            </w:r>
            <w:r w:rsidR="007D0CAD">
              <w:rPr>
                <w:noProof/>
                <w:webHidden/>
              </w:rPr>
              <w:fldChar w:fldCharType="end"/>
            </w:r>
          </w:hyperlink>
        </w:p>
        <w:p w14:paraId="356EF276" w14:textId="77777777" w:rsidR="007D0CAD" w:rsidRDefault="00000000">
          <w:pPr>
            <w:pStyle w:val="TOC2"/>
            <w:tabs>
              <w:tab w:val="right" w:leader="dot" w:pos="10456"/>
            </w:tabs>
            <w:rPr>
              <w:rFonts w:cstheme="minorBidi"/>
              <w:noProof/>
              <w:kern w:val="2"/>
              <w:sz w:val="24"/>
              <w:szCs w:val="24"/>
              <w14:ligatures w14:val="standardContextual"/>
            </w:rPr>
          </w:pPr>
          <w:hyperlink w:anchor="_Toc243600662" w:history="1">
            <w:r w:rsidR="007D0CAD">
              <w:rPr>
                <w:rStyle w:val="Hyperlink"/>
                <w:noProof/>
              </w:rPr>
              <w:t>2.1 Mapper</w:t>
            </w:r>
            <w:r w:rsidR="007D0CAD">
              <w:rPr>
                <w:noProof/>
                <w:webHidden/>
              </w:rPr>
              <w:tab/>
            </w:r>
            <w:r w:rsidR="007D0CAD">
              <w:rPr>
                <w:noProof/>
                <w:webHidden/>
              </w:rPr>
              <w:fldChar w:fldCharType="begin"/>
            </w:r>
            <w:r w:rsidR="007D0CAD">
              <w:rPr>
                <w:noProof/>
                <w:webHidden/>
              </w:rPr>
              <w:instrText xml:space="preserve"> PAGEREF _Toc243600662 \h </w:instrText>
            </w:r>
            <w:r w:rsidR="007D0CAD">
              <w:rPr>
                <w:noProof/>
                <w:webHidden/>
              </w:rPr>
            </w:r>
            <w:r w:rsidR="007D0CAD">
              <w:rPr>
                <w:noProof/>
                <w:webHidden/>
              </w:rPr>
              <w:fldChar w:fldCharType="separate"/>
            </w:r>
            <w:r w:rsidR="007D0CAD">
              <w:rPr>
                <w:noProof/>
                <w:webHidden/>
              </w:rPr>
              <w:t>3</w:t>
            </w:r>
            <w:r w:rsidR="007D0CAD">
              <w:rPr>
                <w:noProof/>
                <w:webHidden/>
              </w:rPr>
              <w:fldChar w:fldCharType="end"/>
            </w:r>
          </w:hyperlink>
        </w:p>
        <w:p w14:paraId="7C587ADF" w14:textId="77777777" w:rsidR="007D0CAD" w:rsidRDefault="00000000">
          <w:pPr>
            <w:pStyle w:val="TOC2"/>
            <w:tabs>
              <w:tab w:val="right" w:leader="dot" w:pos="10456"/>
            </w:tabs>
            <w:rPr>
              <w:rFonts w:cstheme="minorBidi"/>
              <w:noProof/>
              <w:kern w:val="2"/>
              <w:sz w:val="24"/>
              <w:szCs w:val="24"/>
              <w14:ligatures w14:val="standardContextual"/>
            </w:rPr>
          </w:pPr>
          <w:hyperlink w:anchor="_Toc243600663" w:history="1">
            <w:r w:rsidR="007D0CAD">
              <w:rPr>
                <w:rStyle w:val="Hyperlink"/>
                <w:noProof/>
              </w:rPr>
              <w:t>2.2 AWGN Channel and Noise Scaling</w:t>
            </w:r>
            <w:r w:rsidR="007D0CAD">
              <w:rPr>
                <w:noProof/>
                <w:webHidden/>
              </w:rPr>
              <w:tab/>
            </w:r>
            <w:r w:rsidR="007D0CAD">
              <w:rPr>
                <w:noProof/>
                <w:webHidden/>
              </w:rPr>
              <w:fldChar w:fldCharType="begin"/>
            </w:r>
            <w:r w:rsidR="007D0CAD">
              <w:rPr>
                <w:noProof/>
                <w:webHidden/>
              </w:rPr>
              <w:instrText xml:space="preserve"> PAGEREF _Toc243600663 \h </w:instrText>
            </w:r>
            <w:r w:rsidR="007D0CAD">
              <w:rPr>
                <w:noProof/>
                <w:webHidden/>
              </w:rPr>
            </w:r>
            <w:r w:rsidR="007D0CAD">
              <w:rPr>
                <w:noProof/>
                <w:webHidden/>
              </w:rPr>
              <w:fldChar w:fldCharType="separate"/>
            </w:r>
            <w:r w:rsidR="007D0CAD">
              <w:rPr>
                <w:noProof/>
                <w:webHidden/>
              </w:rPr>
              <w:t>3</w:t>
            </w:r>
            <w:r w:rsidR="007D0CAD">
              <w:rPr>
                <w:noProof/>
                <w:webHidden/>
              </w:rPr>
              <w:fldChar w:fldCharType="end"/>
            </w:r>
          </w:hyperlink>
        </w:p>
        <w:p w14:paraId="696EAD54" w14:textId="77777777" w:rsidR="007D0CAD" w:rsidRDefault="00000000">
          <w:pPr>
            <w:pStyle w:val="TOC2"/>
            <w:tabs>
              <w:tab w:val="right" w:leader="dot" w:pos="10456"/>
            </w:tabs>
            <w:rPr>
              <w:rFonts w:cstheme="minorBidi"/>
              <w:noProof/>
              <w:kern w:val="2"/>
              <w:sz w:val="24"/>
              <w:szCs w:val="24"/>
              <w14:ligatures w14:val="standardContextual"/>
            </w:rPr>
          </w:pPr>
          <w:hyperlink w:anchor="_Toc243600664" w:history="1">
            <w:r w:rsidR="007D0CAD">
              <w:rPr>
                <w:rStyle w:val="Hyperlink"/>
                <w:noProof/>
              </w:rPr>
              <w:t>2.3 Simulation Parameters</w:t>
            </w:r>
            <w:r w:rsidR="007D0CAD">
              <w:rPr>
                <w:noProof/>
                <w:webHidden/>
              </w:rPr>
              <w:tab/>
            </w:r>
            <w:r w:rsidR="007D0CAD">
              <w:rPr>
                <w:noProof/>
                <w:webHidden/>
              </w:rPr>
              <w:fldChar w:fldCharType="begin"/>
            </w:r>
            <w:r w:rsidR="007D0CAD">
              <w:rPr>
                <w:noProof/>
                <w:webHidden/>
              </w:rPr>
              <w:instrText xml:space="preserve"> PAGEREF _Toc243600664 \h </w:instrText>
            </w:r>
            <w:r w:rsidR="007D0CAD">
              <w:rPr>
                <w:noProof/>
                <w:webHidden/>
              </w:rPr>
            </w:r>
            <w:r w:rsidR="007D0CAD">
              <w:rPr>
                <w:noProof/>
                <w:webHidden/>
              </w:rPr>
              <w:fldChar w:fldCharType="separate"/>
            </w:r>
            <w:r w:rsidR="007D0CAD">
              <w:rPr>
                <w:noProof/>
                <w:webHidden/>
              </w:rPr>
              <w:t>4</w:t>
            </w:r>
            <w:r w:rsidR="007D0CAD">
              <w:rPr>
                <w:noProof/>
                <w:webHidden/>
              </w:rPr>
              <w:fldChar w:fldCharType="end"/>
            </w:r>
          </w:hyperlink>
        </w:p>
        <w:p w14:paraId="55FC5425" w14:textId="77777777" w:rsidR="007D0CAD" w:rsidRDefault="00000000">
          <w:pPr>
            <w:pStyle w:val="TOC1"/>
            <w:tabs>
              <w:tab w:val="right" w:leader="dot" w:pos="10456"/>
            </w:tabs>
            <w:rPr>
              <w:rFonts w:cstheme="minorBidi"/>
              <w:noProof/>
              <w:kern w:val="2"/>
              <w:sz w:val="24"/>
              <w:szCs w:val="24"/>
              <w14:ligatures w14:val="standardContextual"/>
            </w:rPr>
          </w:pPr>
          <w:hyperlink w:anchor="_Toc243600665" w:history="1">
            <w:r w:rsidR="007D0CAD">
              <w:rPr>
                <w:rStyle w:val="Hyperlink"/>
                <w:noProof/>
              </w:rPr>
              <w:t>3. Theoretical BER Expressions</w:t>
            </w:r>
            <w:r w:rsidR="007D0CAD">
              <w:rPr>
                <w:noProof/>
                <w:webHidden/>
              </w:rPr>
              <w:tab/>
            </w:r>
            <w:r w:rsidR="007D0CAD">
              <w:rPr>
                <w:noProof/>
                <w:webHidden/>
              </w:rPr>
              <w:fldChar w:fldCharType="begin"/>
            </w:r>
            <w:r w:rsidR="007D0CAD">
              <w:rPr>
                <w:noProof/>
                <w:webHidden/>
              </w:rPr>
              <w:instrText xml:space="preserve"> PAGEREF _Toc243600665 \h </w:instrText>
            </w:r>
            <w:r w:rsidR="007D0CAD">
              <w:rPr>
                <w:noProof/>
                <w:webHidden/>
              </w:rPr>
            </w:r>
            <w:r w:rsidR="007D0CAD">
              <w:rPr>
                <w:noProof/>
                <w:webHidden/>
              </w:rPr>
              <w:fldChar w:fldCharType="separate"/>
            </w:r>
            <w:r w:rsidR="007D0CAD">
              <w:rPr>
                <w:noProof/>
                <w:webHidden/>
              </w:rPr>
              <w:t>4</w:t>
            </w:r>
            <w:r w:rsidR="007D0CAD">
              <w:rPr>
                <w:noProof/>
                <w:webHidden/>
              </w:rPr>
              <w:fldChar w:fldCharType="end"/>
            </w:r>
          </w:hyperlink>
        </w:p>
        <w:p w14:paraId="4C34E71B" w14:textId="77777777" w:rsidR="007D0CAD" w:rsidRDefault="00000000">
          <w:pPr>
            <w:pStyle w:val="TOC1"/>
            <w:tabs>
              <w:tab w:val="right" w:leader="dot" w:pos="10456"/>
            </w:tabs>
            <w:rPr>
              <w:rFonts w:cstheme="minorBidi"/>
              <w:noProof/>
              <w:kern w:val="2"/>
              <w:sz w:val="24"/>
              <w:szCs w:val="24"/>
              <w14:ligatures w14:val="standardContextual"/>
            </w:rPr>
          </w:pPr>
          <w:hyperlink w:anchor="_Toc243600666" w:history="1">
            <w:r w:rsidR="007D0CAD">
              <w:rPr>
                <w:rStyle w:val="Hyperlink"/>
                <w:noProof/>
              </w:rPr>
              <w:t>4. Results and Discussion: BER of BPSK, QPSK, 8PSK and 16-QAM (Task 1.4)</w:t>
            </w:r>
            <w:r w:rsidR="007D0CAD">
              <w:rPr>
                <w:noProof/>
                <w:webHidden/>
              </w:rPr>
              <w:tab/>
            </w:r>
            <w:r w:rsidR="007D0CAD">
              <w:rPr>
                <w:noProof/>
                <w:webHidden/>
              </w:rPr>
              <w:fldChar w:fldCharType="begin"/>
            </w:r>
            <w:r w:rsidR="007D0CAD">
              <w:rPr>
                <w:noProof/>
                <w:webHidden/>
              </w:rPr>
              <w:instrText xml:space="preserve"> PAGEREF _Toc243600666 \h </w:instrText>
            </w:r>
            <w:r w:rsidR="007D0CAD">
              <w:rPr>
                <w:noProof/>
                <w:webHidden/>
              </w:rPr>
            </w:r>
            <w:r w:rsidR="007D0CAD">
              <w:rPr>
                <w:noProof/>
                <w:webHidden/>
              </w:rPr>
              <w:fldChar w:fldCharType="separate"/>
            </w:r>
            <w:r w:rsidR="007D0CAD">
              <w:rPr>
                <w:noProof/>
                <w:webHidden/>
              </w:rPr>
              <w:t>5</w:t>
            </w:r>
            <w:r w:rsidR="007D0CAD">
              <w:rPr>
                <w:noProof/>
                <w:webHidden/>
              </w:rPr>
              <w:fldChar w:fldCharType="end"/>
            </w:r>
          </w:hyperlink>
        </w:p>
        <w:p w14:paraId="2492E495" w14:textId="77777777" w:rsidR="007D0CAD" w:rsidRDefault="00000000">
          <w:pPr>
            <w:pStyle w:val="TOC2"/>
            <w:tabs>
              <w:tab w:val="right" w:leader="dot" w:pos="10456"/>
            </w:tabs>
            <w:rPr>
              <w:rFonts w:cstheme="minorBidi"/>
              <w:noProof/>
              <w:kern w:val="2"/>
              <w:sz w:val="24"/>
              <w:szCs w:val="24"/>
              <w14:ligatures w14:val="standardContextual"/>
            </w:rPr>
          </w:pPr>
          <w:hyperlink w:anchor="_Toc243600667" w:history="1">
            <w:r w:rsidR="007D0CAD">
              <w:rPr>
                <w:rStyle w:val="Hyperlink"/>
                <w:noProof/>
              </w:rPr>
              <w:t>4.1 Individual BER Curves</w:t>
            </w:r>
            <w:r w:rsidR="007D0CAD">
              <w:rPr>
                <w:noProof/>
                <w:webHidden/>
              </w:rPr>
              <w:tab/>
            </w:r>
            <w:r w:rsidR="007D0CAD">
              <w:rPr>
                <w:noProof/>
                <w:webHidden/>
              </w:rPr>
              <w:fldChar w:fldCharType="begin"/>
            </w:r>
            <w:r w:rsidR="007D0CAD">
              <w:rPr>
                <w:noProof/>
                <w:webHidden/>
              </w:rPr>
              <w:instrText xml:space="preserve"> PAGEREF _Toc243600667 \h </w:instrText>
            </w:r>
            <w:r w:rsidR="007D0CAD">
              <w:rPr>
                <w:noProof/>
                <w:webHidden/>
              </w:rPr>
            </w:r>
            <w:r w:rsidR="007D0CAD">
              <w:rPr>
                <w:noProof/>
                <w:webHidden/>
              </w:rPr>
              <w:fldChar w:fldCharType="separate"/>
            </w:r>
            <w:r w:rsidR="007D0CAD">
              <w:rPr>
                <w:noProof/>
                <w:webHidden/>
              </w:rPr>
              <w:t>5</w:t>
            </w:r>
            <w:r w:rsidR="007D0CAD">
              <w:rPr>
                <w:noProof/>
                <w:webHidden/>
              </w:rPr>
              <w:fldChar w:fldCharType="end"/>
            </w:r>
          </w:hyperlink>
        </w:p>
        <w:p w14:paraId="3257DF94" w14:textId="77777777" w:rsidR="007D0CAD" w:rsidRDefault="00000000">
          <w:pPr>
            <w:pStyle w:val="TOC2"/>
            <w:tabs>
              <w:tab w:val="right" w:leader="dot" w:pos="10456"/>
            </w:tabs>
            <w:rPr>
              <w:rFonts w:cstheme="minorBidi"/>
              <w:noProof/>
              <w:kern w:val="2"/>
              <w:sz w:val="24"/>
              <w:szCs w:val="24"/>
              <w14:ligatures w14:val="standardContextual"/>
            </w:rPr>
          </w:pPr>
          <w:hyperlink w:anchor="_Toc243600668" w:history="1">
            <w:r w:rsidR="007D0CAD">
              <w:rPr>
                <w:rStyle w:val="Hyperlink"/>
                <w:noProof/>
              </w:rPr>
              <w:t>4.2 Comparison of the Four Schemes</w:t>
            </w:r>
            <w:r w:rsidR="007D0CAD">
              <w:rPr>
                <w:noProof/>
                <w:webHidden/>
              </w:rPr>
              <w:tab/>
            </w:r>
            <w:r w:rsidR="007D0CAD">
              <w:rPr>
                <w:noProof/>
                <w:webHidden/>
              </w:rPr>
              <w:fldChar w:fldCharType="begin"/>
            </w:r>
            <w:r w:rsidR="007D0CAD">
              <w:rPr>
                <w:noProof/>
                <w:webHidden/>
              </w:rPr>
              <w:instrText xml:space="preserve"> PAGEREF _Toc243600668 \h </w:instrText>
            </w:r>
            <w:r w:rsidR="007D0CAD">
              <w:rPr>
                <w:noProof/>
                <w:webHidden/>
              </w:rPr>
            </w:r>
            <w:r w:rsidR="007D0CAD">
              <w:rPr>
                <w:noProof/>
                <w:webHidden/>
              </w:rPr>
              <w:fldChar w:fldCharType="separate"/>
            </w:r>
            <w:r w:rsidR="007D0CAD">
              <w:rPr>
                <w:noProof/>
                <w:webHidden/>
              </w:rPr>
              <w:t>7</w:t>
            </w:r>
            <w:r w:rsidR="007D0CAD">
              <w:rPr>
                <w:noProof/>
                <w:webHidden/>
              </w:rPr>
              <w:fldChar w:fldCharType="end"/>
            </w:r>
          </w:hyperlink>
        </w:p>
        <w:p w14:paraId="7028F420" w14:textId="77777777" w:rsidR="007D0CAD" w:rsidRDefault="00000000">
          <w:pPr>
            <w:pStyle w:val="TOC2"/>
            <w:tabs>
              <w:tab w:val="right" w:leader="dot" w:pos="10456"/>
            </w:tabs>
            <w:rPr>
              <w:rFonts w:cstheme="minorBidi"/>
              <w:noProof/>
              <w:kern w:val="2"/>
              <w:sz w:val="24"/>
              <w:szCs w:val="24"/>
              <w14:ligatures w14:val="standardContextual"/>
            </w:rPr>
          </w:pPr>
          <w:hyperlink w:anchor="_Toc243600669" w:history="1">
            <w:r w:rsidR="007D0CAD">
              <w:rPr>
                <w:rStyle w:val="Hyperlink"/>
                <w:noProof/>
              </w:rPr>
              <w:t>4.3 QPSK: Gray (Assignment Figure 2) versus Non-Gray (Assignment Figure 3) Mapping</w:t>
            </w:r>
            <w:r w:rsidR="007D0CAD">
              <w:rPr>
                <w:noProof/>
                <w:webHidden/>
              </w:rPr>
              <w:tab/>
            </w:r>
            <w:r w:rsidR="007D0CAD">
              <w:rPr>
                <w:noProof/>
                <w:webHidden/>
              </w:rPr>
              <w:fldChar w:fldCharType="begin"/>
            </w:r>
            <w:r w:rsidR="007D0CAD">
              <w:rPr>
                <w:noProof/>
                <w:webHidden/>
              </w:rPr>
              <w:instrText xml:space="preserve"> PAGEREF _Toc243600669 \h </w:instrText>
            </w:r>
            <w:r w:rsidR="007D0CAD">
              <w:rPr>
                <w:noProof/>
                <w:webHidden/>
              </w:rPr>
            </w:r>
            <w:r w:rsidR="007D0CAD">
              <w:rPr>
                <w:noProof/>
                <w:webHidden/>
              </w:rPr>
              <w:fldChar w:fldCharType="separate"/>
            </w:r>
            <w:r w:rsidR="007D0CAD">
              <w:rPr>
                <w:noProof/>
                <w:webHidden/>
              </w:rPr>
              <w:t>8</w:t>
            </w:r>
            <w:r w:rsidR="007D0CAD">
              <w:rPr>
                <w:noProof/>
                <w:webHidden/>
              </w:rPr>
              <w:fldChar w:fldCharType="end"/>
            </w:r>
          </w:hyperlink>
        </w:p>
        <w:p w14:paraId="6E2A54C7" w14:textId="77777777" w:rsidR="007D0CAD" w:rsidRDefault="00000000">
          <w:pPr>
            <w:pStyle w:val="TOC1"/>
            <w:tabs>
              <w:tab w:val="right" w:leader="dot" w:pos="10456"/>
            </w:tabs>
            <w:rPr>
              <w:rFonts w:cstheme="minorBidi"/>
              <w:noProof/>
              <w:kern w:val="2"/>
              <w:sz w:val="24"/>
              <w:szCs w:val="24"/>
              <w14:ligatures w14:val="standardContextual"/>
            </w:rPr>
          </w:pPr>
          <w:hyperlink w:anchor="_Toc243600670" w:history="1">
            <w:r w:rsidR="007D0CAD">
              <w:rPr>
                <w:rStyle w:val="Hyperlink"/>
                <w:noProof/>
              </w:rPr>
              <w:t>5. Results and Discussion: BFSK (Task 1.5)</w:t>
            </w:r>
            <w:r w:rsidR="007D0CAD">
              <w:rPr>
                <w:noProof/>
                <w:webHidden/>
              </w:rPr>
              <w:tab/>
            </w:r>
            <w:r w:rsidR="007D0CAD">
              <w:rPr>
                <w:noProof/>
                <w:webHidden/>
              </w:rPr>
              <w:fldChar w:fldCharType="begin"/>
            </w:r>
            <w:r w:rsidR="007D0CAD">
              <w:rPr>
                <w:noProof/>
                <w:webHidden/>
              </w:rPr>
              <w:instrText xml:space="preserve"> PAGEREF _Toc243600670 \h </w:instrText>
            </w:r>
            <w:r w:rsidR="007D0CAD">
              <w:rPr>
                <w:noProof/>
                <w:webHidden/>
              </w:rPr>
            </w:r>
            <w:r w:rsidR="007D0CAD">
              <w:rPr>
                <w:noProof/>
                <w:webHidden/>
              </w:rPr>
              <w:fldChar w:fldCharType="separate"/>
            </w:r>
            <w:r w:rsidR="007D0CAD">
              <w:rPr>
                <w:noProof/>
                <w:webHidden/>
              </w:rPr>
              <w:t>8</w:t>
            </w:r>
            <w:r w:rsidR="007D0CAD">
              <w:rPr>
                <w:noProof/>
                <w:webHidden/>
              </w:rPr>
              <w:fldChar w:fldCharType="end"/>
            </w:r>
          </w:hyperlink>
        </w:p>
        <w:p w14:paraId="69033886" w14:textId="77777777" w:rsidR="007D0CAD" w:rsidRDefault="00000000">
          <w:pPr>
            <w:pStyle w:val="TOC2"/>
            <w:tabs>
              <w:tab w:val="right" w:leader="dot" w:pos="10456"/>
            </w:tabs>
            <w:rPr>
              <w:rFonts w:cstheme="minorBidi"/>
              <w:noProof/>
              <w:kern w:val="2"/>
              <w:sz w:val="24"/>
              <w:szCs w:val="24"/>
              <w14:ligatures w14:val="standardContextual"/>
            </w:rPr>
          </w:pPr>
          <w:hyperlink w:anchor="_Toc243600671" w:history="1">
            <w:r w:rsidR="007D0CAD">
              <w:rPr>
                <w:rStyle w:val="Hyperlink"/>
                <w:noProof/>
              </w:rPr>
              <w:t>5.1 Basis Functions</w:t>
            </w:r>
            <w:r w:rsidR="007D0CAD">
              <w:rPr>
                <w:noProof/>
                <w:webHidden/>
              </w:rPr>
              <w:tab/>
            </w:r>
            <w:r w:rsidR="007D0CAD">
              <w:rPr>
                <w:noProof/>
                <w:webHidden/>
              </w:rPr>
              <w:fldChar w:fldCharType="begin"/>
            </w:r>
            <w:r w:rsidR="007D0CAD">
              <w:rPr>
                <w:noProof/>
                <w:webHidden/>
              </w:rPr>
              <w:instrText xml:space="preserve"> PAGEREF _Toc243600671 \h </w:instrText>
            </w:r>
            <w:r w:rsidR="007D0CAD">
              <w:rPr>
                <w:noProof/>
                <w:webHidden/>
              </w:rPr>
            </w:r>
            <w:r w:rsidR="007D0CAD">
              <w:rPr>
                <w:noProof/>
                <w:webHidden/>
              </w:rPr>
              <w:fldChar w:fldCharType="separate"/>
            </w:r>
            <w:r w:rsidR="007D0CAD">
              <w:rPr>
                <w:noProof/>
                <w:webHidden/>
              </w:rPr>
              <w:t>8</w:t>
            </w:r>
            <w:r w:rsidR="007D0CAD">
              <w:rPr>
                <w:noProof/>
                <w:webHidden/>
              </w:rPr>
              <w:fldChar w:fldCharType="end"/>
            </w:r>
          </w:hyperlink>
        </w:p>
        <w:p w14:paraId="3B9C4B9D" w14:textId="77777777" w:rsidR="007D0CAD" w:rsidRDefault="00000000">
          <w:pPr>
            <w:pStyle w:val="TOC2"/>
            <w:tabs>
              <w:tab w:val="right" w:leader="dot" w:pos="10456"/>
            </w:tabs>
            <w:rPr>
              <w:rFonts w:cstheme="minorBidi"/>
              <w:noProof/>
              <w:kern w:val="2"/>
              <w:sz w:val="24"/>
              <w:szCs w:val="24"/>
              <w14:ligatures w14:val="standardContextual"/>
            </w:rPr>
          </w:pPr>
          <w:hyperlink w:anchor="_Toc243600672" w:history="1">
            <w:r w:rsidR="007D0CAD">
              <w:rPr>
                <w:rStyle w:val="Hyperlink"/>
                <w:noProof/>
              </w:rPr>
              <w:t>5.2 Baseband-Equivalent Signals and Carrier Frequency</w:t>
            </w:r>
            <w:r w:rsidR="007D0CAD">
              <w:rPr>
                <w:noProof/>
                <w:webHidden/>
              </w:rPr>
              <w:tab/>
            </w:r>
            <w:r w:rsidR="007D0CAD">
              <w:rPr>
                <w:noProof/>
                <w:webHidden/>
              </w:rPr>
              <w:fldChar w:fldCharType="begin"/>
            </w:r>
            <w:r w:rsidR="007D0CAD">
              <w:rPr>
                <w:noProof/>
                <w:webHidden/>
              </w:rPr>
              <w:instrText xml:space="preserve"> PAGEREF _Toc243600672 \h </w:instrText>
            </w:r>
            <w:r w:rsidR="007D0CAD">
              <w:rPr>
                <w:noProof/>
                <w:webHidden/>
              </w:rPr>
            </w:r>
            <w:r w:rsidR="007D0CAD">
              <w:rPr>
                <w:noProof/>
                <w:webHidden/>
              </w:rPr>
              <w:fldChar w:fldCharType="separate"/>
            </w:r>
            <w:r w:rsidR="007D0CAD">
              <w:rPr>
                <w:noProof/>
                <w:webHidden/>
              </w:rPr>
              <w:t>9</w:t>
            </w:r>
            <w:r w:rsidR="007D0CAD">
              <w:rPr>
                <w:noProof/>
                <w:webHidden/>
              </w:rPr>
              <w:fldChar w:fldCharType="end"/>
            </w:r>
          </w:hyperlink>
        </w:p>
        <w:p w14:paraId="760DA531" w14:textId="77777777" w:rsidR="007D0CAD" w:rsidRDefault="00000000">
          <w:pPr>
            <w:pStyle w:val="TOC2"/>
            <w:tabs>
              <w:tab w:val="right" w:leader="dot" w:pos="10456"/>
            </w:tabs>
            <w:rPr>
              <w:rFonts w:cstheme="minorBidi"/>
              <w:noProof/>
              <w:kern w:val="2"/>
              <w:sz w:val="24"/>
              <w:szCs w:val="24"/>
              <w14:ligatures w14:val="standardContextual"/>
            </w:rPr>
          </w:pPr>
          <w:hyperlink w:anchor="_Toc243600673" w:history="1">
            <w:r w:rsidR="007D0CAD">
              <w:rPr>
                <w:rStyle w:val="Hyperlink"/>
                <w:noProof/>
              </w:rPr>
              <w:t>5.3 BER of BFSK</w:t>
            </w:r>
            <w:r w:rsidR="007D0CAD">
              <w:rPr>
                <w:noProof/>
                <w:webHidden/>
              </w:rPr>
              <w:tab/>
            </w:r>
            <w:r w:rsidR="007D0CAD">
              <w:rPr>
                <w:noProof/>
                <w:webHidden/>
              </w:rPr>
              <w:fldChar w:fldCharType="begin"/>
            </w:r>
            <w:r w:rsidR="007D0CAD">
              <w:rPr>
                <w:noProof/>
                <w:webHidden/>
              </w:rPr>
              <w:instrText xml:space="preserve"> PAGEREF _Toc243600673 \h </w:instrText>
            </w:r>
            <w:r w:rsidR="007D0CAD">
              <w:rPr>
                <w:noProof/>
                <w:webHidden/>
              </w:rPr>
            </w:r>
            <w:r w:rsidR="007D0CAD">
              <w:rPr>
                <w:noProof/>
                <w:webHidden/>
              </w:rPr>
              <w:fldChar w:fldCharType="separate"/>
            </w:r>
            <w:r w:rsidR="007D0CAD">
              <w:rPr>
                <w:noProof/>
                <w:webHidden/>
              </w:rPr>
              <w:t>9</w:t>
            </w:r>
            <w:r w:rsidR="007D0CAD">
              <w:rPr>
                <w:noProof/>
                <w:webHidden/>
              </w:rPr>
              <w:fldChar w:fldCharType="end"/>
            </w:r>
          </w:hyperlink>
        </w:p>
        <w:p w14:paraId="04873CDE" w14:textId="77777777" w:rsidR="007D0CAD" w:rsidRDefault="00000000">
          <w:pPr>
            <w:pStyle w:val="TOC2"/>
            <w:tabs>
              <w:tab w:val="right" w:leader="dot" w:pos="10456"/>
            </w:tabs>
            <w:rPr>
              <w:rFonts w:cstheme="minorBidi"/>
              <w:noProof/>
              <w:kern w:val="2"/>
              <w:sz w:val="24"/>
              <w:szCs w:val="24"/>
              <w14:ligatures w14:val="standardContextual"/>
            </w:rPr>
          </w:pPr>
          <w:hyperlink w:anchor="_Toc243600674" w:history="1">
            <w:r w:rsidR="007D0CAD">
              <w:rPr>
                <w:rStyle w:val="Hyperlink"/>
                <w:noProof/>
              </w:rPr>
              <w:t>5.4 Power Spectral Density of the Baseband-Equivalent Signal</w:t>
            </w:r>
            <w:r w:rsidR="007D0CAD">
              <w:rPr>
                <w:noProof/>
                <w:webHidden/>
              </w:rPr>
              <w:tab/>
            </w:r>
            <w:r w:rsidR="007D0CAD">
              <w:rPr>
                <w:noProof/>
                <w:webHidden/>
              </w:rPr>
              <w:fldChar w:fldCharType="begin"/>
            </w:r>
            <w:r w:rsidR="007D0CAD">
              <w:rPr>
                <w:noProof/>
                <w:webHidden/>
              </w:rPr>
              <w:instrText xml:space="preserve"> PAGEREF _Toc243600674 \h </w:instrText>
            </w:r>
            <w:r w:rsidR="007D0CAD">
              <w:rPr>
                <w:noProof/>
                <w:webHidden/>
              </w:rPr>
            </w:r>
            <w:r w:rsidR="007D0CAD">
              <w:rPr>
                <w:noProof/>
                <w:webHidden/>
              </w:rPr>
              <w:fldChar w:fldCharType="separate"/>
            </w:r>
            <w:r w:rsidR="007D0CAD">
              <w:rPr>
                <w:noProof/>
                <w:webHidden/>
              </w:rPr>
              <w:t>10</w:t>
            </w:r>
            <w:r w:rsidR="007D0CAD">
              <w:rPr>
                <w:noProof/>
                <w:webHidden/>
              </w:rPr>
              <w:fldChar w:fldCharType="end"/>
            </w:r>
          </w:hyperlink>
        </w:p>
        <w:p w14:paraId="5336D20F" w14:textId="77777777" w:rsidR="007D0CAD" w:rsidRDefault="00000000">
          <w:pPr>
            <w:pStyle w:val="TOC1"/>
            <w:tabs>
              <w:tab w:val="right" w:leader="dot" w:pos="10456"/>
            </w:tabs>
            <w:rPr>
              <w:rFonts w:cstheme="minorBidi"/>
              <w:noProof/>
              <w:kern w:val="2"/>
              <w:sz w:val="24"/>
              <w:szCs w:val="24"/>
              <w14:ligatures w14:val="standardContextual"/>
            </w:rPr>
          </w:pPr>
          <w:hyperlink w:anchor="_Toc243600675" w:history="1">
            <w:r w:rsidR="007D0CAD">
              <w:rPr>
                <w:rStyle w:val="Hyperlink"/>
                <w:noProof/>
              </w:rPr>
              <w:t>6. Conclusions</w:t>
            </w:r>
            <w:r w:rsidR="007D0CAD">
              <w:rPr>
                <w:noProof/>
                <w:webHidden/>
              </w:rPr>
              <w:tab/>
            </w:r>
            <w:r w:rsidR="007D0CAD">
              <w:rPr>
                <w:noProof/>
                <w:webHidden/>
              </w:rPr>
              <w:fldChar w:fldCharType="begin"/>
            </w:r>
            <w:r w:rsidR="007D0CAD">
              <w:rPr>
                <w:noProof/>
                <w:webHidden/>
              </w:rPr>
              <w:instrText xml:space="preserve"> PAGEREF _Toc243600675 \h </w:instrText>
            </w:r>
            <w:r w:rsidR="007D0CAD">
              <w:rPr>
                <w:noProof/>
                <w:webHidden/>
              </w:rPr>
            </w:r>
            <w:r w:rsidR="007D0CAD">
              <w:rPr>
                <w:noProof/>
                <w:webHidden/>
              </w:rPr>
              <w:fldChar w:fldCharType="separate"/>
            </w:r>
            <w:r w:rsidR="007D0CAD">
              <w:rPr>
                <w:noProof/>
                <w:webHidden/>
              </w:rPr>
              <w:t>11</w:t>
            </w:r>
            <w:r w:rsidR="007D0CAD">
              <w:rPr>
                <w:noProof/>
                <w:webHidden/>
              </w:rPr>
              <w:fldChar w:fldCharType="end"/>
            </w:r>
          </w:hyperlink>
        </w:p>
        <w:p w14:paraId="7925793D" w14:textId="77777777" w:rsidR="007D0CAD" w:rsidRDefault="007D0CAD">
          <w:r>
            <w:rPr>
              <w:b/>
              <w:bCs/>
              <w:noProof/>
            </w:rPr>
            <w:fldChar w:fldCharType="end"/>
          </w:r>
        </w:p>
      </w:sdtContent>
    </w:sdt>
    <w:p w14:paraId="2DA919AA" w14:textId="77777777" w:rsidR="007121D9" w:rsidRPr="00542BA2" w:rsidRDefault="00542BA2" w:rsidP="00C352A4">
      <w:pPr>
        <w:rPr>
          <w:b/>
          <w:bCs/>
          <w:sz w:val="28"/>
          <w:szCs w:val="28"/>
        </w:rPr>
      </w:pPr>
      <w:r>
        <w:rPr>
          <w:b/>
          <w:bCs/>
          <w:sz w:val="28"/>
          <w:szCs w:val="28"/>
        </w:rPr>
        <w:br w:type="page"/>
      </w:r>
    </w:p>
    <w:p w14:paraId="4B4A5604" w14:textId="77777777" w:rsidR="007121D9" w:rsidRDefault="00000000">
      <w:pPr>
        <w:pStyle w:val="Heading1"/>
      </w:pPr>
      <w:bookmarkStart w:id="0" w:name="_Toc243600660"/>
      <w:r>
        <w:lastRenderedPageBreak/>
        <w:t>1. Objective and Scope</w:t>
      </w:r>
      <w:bookmarkEnd w:id="0"/>
    </w:p>
    <w:p w14:paraId="7DD2A753" w14:textId="77777777" w:rsidR="007121D9" w:rsidRDefault="00000000">
      <w:pPr>
        <w:spacing w:after="120" w:line="276" w:lineRule="auto"/>
        <w:jc w:val="both"/>
      </w:pPr>
      <w:r>
        <w:t xml:space="preserve">This part of the project introduces the simulation of single-carrier digital communication systems. A random bit stream is mapped to symbols, transmitted over an additive white Gaussian noise (AWGN) channel, demapped, and compared with the transmitted bits to estimate the bit-error rate (BER) as a function of </w:t>
      </w:r>
      <w:r>
        <w:rPr>
          <w:i/>
          <w:iCs/>
        </w:rPr>
        <w:t>E</w:t>
      </w:r>
      <w:r>
        <w:rPr>
          <w:vertAlign w:val="subscript"/>
        </w:rPr>
        <w:t>b</w:t>
      </w:r>
      <w:r>
        <w:t>/</w:t>
      </w:r>
      <w:r>
        <w:rPr>
          <w:i/>
          <w:iCs/>
        </w:rPr>
        <w:t>N</w:t>
      </w:r>
      <w:r>
        <w:rPr>
          <w:vertAlign w:val="subscript"/>
        </w:rPr>
        <w:t>0</w:t>
      </w:r>
      <w:r>
        <w:t xml:space="preserve">. All simulations use the </w:t>
      </w:r>
      <w:r>
        <w:rPr>
          <w:b/>
          <w:bCs/>
        </w:rPr>
        <w:t>baseband-equivalent</w:t>
      </w:r>
      <w:r>
        <w:t xml:space="preserve"> system, with no carriers.</w:t>
      </w:r>
    </w:p>
    <w:p w14:paraId="156A0D1F" w14:textId="77777777" w:rsidR="007121D9" w:rsidRDefault="00000000">
      <w:pPr>
        <w:spacing w:after="120" w:line="276" w:lineRule="auto"/>
        <w:jc w:val="both"/>
      </w:pPr>
      <w:r>
        <w:t>The report covers the two tasks of the assignment:</w:t>
      </w:r>
    </w:p>
    <w:p w14:paraId="20861C61" w14:textId="77777777" w:rsidR="007121D9" w:rsidRDefault="00000000">
      <w:pPr>
        <w:pStyle w:val="ListParagraph"/>
        <w:numPr>
          <w:ilvl w:val="0"/>
          <w:numId w:val="2"/>
        </w:numPr>
        <w:spacing w:after="80" w:line="276" w:lineRule="auto"/>
        <w:jc w:val="both"/>
      </w:pPr>
      <w:r>
        <w:rPr>
          <w:b/>
          <w:bCs/>
        </w:rPr>
        <w:t>Task 1.4:</w:t>
      </w:r>
      <w:r>
        <w:t xml:space="preserve"> BER versus </w:t>
      </w:r>
      <w:r>
        <w:rPr>
          <w:i/>
          <w:iCs/>
        </w:rPr>
        <w:t>E</w:t>
      </w:r>
      <w:r>
        <w:rPr>
          <w:vertAlign w:val="subscript"/>
        </w:rPr>
        <w:t>b</w:t>
      </w:r>
      <w:r>
        <w:t>/</w:t>
      </w:r>
      <w:r>
        <w:rPr>
          <w:i/>
          <w:iCs/>
        </w:rPr>
        <w:t>N</w:t>
      </w:r>
      <w:r>
        <w:rPr>
          <w:vertAlign w:val="subscript"/>
        </w:rPr>
        <w:t>0</w:t>
      </w:r>
      <w:r>
        <w:t xml:space="preserve"> for BPSK, QPSK, 8PSK and 16-QAM, each with its theoretical BER (or a tight bound) on the same graph, and a comparison of the two QPSK bit mappings (Figure 2 and Figure 3 of the assignment).</w:t>
      </w:r>
    </w:p>
    <w:p w14:paraId="53FB7EF8" w14:textId="77777777" w:rsidR="007121D9" w:rsidRDefault="00000000">
      <w:pPr>
        <w:pStyle w:val="ListParagraph"/>
        <w:numPr>
          <w:ilvl w:val="0"/>
          <w:numId w:val="2"/>
        </w:numPr>
        <w:spacing w:after="80" w:line="276" w:lineRule="auto"/>
        <w:jc w:val="both"/>
      </w:pPr>
      <w:r>
        <w:rPr>
          <w:b/>
          <w:bCs/>
        </w:rPr>
        <w:t>Task 1.5:</w:t>
      </w:r>
      <w:r>
        <w:t xml:space="preserve"> BFSK: basis functions, baseband-equivalent signals and carrier frequency, simulated and theoretical BER, and the power spectral density (PSD) of the baseband-equivalent signal set.</w:t>
      </w:r>
    </w:p>
    <w:p w14:paraId="7242BFBD" w14:textId="77777777" w:rsidR="007121D9" w:rsidRDefault="00000000">
      <w:pPr>
        <w:spacing w:after="120" w:line="276" w:lineRule="auto"/>
        <w:jc w:val="both"/>
      </w:pPr>
      <w:r>
        <w:t>The MATLAB code, figures and this report are in the project repository (part1-awgn folder).</w:t>
      </w:r>
    </w:p>
    <w:p w14:paraId="05C2B917" w14:textId="77777777" w:rsidR="007121D9" w:rsidRDefault="00000000">
      <w:pPr>
        <w:pStyle w:val="Heading1"/>
      </w:pPr>
      <w:bookmarkStart w:id="1" w:name="_Toc243600661"/>
      <w:r>
        <w:t>2. System Model and Simulation Method</w:t>
      </w:r>
      <w:bookmarkEnd w:id="1"/>
    </w:p>
    <w:p w14:paraId="1A434B8C" w14:textId="77777777" w:rsidR="007121D9" w:rsidRDefault="00000000">
      <w:pPr>
        <w:spacing w:after="120" w:line="276" w:lineRule="auto"/>
        <w:jc w:val="both"/>
      </w:pPr>
      <w:r>
        <w:t>The chain is Data bits → Mapper → AWGN channel → Demapper → BER calculator. The same random bit stream is used for every modulation scheme, so differences between curves come from the scheme and not from the data.</w:t>
      </w:r>
    </w:p>
    <w:p w14:paraId="22B6096F" w14:textId="77777777" w:rsidR="007121D9" w:rsidRDefault="00000000">
      <w:pPr>
        <w:pStyle w:val="Heading2"/>
      </w:pPr>
      <w:bookmarkStart w:id="2" w:name="_Toc243600662"/>
      <w:r>
        <w:t>2.1 Mapper</w:t>
      </w:r>
      <w:bookmarkEnd w:id="2"/>
    </w:p>
    <w:p w14:paraId="3C94BD6B" w14:textId="77777777" w:rsidR="007121D9" w:rsidRDefault="00000000">
      <w:pPr>
        <w:spacing w:after="120" w:line="276" w:lineRule="auto"/>
        <w:jc w:val="both"/>
      </w:pPr>
      <w:r>
        <w:t xml:space="preserve">Each mapper produces unit-grid baseband symbols following the constellations of the assignment (Figure 2 of the assignment). The energy per symbol </w:t>
      </w:r>
      <w:r>
        <w:rPr>
          <w:i/>
          <w:iCs/>
        </w:rPr>
        <w:t>E</w:t>
      </w:r>
      <w:r>
        <w:rPr>
          <w:vertAlign w:val="subscript"/>
        </w:rPr>
        <w:t>s</w:t>
      </w:r>
      <w:r>
        <w:t xml:space="preserve"> and the energy per bit </w:t>
      </w:r>
      <w:r>
        <w:rPr>
          <w:i/>
          <w:iCs/>
        </w:rPr>
        <w:t>E</w:t>
      </w:r>
      <w:r>
        <w:rPr>
          <w:vertAlign w:val="subscript"/>
        </w:rPr>
        <w:t>b</w:t>
      </w:r>
      <w:r>
        <w:t xml:space="preserve"> = </w:t>
      </w:r>
      <w:r>
        <w:rPr>
          <w:i/>
          <w:iCs/>
        </w:rPr>
        <w:t>E</w:t>
      </w:r>
      <w:r>
        <w:rPr>
          <w:vertAlign w:val="subscript"/>
        </w:rPr>
        <w:t>s</w:t>
      </w:r>
      <w:r>
        <w:t>/log₂M that result from these mappings are listed below.</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3000"/>
        <w:gridCol w:w="900"/>
        <w:gridCol w:w="900"/>
        <w:gridCol w:w="2526"/>
      </w:tblGrid>
      <w:tr w:rsidR="007121D9" w14:paraId="3C107DA0" w14:textId="77777777">
        <w:trPr>
          <w:tblHeader/>
        </w:trPr>
        <w:tc>
          <w:tcPr>
            <w:tcW w:w="1700" w:type="dxa"/>
            <w:tcBorders>
              <w:top w:val="single" w:sz="4" w:space="0" w:color="999999"/>
              <w:left w:val="single" w:sz="4" w:space="0" w:color="999999"/>
              <w:bottom w:val="single" w:sz="4" w:space="0" w:color="999999"/>
              <w:right w:val="single" w:sz="4" w:space="0" w:color="999999"/>
            </w:tcBorders>
            <w:shd w:val="clear" w:color="auto" w:fill="D9E2F3"/>
            <w:tcMar>
              <w:top w:w="40" w:type="dxa"/>
              <w:left w:w="100" w:type="dxa"/>
              <w:bottom w:w="40" w:type="dxa"/>
              <w:right w:w="100" w:type="dxa"/>
            </w:tcMar>
            <w:vAlign w:val="center"/>
          </w:tcPr>
          <w:p w14:paraId="31338066" w14:textId="77777777" w:rsidR="007121D9" w:rsidRDefault="00000000">
            <w:pPr>
              <w:spacing w:before="40" w:after="40"/>
              <w:jc w:val="center"/>
            </w:pPr>
            <w:r>
              <w:rPr>
                <w:b/>
                <w:bCs/>
                <w:sz w:val="20"/>
                <w:szCs w:val="20"/>
              </w:rPr>
              <w:t>Scheme</w:t>
            </w:r>
          </w:p>
        </w:tc>
        <w:tc>
          <w:tcPr>
            <w:tcW w:w="3000" w:type="dxa"/>
            <w:tcBorders>
              <w:top w:val="single" w:sz="4" w:space="0" w:color="999999"/>
              <w:left w:val="single" w:sz="4" w:space="0" w:color="999999"/>
              <w:bottom w:val="single" w:sz="4" w:space="0" w:color="999999"/>
              <w:right w:val="single" w:sz="4" w:space="0" w:color="999999"/>
            </w:tcBorders>
            <w:shd w:val="clear" w:color="auto" w:fill="D9E2F3"/>
            <w:tcMar>
              <w:top w:w="40" w:type="dxa"/>
              <w:left w:w="100" w:type="dxa"/>
              <w:bottom w:w="40" w:type="dxa"/>
              <w:right w:w="100" w:type="dxa"/>
            </w:tcMar>
            <w:vAlign w:val="center"/>
          </w:tcPr>
          <w:p w14:paraId="1FD18A52" w14:textId="77777777" w:rsidR="007121D9" w:rsidRDefault="00000000">
            <w:pPr>
              <w:spacing w:before="40" w:after="40"/>
              <w:jc w:val="center"/>
            </w:pPr>
            <w:r>
              <w:rPr>
                <w:b/>
                <w:bCs/>
                <w:sz w:val="20"/>
                <w:szCs w:val="20"/>
              </w:rPr>
              <w:t>Mapping</w:t>
            </w:r>
          </w:p>
        </w:tc>
        <w:tc>
          <w:tcPr>
            <w:tcW w:w="900" w:type="dxa"/>
            <w:tcBorders>
              <w:top w:val="single" w:sz="4" w:space="0" w:color="999999"/>
              <w:left w:val="single" w:sz="4" w:space="0" w:color="999999"/>
              <w:bottom w:val="single" w:sz="4" w:space="0" w:color="999999"/>
              <w:right w:val="single" w:sz="4" w:space="0" w:color="999999"/>
            </w:tcBorders>
            <w:shd w:val="clear" w:color="auto" w:fill="D9E2F3"/>
            <w:tcMar>
              <w:top w:w="40" w:type="dxa"/>
              <w:left w:w="100" w:type="dxa"/>
              <w:bottom w:w="40" w:type="dxa"/>
              <w:right w:w="100" w:type="dxa"/>
            </w:tcMar>
            <w:vAlign w:val="center"/>
          </w:tcPr>
          <w:p w14:paraId="44B42748" w14:textId="77777777" w:rsidR="007121D9" w:rsidRDefault="00000000">
            <w:pPr>
              <w:spacing w:before="40" w:after="40"/>
              <w:jc w:val="center"/>
            </w:pPr>
            <w:r>
              <w:rPr>
                <w:b/>
                <w:bCs/>
                <w:i/>
                <w:iCs/>
                <w:sz w:val="20"/>
                <w:szCs w:val="20"/>
              </w:rPr>
              <w:t>E</w:t>
            </w:r>
            <w:r>
              <w:rPr>
                <w:b/>
                <w:bCs/>
                <w:sz w:val="20"/>
                <w:szCs w:val="20"/>
                <w:vertAlign w:val="subscript"/>
              </w:rPr>
              <w:t>s</w:t>
            </w:r>
          </w:p>
        </w:tc>
        <w:tc>
          <w:tcPr>
            <w:tcW w:w="900" w:type="dxa"/>
            <w:tcBorders>
              <w:top w:val="single" w:sz="4" w:space="0" w:color="999999"/>
              <w:left w:val="single" w:sz="4" w:space="0" w:color="999999"/>
              <w:bottom w:val="single" w:sz="4" w:space="0" w:color="999999"/>
              <w:right w:val="single" w:sz="4" w:space="0" w:color="999999"/>
            </w:tcBorders>
            <w:shd w:val="clear" w:color="auto" w:fill="D9E2F3"/>
            <w:tcMar>
              <w:top w:w="40" w:type="dxa"/>
              <w:left w:w="100" w:type="dxa"/>
              <w:bottom w:w="40" w:type="dxa"/>
              <w:right w:w="100" w:type="dxa"/>
            </w:tcMar>
            <w:vAlign w:val="center"/>
          </w:tcPr>
          <w:p w14:paraId="4E53D789" w14:textId="77777777" w:rsidR="007121D9" w:rsidRDefault="00000000">
            <w:pPr>
              <w:spacing w:before="40" w:after="40"/>
              <w:jc w:val="center"/>
            </w:pPr>
            <w:r>
              <w:rPr>
                <w:b/>
                <w:bCs/>
                <w:i/>
                <w:iCs/>
                <w:sz w:val="20"/>
                <w:szCs w:val="20"/>
              </w:rPr>
              <w:t>E</w:t>
            </w:r>
            <w:r>
              <w:rPr>
                <w:b/>
                <w:bCs/>
                <w:sz w:val="20"/>
                <w:szCs w:val="20"/>
                <w:vertAlign w:val="subscript"/>
              </w:rPr>
              <w:t>b</w:t>
            </w:r>
          </w:p>
        </w:tc>
        <w:tc>
          <w:tcPr>
            <w:tcW w:w="2526" w:type="dxa"/>
            <w:tcBorders>
              <w:top w:val="single" w:sz="4" w:space="0" w:color="999999"/>
              <w:left w:val="single" w:sz="4" w:space="0" w:color="999999"/>
              <w:bottom w:val="single" w:sz="4" w:space="0" w:color="999999"/>
              <w:right w:val="single" w:sz="4" w:space="0" w:color="999999"/>
            </w:tcBorders>
            <w:shd w:val="clear" w:color="auto" w:fill="D9E2F3"/>
            <w:tcMar>
              <w:top w:w="40" w:type="dxa"/>
              <w:left w:w="100" w:type="dxa"/>
              <w:bottom w:w="40" w:type="dxa"/>
              <w:right w:w="100" w:type="dxa"/>
            </w:tcMar>
            <w:vAlign w:val="center"/>
          </w:tcPr>
          <w:p w14:paraId="01808F92" w14:textId="77777777" w:rsidR="007121D9" w:rsidRDefault="00000000">
            <w:pPr>
              <w:spacing w:before="40" w:after="40"/>
              <w:jc w:val="center"/>
            </w:pPr>
            <w:r>
              <w:rPr>
                <w:b/>
                <w:bCs/>
                <w:sz w:val="20"/>
                <w:szCs w:val="20"/>
              </w:rPr>
              <w:t>Demapper (ML decision)</w:t>
            </w:r>
          </w:p>
        </w:tc>
      </w:tr>
      <w:tr w:rsidR="007121D9" w14:paraId="0E8D2735" w14:textId="77777777">
        <w:tc>
          <w:tcPr>
            <w:tcW w:w="1700" w:type="dxa"/>
            <w:tcBorders>
              <w:top w:val="single" w:sz="4" w:space="0" w:color="999999"/>
              <w:left w:val="single" w:sz="4" w:space="0" w:color="999999"/>
              <w:bottom w:val="single" w:sz="4" w:space="0" w:color="999999"/>
              <w:right w:val="single" w:sz="4" w:space="0" w:color="999999"/>
            </w:tcBorders>
            <w:tcMar>
              <w:top w:w="40" w:type="dxa"/>
              <w:left w:w="100" w:type="dxa"/>
              <w:bottom w:w="40" w:type="dxa"/>
              <w:right w:w="100" w:type="dxa"/>
            </w:tcMar>
            <w:vAlign w:val="center"/>
          </w:tcPr>
          <w:p w14:paraId="5FB035B2" w14:textId="77777777" w:rsidR="007121D9" w:rsidRDefault="00000000">
            <w:pPr>
              <w:spacing w:before="40" w:after="40"/>
            </w:pPr>
            <w:r>
              <w:rPr>
                <w:sz w:val="20"/>
                <w:szCs w:val="20"/>
              </w:rPr>
              <w:t>BPSK</w:t>
            </w:r>
          </w:p>
        </w:tc>
        <w:tc>
          <w:tcPr>
            <w:tcW w:w="3000" w:type="dxa"/>
            <w:tcBorders>
              <w:top w:val="single" w:sz="4" w:space="0" w:color="999999"/>
              <w:left w:val="single" w:sz="4" w:space="0" w:color="999999"/>
              <w:bottom w:val="single" w:sz="4" w:space="0" w:color="999999"/>
              <w:right w:val="single" w:sz="4" w:space="0" w:color="999999"/>
            </w:tcBorders>
            <w:tcMar>
              <w:top w:w="40" w:type="dxa"/>
              <w:left w:w="100" w:type="dxa"/>
              <w:bottom w:w="40" w:type="dxa"/>
              <w:right w:w="100" w:type="dxa"/>
            </w:tcMar>
            <w:vAlign w:val="center"/>
          </w:tcPr>
          <w:p w14:paraId="0608D96A" w14:textId="77777777" w:rsidR="007121D9" w:rsidRDefault="00000000">
            <w:pPr>
              <w:spacing w:before="40" w:after="40"/>
            </w:pPr>
            <w:r>
              <w:rPr>
                <w:sz w:val="20"/>
                <w:szCs w:val="20"/>
              </w:rPr>
              <w:t>0 → −1, 1 → +1</w:t>
            </w:r>
          </w:p>
        </w:tc>
        <w:tc>
          <w:tcPr>
            <w:tcW w:w="900" w:type="dxa"/>
            <w:tcBorders>
              <w:top w:val="single" w:sz="4" w:space="0" w:color="999999"/>
              <w:left w:val="single" w:sz="4" w:space="0" w:color="999999"/>
              <w:bottom w:val="single" w:sz="4" w:space="0" w:color="999999"/>
              <w:right w:val="single" w:sz="4" w:space="0" w:color="999999"/>
            </w:tcBorders>
            <w:tcMar>
              <w:top w:w="40" w:type="dxa"/>
              <w:left w:w="100" w:type="dxa"/>
              <w:bottom w:w="40" w:type="dxa"/>
              <w:right w:w="100" w:type="dxa"/>
            </w:tcMar>
            <w:vAlign w:val="center"/>
          </w:tcPr>
          <w:p w14:paraId="1C8972A1" w14:textId="77777777" w:rsidR="007121D9" w:rsidRDefault="00000000">
            <w:pPr>
              <w:spacing w:before="40" w:after="40"/>
              <w:jc w:val="center"/>
            </w:pPr>
            <w:r>
              <w:rPr>
                <w:sz w:val="20"/>
                <w:szCs w:val="20"/>
              </w:rPr>
              <w:t>1</w:t>
            </w:r>
          </w:p>
        </w:tc>
        <w:tc>
          <w:tcPr>
            <w:tcW w:w="900" w:type="dxa"/>
            <w:tcBorders>
              <w:top w:val="single" w:sz="4" w:space="0" w:color="999999"/>
              <w:left w:val="single" w:sz="4" w:space="0" w:color="999999"/>
              <w:bottom w:val="single" w:sz="4" w:space="0" w:color="999999"/>
              <w:right w:val="single" w:sz="4" w:space="0" w:color="999999"/>
            </w:tcBorders>
            <w:tcMar>
              <w:top w:w="40" w:type="dxa"/>
              <w:left w:w="100" w:type="dxa"/>
              <w:bottom w:w="40" w:type="dxa"/>
              <w:right w:w="100" w:type="dxa"/>
            </w:tcMar>
            <w:vAlign w:val="center"/>
          </w:tcPr>
          <w:p w14:paraId="5FFF4A07" w14:textId="77777777" w:rsidR="007121D9" w:rsidRDefault="00000000">
            <w:pPr>
              <w:spacing w:before="40" w:after="40"/>
              <w:jc w:val="center"/>
            </w:pPr>
            <w:r>
              <w:rPr>
                <w:sz w:val="20"/>
                <w:szCs w:val="20"/>
              </w:rPr>
              <w:t>1</w:t>
            </w:r>
          </w:p>
        </w:tc>
        <w:tc>
          <w:tcPr>
            <w:tcW w:w="2526" w:type="dxa"/>
            <w:tcBorders>
              <w:top w:val="single" w:sz="4" w:space="0" w:color="999999"/>
              <w:left w:val="single" w:sz="4" w:space="0" w:color="999999"/>
              <w:bottom w:val="single" w:sz="4" w:space="0" w:color="999999"/>
              <w:right w:val="single" w:sz="4" w:space="0" w:color="999999"/>
            </w:tcBorders>
            <w:tcMar>
              <w:top w:w="40" w:type="dxa"/>
              <w:left w:w="100" w:type="dxa"/>
              <w:bottom w:w="40" w:type="dxa"/>
              <w:right w:w="100" w:type="dxa"/>
            </w:tcMar>
            <w:vAlign w:val="center"/>
          </w:tcPr>
          <w:p w14:paraId="5FC7C994" w14:textId="77777777" w:rsidR="007121D9" w:rsidRDefault="00000000">
            <w:pPr>
              <w:spacing w:before="40" w:after="40"/>
            </w:pPr>
            <w:r>
              <w:rPr>
                <w:sz w:val="20"/>
                <w:szCs w:val="20"/>
              </w:rPr>
              <w:t>Sign of received sample</w:t>
            </w:r>
          </w:p>
        </w:tc>
      </w:tr>
      <w:tr w:rsidR="007121D9" w14:paraId="7024AA36" w14:textId="77777777">
        <w:tc>
          <w:tcPr>
            <w:tcW w:w="1700" w:type="dxa"/>
            <w:tcBorders>
              <w:top w:val="single" w:sz="4" w:space="0" w:color="999999"/>
              <w:left w:val="single" w:sz="4" w:space="0" w:color="999999"/>
              <w:bottom w:val="single" w:sz="4" w:space="0" w:color="999999"/>
              <w:right w:val="single" w:sz="4" w:space="0" w:color="999999"/>
            </w:tcBorders>
            <w:tcMar>
              <w:top w:w="40" w:type="dxa"/>
              <w:left w:w="100" w:type="dxa"/>
              <w:bottom w:w="40" w:type="dxa"/>
              <w:right w:w="100" w:type="dxa"/>
            </w:tcMar>
            <w:vAlign w:val="center"/>
          </w:tcPr>
          <w:p w14:paraId="5825DA12" w14:textId="77777777" w:rsidR="007121D9" w:rsidRDefault="00000000">
            <w:pPr>
              <w:spacing w:before="40" w:after="40"/>
            </w:pPr>
            <w:r>
              <w:rPr>
                <w:sz w:val="20"/>
                <w:szCs w:val="20"/>
              </w:rPr>
              <w:t>QPSK (Fig. 2, Gray)</w:t>
            </w:r>
          </w:p>
        </w:tc>
        <w:tc>
          <w:tcPr>
            <w:tcW w:w="3000" w:type="dxa"/>
            <w:tcBorders>
              <w:top w:val="single" w:sz="4" w:space="0" w:color="999999"/>
              <w:left w:val="single" w:sz="4" w:space="0" w:color="999999"/>
              <w:bottom w:val="single" w:sz="4" w:space="0" w:color="999999"/>
              <w:right w:val="single" w:sz="4" w:space="0" w:color="999999"/>
            </w:tcBorders>
            <w:tcMar>
              <w:top w:w="40" w:type="dxa"/>
              <w:left w:w="100" w:type="dxa"/>
              <w:bottom w:w="40" w:type="dxa"/>
              <w:right w:w="100" w:type="dxa"/>
            </w:tcMar>
            <w:vAlign w:val="center"/>
          </w:tcPr>
          <w:p w14:paraId="3F2BB8C2" w14:textId="77777777" w:rsidR="007121D9" w:rsidRDefault="00000000">
            <w:pPr>
              <w:spacing w:before="40" w:after="40"/>
            </w:pPr>
            <w:r>
              <w:rPr>
                <w:i/>
                <w:iCs/>
                <w:sz w:val="20"/>
                <w:szCs w:val="20"/>
              </w:rPr>
              <w:t>b</w:t>
            </w:r>
            <w:r>
              <w:rPr>
                <w:sz w:val="20"/>
                <w:szCs w:val="20"/>
                <w:vertAlign w:val="subscript"/>
              </w:rPr>
              <w:t>0</w:t>
            </w:r>
            <w:r>
              <w:rPr>
                <w:sz w:val="20"/>
                <w:szCs w:val="20"/>
              </w:rPr>
              <w:t xml:space="preserve"> → I, </w:t>
            </w:r>
            <w:r>
              <w:rPr>
                <w:i/>
                <w:iCs/>
                <w:sz w:val="20"/>
                <w:szCs w:val="20"/>
              </w:rPr>
              <w:t>b</w:t>
            </w:r>
            <w:r>
              <w:rPr>
                <w:sz w:val="20"/>
                <w:szCs w:val="20"/>
                <w:vertAlign w:val="subscript"/>
              </w:rPr>
              <w:t>1</w:t>
            </w:r>
            <w:r>
              <w:rPr>
                <w:sz w:val="20"/>
                <w:szCs w:val="20"/>
              </w:rPr>
              <w:t xml:space="preserve"> → Q, each ±1</w:t>
            </w:r>
          </w:p>
        </w:tc>
        <w:tc>
          <w:tcPr>
            <w:tcW w:w="900" w:type="dxa"/>
            <w:tcBorders>
              <w:top w:val="single" w:sz="4" w:space="0" w:color="999999"/>
              <w:left w:val="single" w:sz="4" w:space="0" w:color="999999"/>
              <w:bottom w:val="single" w:sz="4" w:space="0" w:color="999999"/>
              <w:right w:val="single" w:sz="4" w:space="0" w:color="999999"/>
            </w:tcBorders>
            <w:tcMar>
              <w:top w:w="40" w:type="dxa"/>
              <w:left w:w="100" w:type="dxa"/>
              <w:bottom w:w="40" w:type="dxa"/>
              <w:right w:w="100" w:type="dxa"/>
            </w:tcMar>
            <w:vAlign w:val="center"/>
          </w:tcPr>
          <w:p w14:paraId="0B5BCA9D" w14:textId="77777777" w:rsidR="007121D9" w:rsidRDefault="00000000">
            <w:pPr>
              <w:spacing w:before="40" w:after="40"/>
              <w:jc w:val="center"/>
            </w:pPr>
            <w:r>
              <w:rPr>
                <w:sz w:val="20"/>
                <w:szCs w:val="20"/>
              </w:rPr>
              <w:t>2</w:t>
            </w:r>
          </w:p>
        </w:tc>
        <w:tc>
          <w:tcPr>
            <w:tcW w:w="900" w:type="dxa"/>
            <w:tcBorders>
              <w:top w:val="single" w:sz="4" w:space="0" w:color="999999"/>
              <w:left w:val="single" w:sz="4" w:space="0" w:color="999999"/>
              <w:bottom w:val="single" w:sz="4" w:space="0" w:color="999999"/>
              <w:right w:val="single" w:sz="4" w:space="0" w:color="999999"/>
            </w:tcBorders>
            <w:tcMar>
              <w:top w:w="40" w:type="dxa"/>
              <w:left w:w="100" w:type="dxa"/>
              <w:bottom w:w="40" w:type="dxa"/>
              <w:right w:w="100" w:type="dxa"/>
            </w:tcMar>
            <w:vAlign w:val="center"/>
          </w:tcPr>
          <w:p w14:paraId="5B789E3C" w14:textId="77777777" w:rsidR="007121D9" w:rsidRDefault="00000000">
            <w:pPr>
              <w:spacing w:before="40" w:after="40"/>
              <w:jc w:val="center"/>
            </w:pPr>
            <w:r>
              <w:rPr>
                <w:sz w:val="20"/>
                <w:szCs w:val="20"/>
              </w:rPr>
              <w:t>1</w:t>
            </w:r>
          </w:p>
        </w:tc>
        <w:tc>
          <w:tcPr>
            <w:tcW w:w="2526" w:type="dxa"/>
            <w:tcBorders>
              <w:top w:val="single" w:sz="4" w:space="0" w:color="999999"/>
              <w:left w:val="single" w:sz="4" w:space="0" w:color="999999"/>
              <w:bottom w:val="single" w:sz="4" w:space="0" w:color="999999"/>
              <w:right w:val="single" w:sz="4" w:space="0" w:color="999999"/>
            </w:tcBorders>
            <w:tcMar>
              <w:top w:w="40" w:type="dxa"/>
              <w:left w:w="100" w:type="dxa"/>
              <w:bottom w:w="40" w:type="dxa"/>
              <w:right w:w="100" w:type="dxa"/>
            </w:tcMar>
            <w:vAlign w:val="center"/>
          </w:tcPr>
          <w:p w14:paraId="3D5B3C4A" w14:textId="77777777" w:rsidR="007121D9" w:rsidRDefault="00000000">
            <w:pPr>
              <w:spacing w:before="40" w:after="40"/>
            </w:pPr>
            <w:r>
              <w:rPr>
                <w:sz w:val="20"/>
                <w:szCs w:val="20"/>
              </w:rPr>
              <w:t>Independent sign decisions on I and Q</w:t>
            </w:r>
          </w:p>
        </w:tc>
      </w:tr>
      <w:tr w:rsidR="007121D9" w14:paraId="36783788" w14:textId="77777777">
        <w:tc>
          <w:tcPr>
            <w:tcW w:w="1700" w:type="dxa"/>
            <w:tcBorders>
              <w:top w:val="single" w:sz="4" w:space="0" w:color="999999"/>
              <w:left w:val="single" w:sz="4" w:space="0" w:color="999999"/>
              <w:bottom w:val="single" w:sz="4" w:space="0" w:color="999999"/>
              <w:right w:val="single" w:sz="4" w:space="0" w:color="999999"/>
            </w:tcBorders>
            <w:tcMar>
              <w:top w:w="40" w:type="dxa"/>
              <w:left w:w="100" w:type="dxa"/>
              <w:bottom w:w="40" w:type="dxa"/>
              <w:right w:w="100" w:type="dxa"/>
            </w:tcMar>
            <w:vAlign w:val="center"/>
          </w:tcPr>
          <w:p w14:paraId="49A2D6D2" w14:textId="77777777" w:rsidR="007121D9" w:rsidRDefault="00000000">
            <w:pPr>
              <w:spacing w:before="40" w:after="40"/>
            </w:pPr>
            <w:r>
              <w:rPr>
                <w:sz w:val="20"/>
                <w:szCs w:val="20"/>
              </w:rPr>
              <w:t>QPSK (Fig. 3, non-Gray)</w:t>
            </w:r>
          </w:p>
        </w:tc>
        <w:tc>
          <w:tcPr>
            <w:tcW w:w="3000" w:type="dxa"/>
            <w:tcBorders>
              <w:top w:val="single" w:sz="4" w:space="0" w:color="999999"/>
              <w:left w:val="single" w:sz="4" w:space="0" w:color="999999"/>
              <w:bottom w:val="single" w:sz="4" w:space="0" w:color="999999"/>
              <w:right w:val="single" w:sz="4" w:space="0" w:color="999999"/>
            </w:tcBorders>
            <w:tcMar>
              <w:top w:w="40" w:type="dxa"/>
              <w:left w:w="100" w:type="dxa"/>
              <w:bottom w:w="40" w:type="dxa"/>
              <w:right w:w="100" w:type="dxa"/>
            </w:tcMar>
            <w:vAlign w:val="center"/>
          </w:tcPr>
          <w:p w14:paraId="07182436" w14:textId="77777777" w:rsidR="007121D9" w:rsidRDefault="00000000">
            <w:pPr>
              <w:spacing w:before="40" w:after="40"/>
            </w:pPr>
            <w:r>
              <w:rPr>
                <w:sz w:val="20"/>
                <w:szCs w:val="20"/>
              </w:rPr>
              <w:t xml:space="preserve">I = </w:t>
            </w:r>
            <w:r>
              <w:rPr>
                <w:i/>
                <w:iCs/>
                <w:sz w:val="20"/>
                <w:szCs w:val="20"/>
              </w:rPr>
              <w:t>b</w:t>
            </w:r>
            <w:r>
              <w:rPr>
                <w:sz w:val="20"/>
                <w:szCs w:val="20"/>
                <w:vertAlign w:val="subscript"/>
              </w:rPr>
              <w:t>0</w:t>
            </w:r>
            <w:r>
              <w:rPr>
                <w:sz w:val="20"/>
                <w:szCs w:val="20"/>
              </w:rPr>
              <w:t xml:space="preserve">; Q set by </w:t>
            </w:r>
            <w:r>
              <w:rPr>
                <w:i/>
                <w:iCs/>
                <w:sz w:val="20"/>
                <w:szCs w:val="20"/>
              </w:rPr>
              <w:t>b</w:t>
            </w:r>
            <w:r>
              <w:rPr>
                <w:sz w:val="20"/>
                <w:szCs w:val="20"/>
                <w:vertAlign w:val="subscript"/>
              </w:rPr>
              <w:t>0</w:t>
            </w:r>
            <w:r>
              <w:rPr>
                <w:sz w:val="20"/>
                <w:szCs w:val="20"/>
              </w:rPr>
              <w:t xml:space="preserve"> ⊕ </w:t>
            </w:r>
            <w:r>
              <w:rPr>
                <w:i/>
                <w:iCs/>
                <w:sz w:val="20"/>
                <w:szCs w:val="20"/>
              </w:rPr>
              <w:t>b</w:t>
            </w:r>
            <w:r>
              <w:rPr>
                <w:sz w:val="20"/>
                <w:szCs w:val="20"/>
                <w:vertAlign w:val="subscript"/>
              </w:rPr>
              <w:t>1</w:t>
            </w:r>
          </w:p>
        </w:tc>
        <w:tc>
          <w:tcPr>
            <w:tcW w:w="900" w:type="dxa"/>
            <w:tcBorders>
              <w:top w:val="single" w:sz="4" w:space="0" w:color="999999"/>
              <w:left w:val="single" w:sz="4" w:space="0" w:color="999999"/>
              <w:bottom w:val="single" w:sz="4" w:space="0" w:color="999999"/>
              <w:right w:val="single" w:sz="4" w:space="0" w:color="999999"/>
            </w:tcBorders>
            <w:tcMar>
              <w:top w:w="40" w:type="dxa"/>
              <w:left w:w="100" w:type="dxa"/>
              <w:bottom w:w="40" w:type="dxa"/>
              <w:right w:w="100" w:type="dxa"/>
            </w:tcMar>
            <w:vAlign w:val="center"/>
          </w:tcPr>
          <w:p w14:paraId="4431F100" w14:textId="77777777" w:rsidR="007121D9" w:rsidRDefault="00000000">
            <w:pPr>
              <w:spacing w:before="40" w:after="40"/>
              <w:jc w:val="center"/>
            </w:pPr>
            <w:r>
              <w:rPr>
                <w:sz w:val="20"/>
                <w:szCs w:val="20"/>
              </w:rPr>
              <w:t>2</w:t>
            </w:r>
          </w:p>
        </w:tc>
        <w:tc>
          <w:tcPr>
            <w:tcW w:w="900" w:type="dxa"/>
            <w:tcBorders>
              <w:top w:val="single" w:sz="4" w:space="0" w:color="999999"/>
              <w:left w:val="single" w:sz="4" w:space="0" w:color="999999"/>
              <w:bottom w:val="single" w:sz="4" w:space="0" w:color="999999"/>
              <w:right w:val="single" w:sz="4" w:space="0" w:color="999999"/>
            </w:tcBorders>
            <w:tcMar>
              <w:top w:w="40" w:type="dxa"/>
              <w:left w:w="100" w:type="dxa"/>
              <w:bottom w:w="40" w:type="dxa"/>
              <w:right w:w="100" w:type="dxa"/>
            </w:tcMar>
            <w:vAlign w:val="center"/>
          </w:tcPr>
          <w:p w14:paraId="4AF76E7B" w14:textId="77777777" w:rsidR="007121D9" w:rsidRDefault="00000000">
            <w:pPr>
              <w:spacing w:before="40" w:after="40"/>
              <w:jc w:val="center"/>
            </w:pPr>
            <w:r>
              <w:rPr>
                <w:sz w:val="20"/>
                <w:szCs w:val="20"/>
              </w:rPr>
              <w:t>1</w:t>
            </w:r>
          </w:p>
        </w:tc>
        <w:tc>
          <w:tcPr>
            <w:tcW w:w="2526" w:type="dxa"/>
            <w:tcBorders>
              <w:top w:val="single" w:sz="4" w:space="0" w:color="999999"/>
              <w:left w:val="single" w:sz="4" w:space="0" w:color="999999"/>
              <w:bottom w:val="single" w:sz="4" w:space="0" w:color="999999"/>
              <w:right w:val="single" w:sz="4" w:space="0" w:color="999999"/>
            </w:tcBorders>
            <w:tcMar>
              <w:top w:w="40" w:type="dxa"/>
              <w:left w:w="100" w:type="dxa"/>
              <w:bottom w:w="40" w:type="dxa"/>
              <w:right w:w="100" w:type="dxa"/>
            </w:tcMar>
            <w:vAlign w:val="center"/>
          </w:tcPr>
          <w:p w14:paraId="11564A97" w14:textId="77777777" w:rsidR="007121D9" w:rsidRDefault="00000000">
            <w:pPr>
              <w:spacing w:before="40" w:after="40"/>
            </w:pPr>
            <w:r>
              <w:rPr>
                <w:sz w:val="20"/>
                <w:szCs w:val="20"/>
              </w:rPr>
              <w:t xml:space="preserve">Sign decisions, then </w:t>
            </w:r>
            <w:r>
              <w:rPr>
                <w:i/>
                <w:iCs/>
                <w:sz w:val="20"/>
                <w:szCs w:val="20"/>
              </w:rPr>
              <w:t>b</w:t>
            </w:r>
            <w:r>
              <w:rPr>
                <w:sz w:val="20"/>
                <w:szCs w:val="20"/>
                <w:vertAlign w:val="subscript"/>
              </w:rPr>
              <w:t>1</w:t>
            </w:r>
            <w:r>
              <w:rPr>
                <w:sz w:val="20"/>
                <w:szCs w:val="20"/>
              </w:rPr>
              <w:t xml:space="preserve"> = XOR of the I and Q decisions</w:t>
            </w:r>
          </w:p>
        </w:tc>
      </w:tr>
      <w:tr w:rsidR="007121D9" w14:paraId="512A6904" w14:textId="77777777">
        <w:tc>
          <w:tcPr>
            <w:tcW w:w="1700" w:type="dxa"/>
            <w:tcBorders>
              <w:top w:val="single" w:sz="4" w:space="0" w:color="999999"/>
              <w:left w:val="single" w:sz="4" w:space="0" w:color="999999"/>
              <w:bottom w:val="single" w:sz="4" w:space="0" w:color="999999"/>
              <w:right w:val="single" w:sz="4" w:space="0" w:color="999999"/>
            </w:tcBorders>
            <w:tcMar>
              <w:top w:w="40" w:type="dxa"/>
              <w:left w:w="100" w:type="dxa"/>
              <w:bottom w:w="40" w:type="dxa"/>
              <w:right w:w="100" w:type="dxa"/>
            </w:tcMar>
            <w:vAlign w:val="center"/>
          </w:tcPr>
          <w:p w14:paraId="3CF72A7B" w14:textId="77777777" w:rsidR="007121D9" w:rsidRDefault="00000000">
            <w:pPr>
              <w:spacing w:before="40" w:after="40"/>
            </w:pPr>
            <w:r>
              <w:rPr>
                <w:sz w:val="20"/>
                <w:szCs w:val="20"/>
              </w:rPr>
              <w:t>8PSK (Gray)</w:t>
            </w:r>
          </w:p>
        </w:tc>
        <w:tc>
          <w:tcPr>
            <w:tcW w:w="3000" w:type="dxa"/>
            <w:tcBorders>
              <w:top w:val="single" w:sz="4" w:space="0" w:color="999999"/>
              <w:left w:val="single" w:sz="4" w:space="0" w:color="999999"/>
              <w:bottom w:val="single" w:sz="4" w:space="0" w:color="999999"/>
              <w:right w:val="single" w:sz="4" w:space="0" w:color="999999"/>
            </w:tcBorders>
            <w:tcMar>
              <w:top w:w="40" w:type="dxa"/>
              <w:left w:w="100" w:type="dxa"/>
              <w:bottom w:w="40" w:type="dxa"/>
              <w:right w:w="100" w:type="dxa"/>
            </w:tcMar>
            <w:vAlign w:val="center"/>
          </w:tcPr>
          <w:p w14:paraId="712594DC" w14:textId="77777777" w:rsidR="007121D9" w:rsidRDefault="00000000">
            <w:pPr>
              <w:spacing w:before="40" w:after="40"/>
            </w:pPr>
            <w:r>
              <w:rPr>
                <w:sz w:val="20"/>
                <w:szCs w:val="20"/>
              </w:rPr>
              <w:t>Unit circle, phases as in the assignment figure</w:t>
            </w:r>
          </w:p>
        </w:tc>
        <w:tc>
          <w:tcPr>
            <w:tcW w:w="900" w:type="dxa"/>
            <w:tcBorders>
              <w:top w:val="single" w:sz="4" w:space="0" w:color="999999"/>
              <w:left w:val="single" w:sz="4" w:space="0" w:color="999999"/>
              <w:bottom w:val="single" w:sz="4" w:space="0" w:color="999999"/>
              <w:right w:val="single" w:sz="4" w:space="0" w:color="999999"/>
            </w:tcBorders>
            <w:tcMar>
              <w:top w:w="40" w:type="dxa"/>
              <w:left w:w="100" w:type="dxa"/>
              <w:bottom w:w="40" w:type="dxa"/>
              <w:right w:w="100" w:type="dxa"/>
            </w:tcMar>
            <w:vAlign w:val="center"/>
          </w:tcPr>
          <w:p w14:paraId="49CCB681" w14:textId="77777777" w:rsidR="007121D9" w:rsidRDefault="00000000">
            <w:pPr>
              <w:spacing w:before="40" w:after="40"/>
              <w:jc w:val="center"/>
            </w:pPr>
            <w:r>
              <w:rPr>
                <w:sz w:val="20"/>
                <w:szCs w:val="20"/>
              </w:rPr>
              <w:t>1</w:t>
            </w:r>
          </w:p>
        </w:tc>
        <w:tc>
          <w:tcPr>
            <w:tcW w:w="900" w:type="dxa"/>
            <w:tcBorders>
              <w:top w:val="single" w:sz="4" w:space="0" w:color="999999"/>
              <w:left w:val="single" w:sz="4" w:space="0" w:color="999999"/>
              <w:bottom w:val="single" w:sz="4" w:space="0" w:color="999999"/>
              <w:right w:val="single" w:sz="4" w:space="0" w:color="999999"/>
            </w:tcBorders>
            <w:tcMar>
              <w:top w:w="40" w:type="dxa"/>
              <w:left w:w="100" w:type="dxa"/>
              <w:bottom w:w="40" w:type="dxa"/>
              <w:right w:w="100" w:type="dxa"/>
            </w:tcMar>
            <w:vAlign w:val="center"/>
          </w:tcPr>
          <w:p w14:paraId="4D8252FF" w14:textId="77777777" w:rsidR="007121D9" w:rsidRDefault="00000000">
            <w:pPr>
              <w:spacing w:before="40" w:after="40"/>
              <w:jc w:val="center"/>
            </w:pPr>
            <w:r>
              <w:rPr>
                <w:sz w:val="20"/>
                <w:szCs w:val="20"/>
              </w:rPr>
              <w:t>1/3</w:t>
            </w:r>
          </w:p>
        </w:tc>
        <w:tc>
          <w:tcPr>
            <w:tcW w:w="2526" w:type="dxa"/>
            <w:tcBorders>
              <w:top w:val="single" w:sz="4" w:space="0" w:color="999999"/>
              <w:left w:val="single" w:sz="4" w:space="0" w:color="999999"/>
              <w:bottom w:val="single" w:sz="4" w:space="0" w:color="999999"/>
              <w:right w:val="single" w:sz="4" w:space="0" w:color="999999"/>
            </w:tcBorders>
            <w:tcMar>
              <w:top w:w="40" w:type="dxa"/>
              <w:left w:w="100" w:type="dxa"/>
              <w:bottom w:w="40" w:type="dxa"/>
              <w:right w:w="100" w:type="dxa"/>
            </w:tcMar>
            <w:vAlign w:val="center"/>
          </w:tcPr>
          <w:p w14:paraId="1BB6DC34" w14:textId="77777777" w:rsidR="007121D9" w:rsidRDefault="00000000">
            <w:pPr>
              <w:spacing w:before="40" w:after="40"/>
            </w:pPr>
            <w:r>
              <w:rPr>
                <w:sz w:val="20"/>
                <w:szCs w:val="20"/>
              </w:rPr>
              <w:t>Minimum Euclidean distance</w:t>
            </w:r>
          </w:p>
        </w:tc>
      </w:tr>
      <w:tr w:rsidR="007121D9" w14:paraId="12C448A6" w14:textId="77777777">
        <w:tc>
          <w:tcPr>
            <w:tcW w:w="1700" w:type="dxa"/>
            <w:tcBorders>
              <w:top w:val="single" w:sz="4" w:space="0" w:color="999999"/>
              <w:left w:val="single" w:sz="4" w:space="0" w:color="999999"/>
              <w:bottom w:val="single" w:sz="4" w:space="0" w:color="999999"/>
              <w:right w:val="single" w:sz="4" w:space="0" w:color="999999"/>
            </w:tcBorders>
            <w:tcMar>
              <w:top w:w="40" w:type="dxa"/>
              <w:left w:w="100" w:type="dxa"/>
              <w:bottom w:w="40" w:type="dxa"/>
              <w:right w:w="100" w:type="dxa"/>
            </w:tcMar>
            <w:vAlign w:val="center"/>
          </w:tcPr>
          <w:p w14:paraId="630BAC25" w14:textId="77777777" w:rsidR="007121D9" w:rsidRDefault="00000000">
            <w:pPr>
              <w:spacing w:before="40" w:after="40"/>
            </w:pPr>
            <w:r>
              <w:rPr>
                <w:sz w:val="20"/>
                <w:szCs w:val="20"/>
              </w:rPr>
              <w:t>16-QAM (Gray)</w:t>
            </w:r>
          </w:p>
        </w:tc>
        <w:tc>
          <w:tcPr>
            <w:tcW w:w="3000" w:type="dxa"/>
            <w:tcBorders>
              <w:top w:val="single" w:sz="4" w:space="0" w:color="999999"/>
              <w:left w:val="single" w:sz="4" w:space="0" w:color="999999"/>
              <w:bottom w:val="single" w:sz="4" w:space="0" w:color="999999"/>
              <w:right w:val="single" w:sz="4" w:space="0" w:color="999999"/>
            </w:tcBorders>
            <w:tcMar>
              <w:top w:w="40" w:type="dxa"/>
              <w:left w:w="100" w:type="dxa"/>
              <w:bottom w:w="40" w:type="dxa"/>
              <w:right w:w="100" w:type="dxa"/>
            </w:tcMar>
            <w:vAlign w:val="center"/>
          </w:tcPr>
          <w:p w14:paraId="51D804A5" w14:textId="77777777" w:rsidR="007121D9" w:rsidRDefault="00000000">
            <w:pPr>
              <w:spacing w:before="40" w:after="40"/>
            </w:pPr>
            <w:r>
              <w:rPr>
                <w:i/>
                <w:iCs/>
                <w:sz w:val="20"/>
                <w:szCs w:val="20"/>
              </w:rPr>
              <w:t>b</w:t>
            </w:r>
            <w:r>
              <w:rPr>
                <w:sz w:val="20"/>
                <w:szCs w:val="20"/>
                <w:vertAlign w:val="subscript"/>
              </w:rPr>
              <w:t>0</w:t>
            </w:r>
            <w:r>
              <w:rPr>
                <w:i/>
                <w:iCs/>
                <w:sz w:val="20"/>
                <w:szCs w:val="20"/>
              </w:rPr>
              <w:t>b</w:t>
            </w:r>
            <w:r>
              <w:rPr>
                <w:sz w:val="20"/>
                <w:szCs w:val="20"/>
                <w:vertAlign w:val="subscript"/>
              </w:rPr>
              <w:t>1</w:t>
            </w:r>
            <w:r>
              <w:rPr>
                <w:sz w:val="20"/>
                <w:szCs w:val="20"/>
              </w:rPr>
              <w:t xml:space="preserve"> → I and </w:t>
            </w:r>
            <w:r>
              <w:rPr>
                <w:i/>
                <w:iCs/>
                <w:sz w:val="20"/>
                <w:szCs w:val="20"/>
              </w:rPr>
              <w:t>b</w:t>
            </w:r>
            <w:r>
              <w:rPr>
                <w:sz w:val="20"/>
                <w:szCs w:val="20"/>
                <w:vertAlign w:val="subscript"/>
              </w:rPr>
              <w:t>2</w:t>
            </w:r>
            <w:r>
              <w:rPr>
                <w:i/>
                <w:iCs/>
                <w:sz w:val="20"/>
                <w:szCs w:val="20"/>
              </w:rPr>
              <w:t>b</w:t>
            </w:r>
            <w:r>
              <w:rPr>
                <w:sz w:val="20"/>
                <w:szCs w:val="20"/>
                <w:vertAlign w:val="subscript"/>
              </w:rPr>
              <w:t>3</w:t>
            </w:r>
            <w:r>
              <w:rPr>
                <w:sz w:val="20"/>
                <w:szCs w:val="20"/>
              </w:rPr>
              <w:t xml:space="preserve"> → Q: 00 → −3, 01 → −1, 11 → +1, 10 → +3</w:t>
            </w:r>
          </w:p>
        </w:tc>
        <w:tc>
          <w:tcPr>
            <w:tcW w:w="900" w:type="dxa"/>
            <w:tcBorders>
              <w:top w:val="single" w:sz="4" w:space="0" w:color="999999"/>
              <w:left w:val="single" w:sz="4" w:space="0" w:color="999999"/>
              <w:bottom w:val="single" w:sz="4" w:space="0" w:color="999999"/>
              <w:right w:val="single" w:sz="4" w:space="0" w:color="999999"/>
            </w:tcBorders>
            <w:tcMar>
              <w:top w:w="40" w:type="dxa"/>
              <w:left w:w="100" w:type="dxa"/>
              <w:bottom w:w="40" w:type="dxa"/>
              <w:right w:w="100" w:type="dxa"/>
            </w:tcMar>
            <w:vAlign w:val="center"/>
          </w:tcPr>
          <w:p w14:paraId="67371BC9" w14:textId="77777777" w:rsidR="007121D9" w:rsidRDefault="00000000">
            <w:pPr>
              <w:spacing w:before="40" w:after="40"/>
              <w:jc w:val="center"/>
            </w:pPr>
            <w:r>
              <w:rPr>
                <w:sz w:val="20"/>
                <w:szCs w:val="20"/>
              </w:rPr>
              <w:t>10</w:t>
            </w:r>
          </w:p>
        </w:tc>
        <w:tc>
          <w:tcPr>
            <w:tcW w:w="900" w:type="dxa"/>
            <w:tcBorders>
              <w:top w:val="single" w:sz="4" w:space="0" w:color="999999"/>
              <w:left w:val="single" w:sz="4" w:space="0" w:color="999999"/>
              <w:bottom w:val="single" w:sz="4" w:space="0" w:color="999999"/>
              <w:right w:val="single" w:sz="4" w:space="0" w:color="999999"/>
            </w:tcBorders>
            <w:tcMar>
              <w:top w:w="40" w:type="dxa"/>
              <w:left w:w="100" w:type="dxa"/>
              <w:bottom w:w="40" w:type="dxa"/>
              <w:right w:w="100" w:type="dxa"/>
            </w:tcMar>
            <w:vAlign w:val="center"/>
          </w:tcPr>
          <w:p w14:paraId="4831D2CC" w14:textId="77777777" w:rsidR="007121D9" w:rsidRDefault="00000000">
            <w:pPr>
              <w:spacing w:before="40" w:after="40"/>
              <w:jc w:val="center"/>
            </w:pPr>
            <w:r>
              <w:rPr>
                <w:sz w:val="20"/>
                <w:szCs w:val="20"/>
              </w:rPr>
              <w:t>2.5</w:t>
            </w:r>
          </w:p>
        </w:tc>
        <w:tc>
          <w:tcPr>
            <w:tcW w:w="2526" w:type="dxa"/>
            <w:tcBorders>
              <w:top w:val="single" w:sz="4" w:space="0" w:color="999999"/>
              <w:left w:val="single" w:sz="4" w:space="0" w:color="999999"/>
              <w:bottom w:val="single" w:sz="4" w:space="0" w:color="999999"/>
              <w:right w:val="single" w:sz="4" w:space="0" w:color="999999"/>
            </w:tcBorders>
            <w:tcMar>
              <w:top w:w="40" w:type="dxa"/>
              <w:left w:w="100" w:type="dxa"/>
              <w:bottom w:w="40" w:type="dxa"/>
              <w:right w:w="100" w:type="dxa"/>
            </w:tcMar>
            <w:vAlign w:val="center"/>
          </w:tcPr>
          <w:p w14:paraId="3A70C1B6" w14:textId="77777777" w:rsidR="007121D9" w:rsidRDefault="00000000">
            <w:pPr>
              <w:spacing w:before="40" w:after="40"/>
            </w:pPr>
            <w:r>
              <w:rPr>
                <w:sz w:val="20"/>
                <w:szCs w:val="20"/>
              </w:rPr>
              <w:t>Per-axis thresholds at 0 and ±2</w:t>
            </w:r>
          </w:p>
        </w:tc>
      </w:tr>
      <w:tr w:rsidR="007121D9" w14:paraId="5A722445" w14:textId="77777777">
        <w:tc>
          <w:tcPr>
            <w:tcW w:w="1700" w:type="dxa"/>
            <w:tcBorders>
              <w:top w:val="single" w:sz="4" w:space="0" w:color="999999"/>
              <w:left w:val="single" w:sz="4" w:space="0" w:color="999999"/>
              <w:bottom w:val="single" w:sz="4" w:space="0" w:color="999999"/>
              <w:right w:val="single" w:sz="4" w:space="0" w:color="999999"/>
            </w:tcBorders>
            <w:tcMar>
              <w:top w:w="40" w:type="dxa"/>
              <w:left w:w="100" w:type="dxa"/>
              <w:bottom w:w="40" w:type="dxa"/>
              <w:right w:w="100" w:type="dxa"/>
            </w:tcMar>
            <w:vAlign w:val="center"/>
          </w:tcPr>
          <w:p w14:paraId="0F23C081" w14:textId="77777777" w:rsidR="007121D9" w:rsidRDefault="00000000">
            <w:pPr>
              <w:spacing w:before="40" w:after="40"/>
            </w:pPr>
            <w:r>
              <w:rPr>
                <w:sz w:val="20"/>
                <w:szCs w:val="20"/>
              </w:rPr>
              <w:t>BFSK</w:t>
            </w:r>
          </w:p>
        </w:tc>
        <w:tc>
          <w:tcPr>
            <w:tcW w:w="3000" w:type="dxa"/>
            <w:tcBorders>
              <w:top w:val="single" w:sz="4" w:space="0" w:color="999999"/>
              <w:left w:val="single" w:sz="4" w:space="0" w:color="999999"/>
              <w:bottom w:val="single" w:sz="4" w:space="0" w:color="999999"/>
              <w:right w:val="single" w:sz="4" w:space="0" w:color="999999"/>
            </w:tcBorders>
            <w:tcMar>
              <w:top w:w="40" w:type="dxa"/>
              <w:left w:w="100" w:type="dxa"/>
              <w:bottom w:w="40" w:type="dxa"/>
              <w:right w:w="100" w:type="dxa"/>
            </w:tcMar>
            <w:vAlign w:val="center"/>
          </w:tcPr>
          <w:p w14:paraId="699CD12E" w14:textId="77777777" w:rsidR="007121D9" w:rsidRDefault="00000000">
            <w:pPr>
              <w:spacing w:before="40" w:after="40"/>
            </w:pPr>
            <w:r>
              <w:rPr>
                <w:sz w:val="20"/>
                <w:szCs w:val="20"/>
              </w:rPr>
              <w:t>0 → [√</w:t>
            </w:r>
            <w:r>
              <w:rPr>
                <w:i/>
                <w:iCs/>
                <w:sz w:val="20"/>
                <w:szCs w:val="20"/>
              </w:rPr>
              <w:t>E</w:t>
            </w:r>
            <w:r>
              <w:rPr>
                <w:sz w:val="20"/>
                <w:szCs w:val="20"/>
                <w:vertAlign w:val="subscript"/>
              </w:rPr>
              <w:t>b</w:t>
            </w:r>
            <w:r>
              <w:rPr>
                <w:sz w:val="20"/>
                <w:szCs w:val="20"/>
              </w:rPr>
              <w:t>, 0], 1 → [0, √</w:t>
            </w:r>
            <w:r>
              <w:rPr>
                <w:i/>
                <w:iCs/>
                <w:sz w:val="20"/>
                <w:szCs w:val="20"/>
              </w:rPr>
              <w:t>E</w:t>
            </w:r>
            <w:r>
              <w:rPr>
                <w:sz w:val="20"/>
                <w:szCs w:val="20"/>
                <w:vertAlign w:val="subscript"/>
              </w:rPr>
              <w:t>b</w:t>
            </w:r>
            <w:r>
              <w:rPr>
                <w:sz w:val="20"/>
                <w:szCs w:val="20"/>
              </w:rPr>
              <w:t>] on orthonormal basis</w:t>
            </w:r>
          </w:p>
        </w:tc>
        <w:tc>
          <w:tcPr>
            <w:tcW w:w="900" w:type="dxa"/>
            <w:tcBorders>
              <w:top w:val="single" w:sz="4" w:space="0" w:color="999999"/>
              <w:left w:val="single" w:sz="4" w:space="0" w:color="999999"/>
              <w:bottom w:val="single" w:sz="4" w:space="0" w:color="999999"/>
              <w:right w:val="single" w:sz="4" w:space="0" w:color="999999"/>
            </w:tcBorders>
            <w:tcMar>
              <w:top w:w="40" w:type="dxa"/>
              <w:left w:w="100" w:type="dxa"/>
              <w:bottom w:w="40" w:type="dxa"/>
              <w:right w:w="100" w:type="dxa"/>
            </w:tcMar>
            <w:vAlign w:val="center"/>
          </w:tcPr>
          <w:p w14:paraId="4011B404" w14:textId="77777777" w:rsidR="007121D9" w:rsidRDefault="00000000">
            <w:pPr>
              <w:spacing w:before="40" w:after="40"/>
              <w:jc w:val="center"/>
            </w:pPr>
            <w:r>
              <w:rPr>
                <w:sz w:val="20"/>
                <w:szCs w:val="20"/>
              </w:rPr>
              <w:t>1</w:t>
            </w:r>
          </w:p>
        </w:tc>
        <w:tc>
          <w:tcPr>
            <w:tcW w:w="900" w:type="dxa"/>
            <w:tcBorders>
              <w:top w:val="single" w:sz="4" w:space="0" w:color="999999"/>
              <w:left w:val="single" w:sz="4" w:space="0" w:color="999999"/>
              <w:bottom w:val="single" w:sz="4" w:space="0" w:color="999999"/>
              <w:right w:val="single" w:sz="4" w:space="0" w:color="999999"/>
            </w:tcBorders>
            <w:tcMar>
              <w:top w:w="40" w:type="dxa"/>
              <w:left w:w="100" w:type="dxa"/>
              <w:bottom w:w="40" w:type="dxa"/>
              <w:right w:w="100" w:type="dxa"/>
            </w:tcMar>
            <w:vAlign w:val="center"/>
          </w:tcPr>
          <w:p w14:paraId="0233E349" w14:textId="77777777" w:rsidR="007121D9" w:rsidRDefault="00000000">
            <w:pPr>
              <w:spacing w:before="40" w:after="40"/>
              <w:jc w:val="center"/>
            </w:pPr>
            <w:r>
              <w:rPr>
                <w:sz w:val="20"/>
                <w:szCs w:val="20"/>
              </w:rPr>
              <w:t>1</w:t>
            </w:r>
          </w:p>
        </w:tc>
        <w:tc>
          <w:tcPr>
            <w:tcW w:w="2526" w:type="dxa"/>
            <w:tcBorders>
              <w:top w:val="single" w:sz="4" w:space="0" w:color="999999"/>
              <w:left w:val="single" w:sz="4" w:space="0" w:color="999999"/>
              <w:bottom w:val="single" w:sz="4" w:space="0" w:color="999999"/>
              <w:right w:val="single" w:sz="4" w:space="0" w:color="999999"/>
            </w:tcBorders>
            <w:tcMar>
              <w:top w:w="40" w:type="dxa"/>
              <w:left w:w="100" w:type="dxa"/>
              <w:bottom w:w="40" w:type="dxa"/>
              <w:right w:w="100" w:type="dxa"/>
            </w:tcMar>
            <w:vAlign w:val="center"/>
          </w:tcPr>
          <w:p w14:paraId="1BA3153A" w14:textId="77777777" w:rsidR="007121D9" w:rsidRDefault="00000000">
            <w:pPr>
              <w:spacing w:before="40" w:after="40"/>
            </w:pPr>
            <w:r>
              <w:rPr>
                <w:sz w:val="20"/>
                <w:szCs w:val="20"/>
              </w:rPr>
              <w:t>Compare correlator outputs</w:t>
            </w:r>
          </w:p>
        </w:tc>
      </w:tr>
    </w:tbl>
    <w:p w14:paraId="67E63F82" w14:textId="77777777" w:rsidR="007121D9" w:rsidRDefault="00000000">
      <w:pPr>
        <w:spacing w:before="60" w:after="160"/>
        <w:jc w:val="center"/>
      </w:pPr>
      <w:r>
        <w:rPr>
          <w:i/>
          <w:iCs/>
          <w:sz w:val="20"/>
          <w:szCs w:val="20"/>
        </w:rPr>
        <w:t>Table 1. Mappers, symbol and bit energies, and demappers used in the simulation.</w:t>
      </w:r>
    </w:p>
    <w:p w14:paraId="071F5345" w14:textId="77777777" w:rsidR="007121D9" w:rsidRDefault="00000000">
      <w:pPr>
        <w:pStyle w:val="Heading2"/>
      </w:pPr>
      <w:bookmarkStart w:id="3" w:name="_Toc243600663"/>
      <w:r>
        <w:t>2.2 AWGN Channel and Noise Scaling</w:t>
      </w:r>
      <w:bookmarkEnd w:id="3"/>
    </w:p>
    <w:p w14:paraId="57CA26E7" w14:textId="77777777" w:rsidR="007121D9" w:rsidRDefault="00000000">
      <w:pPr>
        <w:spacing w:after="120" w:line="276" w:lineRule="auto"/>
        <w:jc w:val="both"/>
      </w:pPr>
      <w:r>
        <w:t xml:space="preserve">Noise is generated with randn. For a target signal-to-noise ratio </w:t>
      </w:r>
      <w:r>
        <w:rPr>
          <w:i/>
          <w:iCs/>
        </w:rPr>
        <w:t>γ</w:t>
      </w:r>
      <w:r>
        <w:rPr>
          <w:vertAlign w:val="subscript"/>
        </w:rPr>
        <w:t>b</w:t>
      </w:r>
      <w:r>
        <w:t xml:space="preserve"> = </w:t>
      </w:r>
      <w:r>
        <w:rPr>
          <w:i/>
          <w:iCs/>
        </w:rPr>
        <w:t>E</w:t>
      </w:r>
      <w:r>
        <w:rPr>
          <w:vertAlign w:val="subscript"/>
        </w:rPr>
        <w:t>b</w:t>
      </w:r>
      <w:r>
        <w:t>/</w:t>
      </w:r>
      <w:r>
        <w:rPr>
          <w:i/>
          <w:iCs/>
        </w:rPr>
        <w:t>N</w:t>
      </w:r>
      <w:r>
        <w:rPr>
          <w:vertAlign w:val="subscript"/>
        </w:rPr>
        <w:t>0</w:t>
      </w:r>
      <w:r>
        <w:t xml:space="preserve">, the noise power is set from the energy per bit of each scheme, so that all schemes are compared at the same </w:t>
      </w:r>
      <w:r>
        <w:rPr>
          <w:i/>
          <w:iCs/>
        </w:rPr>
        <w:t>E</w:t>
      </w:r>
      <w:r>
        <w:rPr>
          <w:vertAlign w:val="subscript"/>
        </w:rPr>
        <w:t>b</w:t>
      </w:r>
      <w:r>
        <w:t>/</w:t>
      </w:r>
      <w:r>
        <w:rPr>
          <w:i/>
          <w:iCs/>
        </w:rPr>
        <w:t>N</w:t>
      </w:r>
      <w:r>
        <w:rPr>
          <w:vertAlign w:val="subscript"/>
        </w:rPr>
        <w:t>0</w:t>
      </w:r>
      <w:r>
        <w:t>:</w:t>
      </w:r>
    </w:p>
    <w:p w14:paraId="01434589" w14:textId="77777777" w:rsidR="007121D9" w:rsidRDefault="00000000">
      <w:pPr>
        <w:spacing w:before="60" w:after="100"/>
        <w:jc w:val="center"/>
      </w:pPr>
      <m:oMathPara>
        <m:oMath>
          <m:sSub>
            <m:sSubPr>
              <m:ctrlPr>
                <w:rPr>
                  <w:rFonts w:ascii="Cambria Math" w:hAnsi="Cambria Math"/>
                </w:rPr>
              </m:ctrlPr>
            </m:sSubPr>
            <m:e>
              <m:r>
                <w:rPr>
                  <w:rFonts w:ascii="Cambria Math" w:hAnsi="Cambria Math"/>
                </w:rPr>
                <m:t>γ</m:t>
              </m:r>
            </m:e>
            <m:sub>
              <m:r>
                <w:rPr>
                  <w:rFonts w:ascii="Cambria Math" w:hAnsi="Cambria Math"/>
                </w:rPr>
                <m:t>b</m:t>
              </m:r>
            </m:sub>
          </m:sSub>
          <m:r>
            <w:rPr>
              <w:rFonts w:ascii="Cambria Math" w:hAnsi="Cambria Math"/>
            </w:rPr>
            <m:t xml:space="preserve"> = </m:t>
          </m:r>
          <m:f>
            <m:fPr>
              <m:ctrlPr>
                <w:rPr>
                  <w:rFonts w:ascii="Cambria Math" w:hAnsi="Cambria Math"/>
                </w:rPr>
              </m:ctrlPr>
            </m:fPr>
            <m:num>
              <m:sSub>
                <m:sSubPr>
                  <m:ctrlPr>
                    <w:rPr>
                      <w:rFonts w:ascii="Cambria Math" w:hAnsi="Cambria Math"/>
                    </w:rPr>
                  </m:ctrlPr>
                </m:sSubPr>
                <m:e>
                  <m:r>
                    <w:rPr>
                      <w:rFonts w:ascii="Cambria Math" w:hAnsi="Cambria Math"/>
                    </w:rPr>
                    <m:t>E</m:t>
                  </m:r>
                </m:e>
                <m:sub>
                  <m:r>
                    <w:rPr>
                      <w:rFonts w:ascii="Cambria Math" w:hAnsi="Cambria Math"/>
                    </w:rPr>
                    <m:t>b</m:t>
                  </m:r>
                </m:sub>
              </m:sSub>
            </m:num>
            <m:den>
              <m:sSub>
                <m:sSubPr>
                  <m:ctrlPr>
                    <w:rPr>
                      <w:rFonts w:ascii="Cambria Math" w:hAnsi="Cambria Math"/>
                    </w:rPr>
                  </m:ctrlPr>
                </m:sSubPr>
                <m:e>
                  <m:r>
                    <w:rPr>
                      <w:rFonts w:ascii="Cambria Math" w:hAnsi="Cambria Math"/>
                    </w:rPr>
                    <m:t>N</m:t>
                  </m:r>
                </m:e>
                <m:sub>
                  <m:r>
                    <w:rPr>
                      <w:rFonts w:ascii="Cambria Math" w:hAnsi="Cambria Math"/>
                    </w:rPr>
                    <m:t>0</m:t>
                  </m:r>
                </m:sub>
              </m:sSub>
            </m:den>
          </m:f>
          <m:r>
            <w:rPr>
              <w:rFonts w:ascii="Cambria Math" w:hAnsi="Cambria Math"/>
            </w:rPr>
            <m:t xml:space="preserve">,    </m:t>
          </m:r>
          <m:sSub>
            <m:sSubPr>
              <m:ctrlPr>
                <w:rPr>
                  <w:rFonts w:ascii="Cambria Math" w:hAnsi="Cambria Math"/>
                </w:rPr>
              </m:ctrlPr>
            </m:sSubPr>
            <m:e>
              <m:r>
                <w:rPr>
                  <w:rFonts w:ascii="Cambria Math" w:hAnsi="Cambria Math"/>
                </w:rPr>
                <m:t>N</m:t>
              </m:r>
            </m:e>
            <m:sub>
              <m:r>
                <w:rPr>
                  <w:rFonts w:ascii="Cambria Math" w:hAnsi="Cambria Math"/>
                </w:rPr>
                <m:t>0</m:t>
              </m:r>
            </m:sub>
          </m:sSub>
          <m:r>
            <w:rPr>
              <w:rFonts w:ascii="Cambria Math" w:hAnsi="Cambria Math"/>
            </w:rPr>
            <m:t xml:space="preserve"> = </m:t>
          </m:r>
          <m:f>
            <m:fPr>
              <m:ctrlPr>
                <w:rPr>
                  <w:rFonts w:ascii="Cambria Math" w:hAnsi="Cambria Math"/>
                </w:rPr>
              </m:ctrlPr>
            </m:fPr>
            <m:num>
              <m:sSub>
                <m:sSubPr>
                  <m:ctrlPr>
                    <w:rPr>
                      <w:rFonts w:ascii="Cambria Math" w:hAnsi="Cambria Math"/>
                    </w:rPr>
                  </m:ctrlPr>
                </m:sSubPr>
                <m:e>
                  <m:r>
                    <w:rPr>
                      <w:rFonts w:ascii="Cambria Math" w:hAnsi="Cambria Math"/>
                    </w:rPr>
                    <m:t>E</m:t>
                  </m:r>
                </m:e>
                <m:sub>
                  <m:r>
                    <w:rPr>
                      <w:rFonts w:ascii="Cambria Math" w:hAnsi="Cambria Math"/>
                    </w:rPr>
                    <m:t>b</m:t>
                  </m:r>
                </m:sub>
              </m:sSub>
            </m:num>
            <m:den>
              <m:sSub>
                <m:sSubPr>
                  <m:ctrlPr>
                    <w:rPr>
                      <w:rFonts w:ascii="Cambria Math" w:hAnsi="Cambria Math"/>
                    </w:rPr>
                  </m:ctrlPr>
                </m:sSubPr>
                <m:e>
                  <m:r>
                    <w:rPr>
                      <w:rFonts w:ascii="Cambria Math" w:hAnsi="Cambria Math"/>
                    </w:rPr>
                    <m:t>γ</m:t>
                  </m:r>
                </m:e>
                <m:sub>
                  <m:r>
                    <w:rPr>
                      <w:rFonts w:ascii="Cambria Math" w:hAnsi="Cambria Math"/>
                    </w:rPr>
                    <m:t>b</m:t>
                  </m:r>
                </m:sub>
              </m:sSub>
            </m:den>
          </m:f>
          <m:r>
            <w:rPr>
              <w:rFonts w:ascii="Cambria Math" w:hAnsi="Cambria Math"/>
            </w:rPr>
            <m:t xml:space="preserve">,    </m:t>
          </m:r>
          <m:sSup>
            <m:sSupPr>
              <m:ctrlPr>
                <w:rPr>
                  <w:rFonts w:ascii="Cambria Math" w:hAnsi="Cambria Math"/>
                </w:rPr>
              </m:ctrlPr>
            </m:sSupPr>
            <m:e>
              <m:r>
                <w:rPr>
                  <w:rFonts w:ascii="Cambria Math" w:hAnsi="Cambria Math"/>
                </w:rPr>
                <m:t>σ</m:t>
              </m:r>
            </m:e>
            <m:sup>
              <m:r>
                <w:rPr>
                  <w:rFonts w:ascii="Cambria Math" w:hAnsi="Cambria Math"/>
                </w:rPr>
                <m:t>2</m:t>
              </m:r>
            </m:sup>
          </m:sSup>
          <m:r>
            <w:rPr>
              <w:rFonts w:ascii="Cambria Math" w:hAnsi="Cambria Math"/>
            </w:rPr>
            <m:t xml:space="preserve"> = </m:t>
          </m:r>
          <m:f>
            <m:fPr>
              <m:ctrlPr>
                <w:rPr>
                  <w:rFonts w:ascii="Cambria Math" w:hAnsi="Cambria Math"/>
                </w:rPr>
              </m:ctrlPr>
            </m:fPr>
            <m:num>
              <m:sSub>
                <m:sSubPr>
                  <m:ctrlPr>
                    <w:rPr>
                      <w:rFonts w:ascii="Cambria Math" w:hAnsi="Cambria Math"/>
                    </w:rPr>
                  </m:ctrlPr>
                </m:sSubPr>
                <m:e>
                  <m:r>
                    <w:rPr>
                      <w:rFonts w:ascii="Cambria Math" w:hAnsi="Cambria Math"/>
                    </w:rPr>
                    <m:t>N</m:t>
                  </m:r>
                </m:e>
                <m:sub>
                  <m:r>
                    <w:rPr>
                      <w:rFonts w:ascii="Cambria Math" w:hAnsi="Cambria Math"/>
                    </w:rPr>
                    <m:t>0</m:t>
                  </m:r>
                </m:sub>
              </m:sSub>
            </m:num>
            <m:den>
              <m:r>
                <w:rPr>
                  <w:rFonts w:ascii="Cambria Math" w:hAnsi="Cambria Math"/>
                </w:rPr>
                <m:t>2</m:t>
              </m:r>
            </m:den>
          </m:f>
        </m:oMath>
      </m:oMathPara>
    </w:p>
    <w:p w14:paraId="0CCF558A" w14:textId="77777777" w:rsidR="007121D9" w:rsidRDefault="00000000">
      <w:pPr>
        <w:spacing w:after="120" w:line="276" w:lineRule="auto"/>
        <w:jc w:val="both"/>
      </w:pPr>
      <w:r>
        <w:t>The noise is added with variance σ² per real dimension (real noise for BPSK and BFSK-basis components; independent I and Q noise for the complex schemes).</w:t>
      </w:r>
    </w:p>
    <w:p w14:paraId="09114E87" w14:textId="77777777" w:rsidR="007121D9" w:rsidRDefault="00000000">
      <w:pPr>
        <w:pStyle w:val="Heading2"/>
      </w:pPr>
      <w:bookmarkStart w:id="4" w:name="_Toc243600664"/>
      <w:r>
        <w:lastRenderedPageBreak/>
        <w:t>2.3 Simulation Parameters</w:t>
      </w:r>
      <w:bookmarkEnd w:id="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5826"/>
      </w:tblGrid>
      <w:tr w:rsidR="007121D9" w14:paraId="61BFB724" w14:textId="77777777">
        <w:trPr>
          <w:tblHeader/>
        </w:trPr>
        <w:tc>
          <w:tcPr>
            <w:tcW w:w="3200" w:type="dxa"/>
            <w:tcBorders>
              <w:top w:val="single" w:sz="4" w:space="0" w:color="999999"/>
              <w:left w:val="single" w:sz="4" w:space="0" w:color="999999"/>
              <w:bottom w:val="single" w:sz="4" w:space="0" w:color="999999"/>
              <w:right w:val="single" w:sz="4" w:space="0" w:color="999999"/>
            </w:tcBorders>
            <w:shd w:val="clear" w:color="auto" w:fill="D9E2F3"/>
            <w:tcMar>
              <w:top w:w="40" w:type="dxa"/>
              <w:left w:w="100" w:type="dxa"/>
              <w:bottom w:w="40" w:type="dxa"/>
              <w:right w:w="100" w:type="dxa"/>
            </w:tcMar>
            <w:vAlign w:val="center"/>
          </w:tcPr>
          <w:p w14:paraId="77FE4348" w14:textId="77777777" w:rsidR="007121D9" w:rsidRDefault="00000000">
            <w:pPr>
              <w:spacing w:before="40" w:after="40"/>
              <w:jc w:val="center"/>
            </w:pPr>
            <w:r>
              <w:rPr>
                <w:b/>
                <w:bCs/>
                <w:sz w:val="20"/>
                <w:szCs w:val="20"/>
              </w:rPr>
              <w:t>Parameter</w:t>
            </w:r>
          </w:p>
        </w:tc>
        <w:tc>
          <w:tcPr>
            <w:tcW w:w="5826" w:type="dxa"/>
            <w:tcBorders>
              <w:top w:val="single" w:sz="4" w:space="0" w:color="999999"/>
              <w:left w:val="single" w:sz="4" w:space="0" w:color="999999"/>
              <w:bottom w:val="single" w:sz="4" w:space="0" w:color="999999"/>
              <w:right w:val="single" w:sz="4" w:space="0" w:color="999999"/>
            </w:tcBorders>
            <w:shd w:val="clear" w:color="auto" w:fill="D9E2F3"/>
            <w:tcMar>
              <w:top w:w="40" w:type="dxa"/>
              <w:left w:w="100" w:type="dxa"/>
              <w:bottom w:w="40" w:type="dxa"/>
              <w:right w:w="100" w:type="dxa"/>
            </w:tcMar>
            <w:vAlign w:val="center"/>
          </w:tcPr>
          <w:p w14:paraId="7068061F" w14:textId="77777777" w:rsidR="007121D9" w:rsidRDefault="00000000">
            <w:pPr>
              <w:spacing w:before="40" w:after="40"/>
              <w:jc w:val="center"/>
            </w:pPr>
            <w:r>
              <w:rPr>
                <w:b/>
                <w:bCs/>
                <w:sz w:val="20"/>
                <w:szCs w:val="20"/>
              </w:rPr>
              <w:t>Value</w:t>
            </w:r>
          </w:p>
        </w:tc>
      </w:tr>
      <w:tr w:rsidR="007121D9" w14:paraId="0ACE522C" w14:textId="77777777">
        <w:tc>
          <w:tcPr>
            <w:tcW w:w="3200" w:type="dxa"/>
            <w:tcBorders>
              <w:top w:val="single" w:sz="4" w:space="0" w:color="999999"/>
              <w:left w:val="single" w:sz="4" w:space="0" w:color="999999"/>
              <w:bottom w:val="single" w:sz="4" w:space="0" w:color="999999"/>
              <w:right w:val="single" w:sz="4" w:space="0" w:color="999999"/>
            </w:tcBorders>
            <w:tcMar>
              <w:top w:w="40" w:type="dxa"/>
              <w:left w:w="100" w:type="dxa"/>
              <w:bottom w:w="40" w:type="dxa"/>
              <w:right w:w="100" w:type="dxa"/>
            </w:tcMar>
            <w:vAlign w:val="center"/>
          </w:tcPr>
          <w:p w14:paraId="12E1BEDE" w14:textId="77777777" w:rsidR="007121D9" w:rsidRDefault="00000000">
            <w:pPr>
              <w:spacing w:before="40" w:after="40"/>
            </w:pPr>
            <w:r>
              <w:rPr>
                <w:sz w:val="20"/>
                <w:szCs w:val="20"/>
              </w:rPr>
              <w:t xml:space="preserve">Bits per </w:t>
            </w:r>
            <w:r>
              <w:rPr>
                <w:i/>
                <w:iCs/>
                <w:sz w:val="20"/>
                <w:szCs w:val="20"/>
              </w:rPr>
              <w:t>E</w:t>
            </w:r>
            <w:r>
              <w:rPr>
                <w:sz w:val="20"/>
                <w:szCs w:val="20"/>
                <w:vertAlign w:val="subscript"/>
              </w:rPr>
              <w:t>b</w:t>
            </w:r>
            <w:r>
              <w:rPr>
                <w:sz w:val="20"/>
                <w:szCs w:val="20"/>
              </w:rPr>
              <w:t>/</w:t>
            </w:r>
            <w:r>
              <w:rPr>
                <w:i/>
                <w:iCs/>
                <w:sz w:val="20"/>
                <w:szCs w:val="20"/>
              </w:rPr>
              <w:t>N</w:t>
            </w:r>
            <w:r>
              <w:rPr>
                <w:sz w:val="20"/>
                <w:szCs w:val="20"/>
                <w:vertAlign w:val="subscript"/>
              </w:rPr>
              <w:t>0</w:t>
            </w:r>
            <w:r>
              <w:rPr>
                <w:sz w:val="20"/>
                <w:szCs w:val="20"/>
              </w:rPr>
              <w:t xml:space="preserve"> point</w:t>
            </w:r>
          </w:p>
        </w:tc>
        <w:tc>
          <w:tcPr>
            <w:tcW w:w="5826" w:type="dxa"/>
            <w:tcBorders>
              <w:top w:val="single" w:sz="4" w:space="0" w:color="999999"/>
              <w:left w:val="single" w:sz="4" w:space="0" w:color="999999"/>
              <w:bottom w:val="single" w:sz="4" w:space="0" w:color="999999"/>
              <w:right w:val="single" w:sz="4" w:space="0" w:color="999999"/>
            </w:tcBorders>
            <w:tcMar>
              <w:top w:w="40" w:type="dxa"/>
              <w:left w:w="100" w:type="dxa"/>
              <w:bottom w:w="40" w:type="dxa"/>
              <w:right w:w="100" w:type="dxa"/>
            </w:tcMar>
            <w:vAlign w:val="center"/>
          </w:tcPr>
          <w:p w14:paraId="7963F581" w14:textId="77777777" w:rsidR="007121D9" w:rsidRDefault="00000000">
            <w:pPr>
              <w:spacing w:before="40" w:after="40"/>
            </w:pPr>
            <w:r>
              <w:rPr>
                <w:sz w:val="20"/>
                <w:szCs w:val="20"/>
              </w:rPr>
              <w:t>1.2 × 10⁶ (a multiple of 12, so it divides evenly by 1, 2, 3 and 4 bits per symbol with no padding)</w:t>
            </w:r>
          </w:p>
        </w:tc>
      </w:tr>
      <w:tr w:rsidR="007121D9" w14:paraId="3E3B5148" w14:textId="77777777">
        <w:tc>
          <w:tcPr>
            <w:tcW w:w="3200" w:type="dxa"/>
            <w:tcBorders>
              <w:top w:val="single" w:sz="4" w:space="0" w:color="999999"/>
              <w:left w:val="single" w:sz="4" w:space="0" w:color="999999"/>
              <w:bottom w:val="single" w:sz="4" w:space="0" w:color="999999"/>
              <w:right w:val="single" w:sz="4" w:space="0" w:color="999999"/>
            </w:tcBorders>
            <w:tcMar>
              <w:top w:w="40" w:type="dxa"/>
              <w:left w:w="100" w:type="dxa"/>
              <w:bottom w:w="40" w:type="dxa"/>
              <w:right w:w="100" w:type="dxa"/>
            </w:tcMar>
            <w:vAlign w:val="center"/>
          </w:tcPr>
          <w:p w14:paraId="283322A6" w14:textId="77777777" w:rsidR="007121D9" w:rsidRDefault="00000000">
            <w:pPr>
              <w:spacing w:before="40" w:after="40"/>
            </w:pPr>
            <w:r>
              <w:rPr>
                <w:i/>
                <w:iCs/>
                <w:sz w:val="20"/>
                <w:szCs w:val="20"/>
              </w:rPr>
              <w:t>E</w:t>
            </w:r>
            <w:r>
              <w:rPr>
                <w:sz w:val="20"/>
                <w:szCs w:val="20"/>
                <w:vertAlign w:val="subscript"/>
              </w:rPr>
              <w:t>b</w:t>
            </w:r>
            <w:r>
              <w:rPr>
                <w:sz w:val="20"/>
                <w:szCs w:val="20"/>
              </w:rPr>
              <w:t>/</w:t>
            </w:r>
            <w:r>
              <w:rPr>
                <w:i/>
                <w:iCs/>
                <w:sz w:val="20"/>
                <w:szCs w:val="20"/>
              </w:rPr>
              <w:t>N</w:t>
            </w:r>
            <w:r>
              <w:rPr>
                <w:sz w:val="20"/>
                <w:szCs w:val="20"/>
                <w:vertAlign w:val="subscript"/>
              </w:rPr>
              <w:t>0</w:t>
            </w:r>
            <w:r>
              <w:rPr>
                <w:sz w:val="20"/>
                <w:szCs w:val="20"/>
              </w:rPr>
              <w:t xml:space="preserve"> range</w:t>
            </w:r>
          </w:p>
        </w:tc>
        <w:tc>
          <w:tcPr>
            <w:tcW w:w="5826" w:type="dxa"/>
            <w:tcBorders>
              <w:top w:val="single" w:sz="4" w:space="0" w:color="999999"/>
              <w:left w:val="single" w:sz="4" w:space="0" w:color="999999"/>
              <w:bottom w:val="single" w:sz="4" w:space="0" w:color="999999"/>
              <w:right w:val="single" w:sz="4" w:space="0" w:color="999999"/>
            </w:tcBorders>
            <w:tcMar>
              <w:top w:w="40" w:type="dxa"/>
              <w:left w:w="100" w:type="dxa"/>
              <w:bottom w:w="40" w:type="dxa"/>
              <w:right w:w="100" w:type="dxa"/>
            </w:tcMar>
            <w:vAlign w:val="center"/>
          </w:tcPr>
          <w:p w14:paraId="4CC50AC7" w14:textId="77777777" w:rsidR="007121D9" w:rsidRDefault="00000000">
            <w:pPr>
              <w:spacing w:before="40" w:after="40"/>
            </w:pPr>
            <w:r>
              <w:rPr>
                <w:sz w:val="20"/>
                <w:szCs w:val="20"/>
              </w:rPr>
              <w:t>−2 to 14 dB in 1 dB steps</w:t>
            </w:r>
          </w:p>
        </w:tc>
      </w:tr>
      <w:tr w:rsidR="007121D9" w14:paraId="6AEB7AC7" w14:textId="77777777">
        <w:tc>
          <w:tcPr>
            <w:tcW w:w="3200" w:type="dxa"/>
            <w:tcBorders>
              <w:top w:val="single" w:sz="4" w:space="0" w:color="999999"/>
              <w:left w:val="single" w:sz="4" w:space="0" w:color="999999"/>
              <w:bottom w:val="single" w:sz="4" w:space="0" w:color="999999"/>
              <w:right w:val="single" w:sz="4" w:space="0" w:color="999999"/>
            </w:tcBorders>
            <w:tcMar>
              <w:top w:w="40" w:type="dxa"/>
              <w:left w:w="100" w:type="dxa"/>
              <w:bottom w:w="40" w:type="dxa"/>
              <w:right w:w="100" w:type="dxa"/>
            </w:tcMar>
            <w:vAlign w:val="center"/>
          </w:tcPr>
          <w:p w14:paraId="04A9FA98" w14:textId="77777777" w:rsidR="007121D9" w:rsidRDefault="00000000">
            <w:pPr>
              <w:spacing w:before="40" w:after="40"/>
            </w:pPr>
            <w:r>
              <w:rPr>
                <w:sz w:val="20"/>
                <w:szCs w:val="20"/>
              </w:rPr>
              <w:t>Random seed</w:t>
            </w:r>
          </w:p>
        </w:tc>
        <w:tc>
          <w:tcPr>
            <w:tcW w:w="5826" w:type="dxa"/>
            <w:tcBorders>
              <w:top w:val="single" w:sz="4" w:space="0" w:color="999999"/>
              <w:left w:val="single" w:sz="4" w:space="0" w:color="999999"/>
              <w:bottom w:val="single" w:sz="4" w:space="0" w:color="999999"/>
              <w:right w:val="single" w:sz="4" w:space="0" w:color="999999"/>
            </w:tcBorders>
            <w:tcMar>
              <w:top w:w="40" w:type="dxa"/>
              <w:left w:w="100" w:type="dxa"/>
              <w:bottom w:w="40" w:type="dxa"/>
              <w:right w:w="100" w:type="dxa"/>
            </w:tcMar>
            <w:vAlign w:val="center"/>
          </w:tcPr>
          <w:p w14:paraId="07FF5EFB" w14:textId="77777777" w:rsidR="007121D9" w:rsidRDefault="00000000">
            <w:pPr>
              <w:spacing w:before="40" w:after="40"/>
            </w:pPr>
            <w:r>
              <w:rPr>
                <w:sz w:val="20"/>
                <w:szCs w:val="20"/>
              </w:rPr>
              <w:t>rng('default'): results are reproducible</w:t>
            </w:r>
          </w:p>
        </w:tc>
      </w:tr>
      <w:tr w:rsidR="007121D9" w14:paraId="502DAFEC" w14:textId="77777777">
        <w:tc>
          <w:tcPr>
            <w:tcW w:w="3200" w:type="dxa"/>
            <w:tcBorders>
              <w:top w:val="single" w:sz="4" w:space="0" w:color="999999"/>
              <w:left w:val="single" w:sz="4" w:space="0" w:color="999999"/>
              <w:bottom w:val="single" w:sz="4" w:space="0" w:color="999999"/>
              <w:right w:val="single" w:sz="4" w:space="0" w:color="999999"/>
            </w:tcBorders>
            <w:tcMar>
              <w:top w:w="40" w:type="dxa"/>
              <w:left w:w="100" w:type="dxa"/>
              <w:bottom w:w="40" w:type="dxa"/>
              <w:right w:w="100" w:type="dxa"/>
            </w:tcMar>
            <w:vAlign w:val="center"/>
          </w:tcPr>
          <w:p w14:paraId="66D21BF4" w14:textId="77777777" w:rsidR="007121D9" w:rsidRDefault="00000000">
            <w:pPr>
              <w:spacing w:before="40" w:after="40"/>
            </w:pPr>
            <w:r>
              <w:rPr>
                <w:sz w:val="20"/>
                <w:szCs w:val="20"/>
              </w:rPr>
              <w:t>BFSK PSD</w:t>
            </w:r>
          </w:p>
        </w:tc>
        <w:tc>
          <w:tcPr>
            <w:tcW w:w="5826" w:type="dxa"/>
            <w:tcBorders>
              <w:top w:val="single" w:sz="4" w:space="0" w:color="999999"/>
              <w:left w:val="single" w:sz="4" w:space="0" w:color="999999"/>
              <w:bottom w:val="single" w:sz="4" w:space="0" w:color="999999"/>
              <w:right w:val="single" w:sz="4" w:space="0" w:color="999999"/>
            </w:tcBorders>
            <w:tcMar>
              <w:top w:w="40" w:type="dxa"/>
              <w:left w:w="100" w:type="dxa"/>
              <w:bottom w:w="40" w:type="dxa"/>
              <w:right w:w="100" w:type="dxa"/>
            </w:tcMar>
            <w:vAlign w:val="center"/>
          </w:tcPr>
          <w:p w14:paraId="25873CA1" w14:textId="77777777" w:rsidR="007121D9" w:rsidRDefault="00000000">
            <w:pPr>
              <w:spacing w:before="40" w:after="40"/>
            </w:pPr>
            <w:r>
              <w:rPr>
                <w:sz w:val="20"/>
                <w:szCs w:val="20"/>
              </w:rPr>
              <w:t>Welch method (pwelch), Hamming window of 2048 samples, 50 % overlap, 4096-point FFT; 20 000 bits at 64 samples per bit</w:t>
            </w:r>
          </w:p>
        </w:tc>
      </w:tr>
      <w:tr w:rsidR="007121D9" w14:paraId="371E0E9D" w14:textId="77777777">
        <w:tc>
          <w:tcPr>
            <w:tcW w:w="3200" w:type="dxa"/>
            <w:tcBorders>
              <w:top w:val="single" w:sz="4" w:space="0" w:color="999999"/>
              <w:left w:val="single" w:sz="4" w:space="0" w:color="999999"/>
              <w:bottom w:val="single" w:sz="4" w:space="0" w:color="999999"/>
              <w:right w:val="single" w:sz="4" w:space="0" w:color="999999"/>
            </w:tcBorders>
            <w:tcMar>
              <w:top w:w="40" w:type="dxa"/>
              <w:left w:w="100" w:type="dxa"/>
              <w:bottom w:w="40" w:type="dxa"/>
              <w:right w:w="100" w:type="dxa"/>
            </w:tcMar>
            <w:vAlign w:val="center"/>
          </w:tcPr>
          <w:p w14:paraId="03C2DCDC" w14:textId="77777777" w:rsidR="007121D9" w:rsidRDefault="00000000">
            <w:pPr>
              <w:spacing w:before="40" w:after="40"/>
            </w:pPr>
            <w:r>
              <w:rPr>
                <w:sz w:val="20"/>
                <w:szCs w:val="20"/>
              </w:rPr>
              <w:t>Resolution limit</w:t>
            </w:r>
          </w:p>
        </w:tc>
        <w:tc>
          <w:tcPr>
            <w:tcW w:w="5826" w:type="dxa"/>
            <w:tcBorders>
              <w:top w:val="single" w:sz="4" w:space="0" w:color="999999"/>
              <w:left w:val="single" w:sz="4" w:space="0" w:color="999999"/>
              <w:bottom w:val="single" w:sz="4" w:space="0" w:color="999999"/>
              <w:right w:val="single" w:sz="4" w:space="0" w:color="999999"/>
            </w:tcBorders>
            <w:tcMar>
              <w:top w:w="40" w:type="dxa"/>
              <w:left w:w="100" w:type="dxa"/>
              <w:bottom w:w="40" w:type="dxa"/>
              <w:right w:w="100" w:type="dxa"/>
            </w:tcMar>
            <w:vAlign w:val="center"/>
          </w:tcPr>
          <w:p w14:paraId="659F9B84" w14:textId="77777777" w:rsidR="007121D9" w:rsidRDefault="00000000">
            <w:pPr>
              <w:spacing w:before="40" w:after="40"/>
            </w:pPr>
            <w:r>
              <w:rPr>
                <w:sz w:val="20"/>
                <w:szCs w:val="20"/>
              </w:rPr>
              <w:t>With 1.2 × 10⁶ bits the smallest measurable BER is about 8 × 10⁻⁷</w:t>
            </w:r>
          </w:p>
        </w:tc>
      </w:tr>
    </w:tbl>
    <w:p w14:paraId="172379F3" w14:textId="77777777" w:rsidR="007121D9" w:rsidRDefault="00000000">
      <w:pPr>
        <w:spacing w:before="60" w:after="160"/>
        <w:jc w:val="center"/>
      </w:pPr>
      <w:r>
        <w:rPr>
          <w:i/>
          <w:iCs/>
          <w:sz w:val="20"/>
          <w:szCs w:val="20"/>
        </w:rPr>
        <w:t>Table 2. Simulation parameters.</w:t>
      </w:r>
    </w:p>
    <w:p w14:paraId="470A1BBF" w14:textId="77777777" w:rsidR="007121D9" w:rsidRDefault="00000000">
      <w:pPr>
        <w:pStyle w:val="Heading1"/>
      </w:pPr>
      <w:bookmarkStart w:id="5" w:name="_Toc243600665"/>
      <w:r>
        <w:t>3. Theoretical BER Expressions</w:t>
      </w:r>
      <w:bookmarkEnd w:id="5"/>
    </w:p>
    <w:p w14:paraId="69D73844" w14:textId="77777777" w:rsidR="007121D9" w:rsidRDefault="00000000">
      <w:pPr>
        <w:spacing w:after="120" w:line="276" w:lineRule="auto"/>
        <w:jc w:val="both"/>
      </w:pPr>
      <w:r>
        <w:t xml:space="preserve">With the Q-function Q(x) = ½ erfc(x/√2) and </w:t>
      </w:r>
      <w:r>
        <w:rPr>
          <w:i/>
          <w:iCs/>
        </w:rPr>
        <w:t>γ</w:t>
      </w:r>
      <w:r>
        <w:rPr>
          <w:vertAlign w:val="subscript"/>
        </w:rPr>
        <w:t>b</w:t>
      </w:r>
      <w:r>
        <w:t xml:space="preserve"> = </w:t>
      </w:r>
      <w:r>
        <w:rPr>
          <w:i/>
          <w:iCs/>
        </w:rPr>
        <w:t>E</w:t>
      </w:r>
      <w:r>
        <w:rPr>
          <w:vertAlign w:val="subscript"/>
        </w:rPr>
        <w:t>b</w:t>
      </w:r>
      <w:r>
        <w:t>/</w:t>
      </w:r>
      <w:r>
        <w:rPr>
          <w:i/>
          <w:iCs/>
        </w:rPr>
        <w:t>N</w:t>
      </w:r>
      <w:r>
        <w:rPr>
          <w:vertAlign w:val="subscript"/>
        </w:rPr>
        <w:t>0</w:t>
      </w:r>
      <w:r>
        <w:t>, the reference curves drawn with the simulated points are: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4726"/>
        <w:gridCol w:w="2000"/>
      </w:tblGrid>
      <w:tr w:rsidR="007121D9" w14:paraId="379275F5" w14:textId="77777777">
        <w:trPr>
          <w:tblHeader/>
        </w:trPr>
        <w:tc>
          <w:tcPr>
            <w:tcW w:w="2300" w:type="dxa"/>
            <w:tcBorders>
              <w:top w:val="single" w:sz="4" w:space="0" w:color="999999"/>
              <w:left w:val="single" w:sz="4" w:space="0" w:color="999999"/>
              <w:bottom w:val="single" w:sz="4" w:space="0" w:color="999999"/>
              <w:right w:val="single" w:sz="4" w:space="0" w:color="999999"/>
            </w:tcBorders>
            <w:shd w:val="clear" w:color="auto" w:fill="D9E2F3"/>
            <w:tcMar>
              <w:top w:w="40" w:type="dxa"/>
              <w:left w:w="100" w:type="dxa"/>
              <w:bottom w:w="40" w:type="dxa"/>
              <w:right w:w="100" w:type="dxa"/>
            </w:tcMar>
            <w:vAlign w:val="center"/>
          </w:tcPr>
          <w:p w14:paraId="0096664B" w14:textId="77777777" w:rsidR="007121D9" w:rsidRDefault="00000000">
            <w:pPr>
              <w:spacing w:before="40" w:after="40"/>
              <w:jc w:val="center"/>
            </w:pPr>
            <w:r>
              <w:rPr>
                <w:b/>
                <w:bCs/>
                <w:sz w:val="20"/>
                <w:szCs w:val="20"/>
              </w:rPr>
              <w:t>Scheme</w:t>
            </w:r>
          </w:p>
        </w:tc>
        <w:tc>
          <w:tcPr>
            <w:tcW w:w="4726" w:type="dxa"/>
            <w:tcBorders>
              <w:top w:val="single" w:sz="4" w:space="0" w:color="999999"/>
              <w:left w:val="single" w:sz="4" w:space="0" w:color="999999"/>
              <w:bottom w:val="single" w:sz="4" w:space="0" w:color="999999"/>
              <w:right w:val="single" w:sz="4" w:space="0" w:color="999999"/>
            </w:tcBorders>
            <w:shd w:val="clear" w:color="auto" w:fill="D9E2F3"/>
            <w:tcMar>
              <w:top w:w="40" w:type="dxa"/>
              <w:left w:w="100" w:type="dxa"/>
              <w:bottom w:w="40" w:type="dxa"/>
              <w:right w:w="100" w:type="dxa"/>
            </w:tcMar>
            <w:vAlign w:val="center"/>
          </w:tcPr>
          <w:p w14:paraId="24DEF9B4" w14:textId="77777777" w:rsidR="007121D9" w:rsidRDefault="00000000">
            <w:pPr>
              <w:spacing w:before="40" w:after="40"/>
              <w:jc w:val="center"/>
            </w:pPr>
            <w:r>
              <w:rPr>
                <w:b/>
                <w:bCs/>
                <w:sz w:val="20"/>
                <w:szCs w:val="20"/>
              </w:rPr>
              <w:t>Theoretical BER</w:t>
            </w:r>
          </w:p>
        </w:tc>
        <w:tc>
          <w:tcPr>
            <w:tcW w:w="2000" w:type="dxa"/>
            <w:tcBorders>
              <w:top w:val="single" w:sz="4" w:space="0" w:color="999999"/>
              <w:left w:val="single" w:sz="4" w:space="0" w:color="999999"/>
              <w:bottom w:val="single" w:sz="4" w:space="0" w:color="999999"/>
              <w:right w:val="single" w:sz="4" w:space="0" w:color="999999"/>
            </w:tcBorders>
            <w:shd w:val="clear" w:color="auto" w:fill="D9E2F3"/>
            <w:tcMar>
              <w:top w:w="40" w:type="dxa"/>
              <w:left w:w="100" w:type="dxa"/>
              <w:bottom w:w="40" w:type="dxa"/>
              <w:right w:w="100" w:type="dxa"/>
            </w:tcMar>
            <w:vAlign w:val="center"/>
          </w:tcPr>
          <w:p w14:paraId="191E398C" w14:textId="77777777" w:rsidR="007121D9" w:rsidRDefault="00000000">
            <w:pPr>
              <w:spacing w:before="40" w:after="40"/>
              <w:jc w:val="center"/>
            </w:pPr>
            <w:r>
              <w:rPr>
                <w:b/>
                <w:bCs/>
                <w:sz w:val="20"/>
                <w:szCs w:val="20"/>
              </w:rPr>
              <w:t>Type</w:t>
            </w:r>
          </w:p>
        </w:tc>
      </w:tr>
      <w:tr w:rsidR="007121D9" w14:paraId="30D3460D" w14:textId="77777777">
        <w:tc>
          <w:tcPr>
            <w:tcW w:w="2300" w:type="dxa"/>
            <w:tcBorders>
              <w:top w:val="single" w:sz="4" w:space="0" w:color="999999"/>
              <w:left w:val="single" w:sz="4" w:space="0" w:color="999999"/>
              <w:bottom w:val="single" w:sz="4" w:space="0" w:color="999999"/>
              <w:right w:val="single" w:sz="4" w:space="0" w:color="999999"/>
            </w:tcBorders>
            <w:tcMar>
              <w:top w:w="40" w:type="dxa"/>
              <w:left w:w="100" w:type="dxa"/>
              <w:bottom w:w="40" w:type="dxa"/>
              <w:right w:w="100" w:type="dxa"/>
            </w:tcMar>
            <w:vAlign w:val="center"/>
          </w:tcPr>
          <w:p w14:paraId="08C3FBC8" w14:textId="77777777" w:rsidR="007121D9" w:rsidRDefault="00000000">
            <w:pPr>
              <w:spacing w:before="40" w:after="40"/>
            </w:pPr>
            <w:r>
              <w:rPr>
                <w:sz w:val="20"/>
                <w:szCs w:val="20"/>
              </w:rPr>
              <w:t>BPSK</w:t>
            </w:r>
          </w:p>
        </w:tc>
        <w:tc>
          <w:tcPr>
            <w:tcW w:w="4726" w:type="dxa"/>
            <w:tcBorders>
              <w:top w:val="single" w:sz="4" w:space="0" w:color="999999"/>
              <w:left w:val="single" w:sz="4" w:space="0" w:color="999999"/>
              <w:bottom w:val="single" w:sz="4" w:space="0" w:color="999999"/>
              <w:right w:val="single" w:sz="4" w:space="0" w:color="999999"/>
            </w:tcBorders>
            <w:tcMar>
              <w:top w:w="40" w:type="dxa"/>
              <w:left w:w="100" w:type="dxa"/>
              <w:bottom w:w="40" w:type="dxa"/>
              <w:right w:w="100" w:type="dxa"/>
            </w:tcMar>
            <w:vAlign w:val="center"/>
          </w:tcPr>
          <w:p w14:paraId="619ED343" w14:textId="77777777" w:rsidR="007121D9" w:rsidRDefault="00000000">
            <w:pPr>
              <w:jc w:val="center"/>
            </w:pPr>
            <m:oMathPara>
              <m:oMath>
                <m:sSub>
                  <m:sSubPr>
                    <m:ctrlPr>
                      <w:rPr>
                        <w:rFonts w:ascii="Cambria Math" w:hAnsi="Cambria Math"/>
                      </w:rPr>
                    </m:ctrlPr>
                  </m:sSubPr>
                  <m:e>
                    <m:r>
                      <w:rPr>
                        <w:rFonts w:ascii="Cambria Math" w:hAnsi="Cambria Math"/>
                      </w:rPr>
                      <m:t>P</m:t>
                    </m:r>
                  </m:e>
                  <m:sub>
                    <m:r>
                      <w:rPr>
                        <w:rFonts w:ascii="Cambria Math" w:hAnsi="Cambria Math"/>
                      </w:rPr>
                      <m:t>b</m:t>
                    </m:r>
                  </m:sub>
                </m:sSub>
                <m:r>
                  <w:rPr>
                    <w:rFonts w:ascii="Cambria Math" w:hAnsi="Cambria Math"/>
                  </w:rPr>
                  <m:t xml:space="preserve"> = Q</m:t>
                </m:r>
                <m:d>
                  <m:dPr>
                    <m:ctrlPr>
                      <w:rPr>
                        <w:rFonts w:ascii="Cambria Math" w:hAnsi="Cambria Math"/>
                      </w:rPr>
                    </m:ctrlPr>
                  </m:dPr>
                  <m:e>
                    <m:rad>
                      <m:radPr>
                        <m:degHide m:val="1"/>
                        <m:ctrlPr>
                          <w:rPr>
                            <w:rFonts w:ascii="Cambria Math" w:hAnsi="Cambria Math"/>
                          </w:rPr>
                        </m:ctrlPr>
                      </m:radPr>
                      <m:deg/>
                      <m:e>
                        <m:r>
                          <w:rPr>
                            <w:rFonts w:ascii="Cambria Math" w:hAnsi="Cambria Math"/>
                          </w:rPr>
                          <m:t>2</m:t>
                        </m:r>
                        <m:sSub>
                          <m:sSubPr>
                            <m:ctrlPr>
                              <w:rPr>
                                <w:rFonts w:ascii="Cambria Math" w:hAnsi="Cambria Math"/>
                              </w:rPr>
                            </m:ctrlPr>
                          </m:sSubPr>
                          <m:e>
                            <m:r>
                              <w:rPr>
                                <w:rFonts w:ascii="Cambria Math" w:hAnsi="Cambria Math"/>
                              </w:rPr>
                              <m:t>γ</m:t>
                            </m:r>
                          </m:e>
                          <m:sub>
                            <m:r>
                              <w:rPr>
                                <w:rFonts w:ascii="Cambria Math" w:hAnsi="Cambria Math"/>
                              </w:rPr>
                              <m:t>b</m:t>
                            </m:r>
                          </m:sub>
                        </m:sSub>
                      </m:e>
                    </m:rad>
                  </m:e>
                </m:d>
              </m:oMath>
            </m:oMathPara>
          </w:p>
        </w:tc>
        <w:tc>
          <w:tcPr>
            <w:tcW w:w="2000" w:type="dxa"/>
            <w:tcBorders>
              <w:top w:val="single" w:sz="4" w:space="0" w:color="999999"/>
              <w:left w:val="single" w:sz="4" w:space="0" w:color="999999"/>
              <w:bottom w:val="single" w:sz="4" w:space="0" w:color="999999"/>
              <w:right w:val="single" w:sz="4" w:space="0" w:color="999999"/>
            </w:tcBorders>
            <w:tcMar>
              <w:top w:w="40" w:type="dxa"/>
              <w:left w:w="100" w:type="dxa"/>
              <w:bottom w:w="40" w:type="dxa"/>
              <w:right w:w="100" w:type="dxa"/>
            </w:tcMar>
            <w:vAlign w:val="center"/>
          </w:tcPr>
          <w:p w14:paraId="251BA69B" w14:textId="77777777" w:rsidR="007121D9" w:rsidRDefault="00000000">
            <w:pPr>
              <w:spacing w:before="40" w:after="40"/>
              <w:jc w:val="center"/>
            </w:pPr>
            <w:r>
              <w:rPr>
                <w:sz w:val="20"/>
                <w:szCs w:val="20"/>
              </w:rPr>
              <w:t>Exact</w:t>
            </w:r>
          </w:p>
        </w:tc>
      </w:tr>
      <w:tr w:rsidR="007121D9" w14:paraId="3B893E59" w14:textId="77777777">
        <w:tc>
          <w:tcPr>
            <w:tcW w:w="2300" w:type="dxa"/>
            <w:tcBorders>
              <w:top w:val="single" w:sz="4" w:space="0" w:color="999999"/>
              <w:left w:val="single" w:sz="4" w:space="0" w:color="999999"/>
              <w:bottom w:val="single" w:sz="4" w:space="0" w:color="999999"/>
              <w:right w:val="single" w:sz="4" w:space="0" w:color="999999"/>
            </w:tcBorders>
            <w:tcMar>
              <w:top w:w="40" w:type="dxa"/>
              <w:left w:w="100" w:type="dxa"/>
              <w:bottom w:w="40" w:type="dxa"/>
              <w:right w:w="100" w:type="dxa"/>
            </w:tcMar>
            <w:vAlign w:val="center"/>
          </w:tcPr>
          <w:p w14:paraId="34332DFA" w14:textId="77777777" w:rsidR="007121D9" w:rsidRDefault="00000000">
            <w:pPr>
              <w:spacing w:before="40" w:after="40"/>
            </w:pPr>
            <w:r>
              <w:rPr>
                <w:sz w:val="20"/>
                <w:szCs w:val="20"/>
              </w:rPr>
              <w:t>QPSK (Gray)</w:t>
            </w:r>
          </w:p>
        </w:tc>
        <w:tc>
          <w:tcPr>
            <w:tcW w:w="4726" w:type="dxa"/>
            <w:tcBorders>
              <w:top w:val="single" w:sz="4" w:space="0" w:color="999999"/>
              <w:left w:val="single" w:sz="4" w:space="0" w:color="999999"/>
              <w:bottom w:val="single" w:sz="4" w:space="0" w:color="999999"/>
              <w:right w:val="single" w:sz="4" w:space="0" w:color="999999"/>
            </w:tcBorders>
            <w:tcMar>
              <w:top w:w="40" w:type="dxa"/>
              <w:left w:w="100" w:type="dxa"/>
              <w:bottom w:w="40" w:type="dxa"/>
              <w:right w:w="100" w:type="dxa"/>
            </w:tcMar>
            <w:vAlign w:val="center"/>
          </w:tcPr>
          <w:p w14:paraId="2A778DB6" w14:textId="77777777" w:rsidR="007121D9" w:rsidRDefault="00000000">
            <w:pPr>
              <w:jc w:val="center"/>
            </w:pPr>
            <m:oMathPara>
              <m:oMath>
                <m:sSub>
                  <m:sSubPr>
                    <m:ctrlPr>
                      <w:rPr>
                        <w:rFonts w:ascii="Cambria Math" w:hAnsi="Cambria Math"/>
                      </w:rPr>
                    </m:ctrlPr>
                  </m:sSubPr>
                  <m:e>
                    <m:r>
                      <w:rPr>
                        <w:rFonts w:ascii="Cambria Math" w:hAnsi="Cambria Math"/>
                      </w:rPr>
                      <m:t>P</m:t>
                    </m:r>
                  </m:e>
                  <m:sub>
                    <m:r>
                      <w:rPr>
                        <w:rFonts w:ascii="Cambria Math" w:hAnsi="Cambria Math"/>
                      </w:rPr>
                      <m:t>b</m:t>
                    </m:r>
                  </m:sub>
                </m:sSub>
                <m:r>
                  <w:rPr>
                    <w:rFonts w:ascii="Cambria Math" w:hAnsi="Cambria Math"/>
                  </w:rPr>
                  <m:t xml:space="preserve"> = Q</m:t>
                </m:r>
                <m:d>
                  <m:dPr>
                    <m:ctrlPr>
                      <w:rPr>
                        <w:rFonts w:ascii="Cambria Math" w:hAnsi="Cambria Math"/>
                      </w:rPr>
                    </m:ctrlPr>
                  </m:dPr>
                  <m:e>
                    <m:rad>
                      <m:radPr>
                        <m:degHide m:val="1"/>
                        <m:ctrlPr>
                          <w:rPr>
                            <w:rFonts w:ascii="Cambria Math" w:hAnsi="Cambria Math"/>
                          </w:rPr>
                        </m:ctrlPr>
                      </m:radPr>
                      <m:deg/>
                      <m:e>
                        <m:r>
                          <w:rPr>
                            <w:rFonts w:ascii="Cambria Math" w:hAnsi="Cambria Math"/>
                          </w:rPr>
                          <m:t>2</m:t>
                        </m:r>
                        <m:sSub>
                          <m:sSubPr>
                            <m:ctrlPr>
                              <w:rPr>
                                <w:rFonts w:ascii="Cambria Math" w:hAnsi="Cambria Math"/>
                              </w:rPr>
                            </m:ctrlPr>
                          </m:sSubPr>
                          <m:e>
                            <m:r>
                              <w:rPr>
                                <w:rFonts w:ascii="Cambria Math" w:hAnsi="Cambria Math"/>
                              </w:rPr>
                              <m:t>γ</m:t>
                            </m:r>
                          </m:e>
                          <m:sub>
                            <m:r>
                              <w:rPr>
                                <w:rFonts w:ascii="Cambria Math" w:hAnsi="Cambria Math"/>
                              </w:rPr>
                              <m:t>b</m:t>
                            </m:r>
                          </m:sub>
                        </m:sSub>
                      </m:e>
                    </m:rad>
                  </m:e>
                </m:d>
              </m:oMath>
            </m:oMathPara>
          </w:p>
        </w:tc>
        <w:tc>
          <w:tcPr>
            <w:tcW w:w="2000" w:type="dxa"/>
            <w:tcBorders>
              <w:top w:val="single" w:sz="4" w:space="0" w:color="999999"/>
              <w:left w:val="single" w:sz="4" w:space="0" w:color="999999"/>
              <w:bottom w:val="single" w:sz="4" w:space="0" w:color="999999"/>
              <w:right w:val="single" w:sz="4" w:space="0" w:color="999999"/>
            </w:tcBorders>
            <w:tcMar>
              <w:top w:w="40" w:type="dxa"/>
              <w:left w:w="100" w:type="dxa"/>
              <w:bottom w:w="40" w:type="dxa"/>
              <w:right w:w="100" w:type="dxa"/>
            </w:tcMar>
            <w:vAlign w:val="center"/>
          </w:tcPr>
          <w:p w14:paraId="47845A4E" w14:textId="77777777" w:rsidR="007121D9" w:rsidRDefault="00000000">
            <w:pPr>
              <w:spacing w:before="40" w:after="40"/>
              <w:jc w:val="center"/>
            </w:pPr>
            <w:r>
              <w:rPr>
                <w:sz w:val="20"/>
                <w:szCs w:val="20"/>
              </w:rPr>
              <w:t>Exact</w:t>
            </w:r>
          </w:p>
        </w:tc>
      </w:tr>
      <w:tr w:rsidR="007121D9" w14:paraId="06ECF024" w14:textId="77777777">
        <w:tc>
          <w:tcPr>
            <w:tcW w:w="2300" w:type="dxa"/>
            <w:tcBorders>
              <w:top w:val="single" w:sz="4" w:space="0" w:color="999999"/>
              <w:left w:val="single" w:sz="4" w:space="0" w:color="999999"/>
              <w:bottom w:val="single" w:sz="4" w:space="0" w:color="999999"/>
              <w:right w:val="single" w:sz="4" w:space="0" w:color="999999"/>
            </w:tcBorders>
            <w:tcMar>
              <w:top w:w="40" w:type="dxa"/>
              <w:left w:w="100" w:type="dxa"/>
              <w:bottom w:w="40" w:type="dxa"/>
              <w:right w:w="100" w:type="dxa"/>
            </w:tcMar>
            <w:vAlign w:val="center"/>
          </w:tcPr>
          <w:p w14:paraId="1B29B846" w14:textId="77777777" w:rsidR="007121D9" w:rsidRDefault="00000000">
            <w:pPr>
              <w:spacing w:before="40" w:after="40"/>
            </w:pPr>
            <w:r>
              <w:rPr>
                <w:sz w:val="20"/>
                <w:szCs w:val="20"/>
              </w:rPr>
              <w:t>QPSK (non-Gray)</w:t>
            </w:r>
          </w:p>
        </w:tc>
        <w:tc>
          <w:tcPr>
            <w:tcW w:w="4726" w:type="dxa"/>
            <w:tcBorders>
              <w:top w:val="single" w:sz="4" w:space="0" w:color="999999"/>
              <w:left w:val="single" w:sz="4" w:space="0" w:color="999999"/>
              <w:bottom w:val="single" w:sz="4" w:space="0" w:color="999999"/>
              <w:right w:val="single" w:sz="4" w:space="0" w:color="999999"/>
            </w:tcBorders>
            <w:tcMar>
              <w:top w:w="40" w:type="dxa"/>
              <w:left w:w="100" w:type="dxa"/>
              <w:bottom w:w="40" w:type="dxa"/>
              <w:right w:w="100" w:type="dxa"/>
            </w:tcMar>
            <w:vAlign w:val="center"/>
          </w:tcPr>
          <w:p w14:paraId="2A8F0409" w14:textId="77777777" w:rsidR="007121D9" w:rsidRDefault="00000000">
            <w:pPr>
              <w:jc w:val="center"/>
            </w:pPr>
            <m:oMathPara>
              <m:oMath>
                <m:sSub>
                  <m:sSubPr>
                    <m:ctrlPr>
                      <w:rPr>
                        <w:rFonts w:ascii="Cambria Math" w:hAnsi="Cambria Math"/>
                      </w:rPr>
                    </m:ctrlPr>
                  </m:sSubPr>
                  <m:e>
                    <m:r>
                      <w:rPr>
                        <w:rFonts w:ascii="Cambria Math" w:hAnsi="Cambria Math"/>
                      </w:rPr>
                      <m:t>P</m:t>
                    </m:r>
                  </m:e>
                  <m:sub>
                    <m:r>
                      <w:rPr>
                        <w:rFonts w:ascii="Cambria Math" w:hAnsi="Cambria Math"/>
                      </w:rPr>
                      <m:t>b</m:t>
                    </m:r>
                  </m:sub>
                </m:sSub>
                <m:r>
                  <w:rPr>
                    <w:rFonts w:ascii="Cambria Math" w:hAnsi="Cambria Math"/>
                  </w:rPr>
                  <m:t xml:space="preserve"> = </m:t>
                </m:r>
                <m:f>
                  <m:fPr>
                    <m:ctrlPr>
                      <w:rPr>
                        <w:rFonts w:ascii="Cambria Math" w:hAnsi="Cambria Math"/>
                      </w:rPr>
                    </m:ctrlPr>
                  </m:fPr>
                  <m:num>
                    <m:r>
                      <w:rPr>
                        <w:rFonts w:ascii="Cambria Math" w:hAnsi="Cambria Math"/>
                      </w:rPr>
                      <m:t>3</m:t>
                    </m:r>
                  </m:num>
                  <m:den>
                    <m:r>
                      <w:rPr>
                        <w:rFonts w:ascii="Cambria Math" w:hAnsi="Cambria Math"/>
                      </w:rPr>
                      <m:t>2</m:t>
                    </m:r>
                  </m:den>
                </m:f>
                <m:r>
                  <w:rPr>
                    <w:rFonts w:ascii="Cambria Math" w:hAnsi="Cambria Math"/>
                  </w:rPr>
                  <m:t xml:space="preserve">p - </m:t>
                </m:r>
                <m:sSup>
                  <m:sSupPr>
                    <m:ctrlPr>
                      <w:rPr>
                        <w:rFonts w:ascii="Cambria Math" w:hAnsi="Cambria Math"/>
                      </w:rPr>
                    </m:ctrlPr>
                  </m:sSupPr>
                  <m:e>
                    <m:r>
                      <w:rPr>
                        <w:rFonts w:ascii="Cambria Math" w:hAnsi="Cambria Math"/>
                      </w:rPr>
                      <m:t>p</m:t>
                    </m:r>
                  </m:e>
                  <m:sup>
                    <m:r>
                      <w:rPr>
                        <w:rFonts w:ascii="Cambria Math" w:hAnsi="Cambria Math"/>
                      </w:rPr>
                      <m:t>2</m:t>
                    </m:r>
                  </m:sup>
                </m:sSup>
                <m:r>
                  <w:rPr>
                    <w:rFonts w:ascii="Cambria Math" w:hAnsi="Cambria Math"/>
                  </w:rPr>
                  <m:t>,   p = Q</m:t>
                </m:r>
                <m:d>
                  <m:dPr>
                    <m:ctrlPr>
                      <w:rPr>
                        <w:rFonts w:ascii="Cambria Math" w:hAnsi="Cambria Math"/>
                      </w:rPr>
                    </m:ctrlPr>
                  </m:dPr>
                  <m:e>
                    <m:rad>
                      <m:radPr>
                        <m:degHide m:val="1"/>
                        <m:ctrlPr>
                          <w:rPr>
                            <w:rFonts w:ascii="Cambria Math" w:hAnsi="Cambria Math"/>
                          </w:rPr>
                        </m:ctrlPr>
                      </m:radPr>
                      <m:deg/>
                      <m:e>
                        <m:r>
                          <w:rPr>
                            <w:rFonts w:ascii="Cambria Math" w:hAnsi="Cambria Math"/>
                          </w:rPr>
                          <m:t>2</m:t>
                        </m:r>
                        <m:sSub>
                          <m:sSubPr>
                            <m:ctrlPr>
                              <w:rPr>
                                <w:rFonts w:ascii="Cambria Math" w:hAnsi="Cambria Math"/>
                              </w:rPr>
                            </m:ctrlPr>
                          </m:sSubPr>
                          <m:e>
                            <m:r>
                              <w:rPr>
                                <w:rFonts w:ascii="Cambria Math" w:hAnsi="Cambria Math"/>
                              </w:rPr>
                              <m:t>γ</m:t>
                            </m:r>
                          </m:e>
                          <m:sub>
                            <m:r>
                              <w:rPr>
                                <w:rFonts w:ascii="Cambria Math" w:hAnsi="Cambria Math"/>
                              </w:rPr>
                              <m:t>b</m:t>
                            </m:r>
                          </m:sub>
                        </m:sSub>
                      </m:e>
                    </m:rad>
                  </m:e>
                </m:d>
              </m:oMath>
            </m:oMathPara>
          </w:p>
        </w:tc>
        <w:tc>
          <w:tcPr>
            <w:tcW w:w="2000" w:type="dxa"/>
            <w:tcBorders>
              <w:top w:val="single" w:sz="4" w:space="0" w:color="999999"/>
              <w:left w:val="single" w:sz="4" w:space="0" w:color="999999"/>
              <w:bottom w:val="single" w:sz="4" w:space="0" w:color="999999"/>
              <w:right w:val="single" w:sz="4" w:space="0" w:color="999999"/>
            </w:tcBorders>
            <w:tcMar>
              <w:top w:w="40" w:type="dxa"/>
              <w:left w:w="100" w:type="dxa"/>
              <w:bottom w:w="40" w:type="dxa"/>
              <w:right w:w="100" w:type="dxa"/>
            </w:tcMar>
            <w:vAlign w:val="center"/>
          </w:tcPr>
          <w:p w14:paraId="4B9AA65C" w14:textId="77777777" w:rsidR="007121D9" w:rsidRDefault="00000000">
            <w:pPr>
              <w:spacing w:before="40" w:after="40"/>
              <w:jc w:val="center"/>
            </w:pPr>
            <w:r>
              <w:rPr>
                <w:sz w:val="20"/>
                <w:szCs w:val="20"/>
              </w:rPr>
              <w:t>Exact</w:t>
            </w:r>
          </w:p>
        </w:tc>
      </w:tr>
      <w:tr w:rsidR="007121D9" w14:paraId="4B4A9CDD" w14:textId="77777777">
        <w:tc>
          <w:tcPr>
            <w:tcW w:w="2300" w:type="dxa"/>
            <w:tcBorders>
              <w:top w:val="single" w:sz="4" w:space="0" w:color="999999"/>
              <w:left w:val="single" w:sz="4" w:space="0" w:color="999999"/>
              <w:bottom w:val="single" w:sz="4" w:space="0" w:color="999999"/>
              <w:right w:val="single" w:sz="4" w:space="0" w:color="999999"/>
            </w:tcBorders>
            <w:tcMar>
              <w:top w:w="40" w:type="dxa"/>
              <w:left w:w="100" w:type="dxa"/>
              <w:bottom w:w="40" w:type="dxa"/>
              <w:right w:w="100" w:type="dxa"/>
            </w:tcMar>
            <w:vAlign w:val="center"/>
          </w:tcPr>
          <w:p w14:paraId="4AC54AF4" w14:textId="77777777" w:rsidR="007121D9" w:rsidRDefault="00000000">
            <w:pPr>
              <w:spacing w:before="40" w:after="40"/>
            </w:pPr>
            <w:r>
              <w:rPr>
                <w:sz w:val="20"/>
                <w:szCs w:val="20"/>
              </w:rPr>
              <w:t>8PSK (Gray)</w:t>
            </w:r>
          </w:p>
        </w:tc>
        <w:tc>
          <w:tcPr>
            <w:tcW w:w="4726" w:type="dxa"/>
            <w:tcBorders>
              <w:top w:val="single" w:sz="4" w:space="0" w:color="999999"/>
              <w:left w:val="single" w:sz="4" w:space="0" w:color="999999"/>
              <w:bottom w:val="single" w:sz="4" w:space="0" w:color="999999"/>
              <w:right w:val="single" w:sz="4" w:space="0" w:color="999999"/>
            </w:tcBorders>
            <w:tcMar>
              <w:top w:w="40" w:type="dxa"/>
              <w:left w:w="100" w:type="dxa"/>
              <w:bottom w:w="40" w:type="dxa"/>
              <w:right w:w="100" w:type="dxa"/>
            </w:tcMar>
            <w:vAlign w:val="center"/>
          </w:tcPr>
          <w:p w14:paraId="0DD93D1F" w14:textId="77777777" w:rsidR="007121D9" w:rsidRDefault="00000000">
            <w:pPr>
              <w:jc w:val="center"/>
            </w:pPr>
            <m:oMathPara>
              <m:oMath>
                <m:sSub>
                  <m:sSubPr>
                    <m:ctrlPr>
                      <w:rPr>
                        <w:rFonts w:ascii="Cambria Math" w:hAnsi="Cambria Math"/>
                      </w:rPr>
                    </m:ctrlPr>
                  </m:sSubPr>
                  <m:e>
                    <m:r>
                      <w:rPr>
                        <w:rFonts w:ascii="Cambria Math" w:hAnsi="Cambria Math"/>
                      </w:rPr>
                      <m:t>P</m:t>
                    </m:r>
                  </m:e>
                  <m:sub>
                    <m:r>
                      <w:rPr>
                        <w:rFonts w:ascii="Cambria Math" w:hAnsi="Cambria Math"/>
                      </w:rPr>
                      <m:t>b</m:t>
                    </m:r>
                  </m:sub>
                </m:sSub>
                <m:r>
                  <w:rPr>
                    <w:rFonts w:ascii="Cambria Math" w:hAnsi="Cambria Math"/>
                  </w:rPr>
                  <m:t xml:space="preserve"> ≈ </m:t>
                </m:r>
                <m:f>
                  <m:fPr>
                    <m:ctrlPr>
                      <w:rPr>
                        <w:rFonts w:ascii="Cambria Math" w:hAnsi="Cambria Math"/>
                      </w:rPr>
                    </m:ctrlPr>
                  </m:fPr>
                  <m:num>
                    <m:r>
                      <w:rPr>
                        <w:rFonts w:ascii="Cambria Math" w:hAnsi="Cambria Math"/>
                      </w:rPr>
                      <m:t>2</m:t>
                    </m:r>
                  </m:num>
                  <m:den>
                    <m:r>
                      <w:rPr>
                        <w:rFonts w:ascii="Cambria Math" w:hAnsi="Cambria Math"/>
                      </w:rPr>
                      <m:t>3</m:t>
                    </m:r>
                  </m:den>
                </m:f>
                <m:r>
                  <w:rPr>
                    <w:rFonts w:ascii="Cambria Math" w:hAnsi="Cambria Math"/>
                  </w:rPr>
                  <m:t>Q</m:t>
                </m:r>
                <m:d>
                  <m:dPr>
                    <m:ctrlPr>
                      <w:rPr>
                        <w:rFonts w:ascii="Cambria Math" w:hAnsi="Cambria Math"/>
                      </w:rPr>
                    </m:ctrlPr>
                  </m:dPr>
                  <m:e>
                    <m:rad>
                      <m:radPr>
                        <m:degHide m:val="1"/>
                        <m:ctrlPr>
                          <w:rPr>
                            <w:rFonts w:ascii="Cambria Math" w:hAnsi="Cambria Math"/>
                          </w:rPr>
                        </m:ctrlPr>
                      </m:radPr>
                      <m:deg/>
                      <m:e>
                        <m:r>
                          <w:rPr>
                            <w:rFonts w:ascii="Cambria Math" w:hAnsi="Cambria Math"/>
                          </w:rPr>
                          <m:t>6</m:t>
                        </m:r>
                        <m:sSub>
                          <m:sSubPr>
                            <m:ctrlPr>
                              <w:rPr>
                                <w:rFonts w:ascii="Cambria Math" w:hAnsi="Cambria Math"/>
                              </w:rPr>
                            </m:ctrlPr>
                          </m:sSubPr>
                          <m:e>
                            <m:r>
                              <w:rPr>
                                <w:rFonts w:ascii="Cambria Math" w:hAnsi="Cambria Math"/>
                              </w:rPr>
                              <m:t>γ</m:t>
                            </m:r>
                          </m:e>
                          <m:sub>
                            <m:r>
                              <w:rPr>
                                <w:rFonts w:ascii="Cambria Math" w:hAnsi="Cambria Math"/>
                              </w:rPr>
                              <m:t>b</m:t>
                            </m:r>
                          </m:sub>
                        </m:sSub>
                      </m:e>
                    </m:rad>
                    <m:func>
                      <m:funcPr>
                        <m:ctrlPr>
                          <w:rPr>
                            <w:rFonts w:ascii="Cambria Math" w:hAnsi="Cambria Math"/>
                          </w:rPr>
                        </m:ctrlPr>
                      </m:funcPr>
                      <m:fName>
                        <m:r>
                          <w:rPr>
                            <w:rFonts w:ascii="Cambria Math" w:hAnsi="Cambria Math"/>
                          </w:rPr>
                          <m:t>sin</m:t>
                        </m:r>
                      </m:fName>
                      <m:e>
                        <m:d>
                          <m:dPr>
                            <m:ctrlPr>
                              <w:rPr>
                                <w:rFonts w:ascii="Cambria Math" w:hAnsi="Cambria Math"/>
                              </w:rPr>
                            </m:ctrlPr>
                          </m:dPr>
                          <m:e>
                            <m:f>
                              <m:fPr>
                                <m:ctrlPr>
                                  <w:rPr>
                                    <w:rFonts w:ascii="Cambria Math" w:hAnsi="Cambria Math"/>
                                  </w:rPr>
                                </m:ctrlPr>
                              </m:fPr>
                              <m:num>
                                <m:r>
                                  <w:rPr>
                                    <w:rFonts w:ascii="Cambria Math" w:hAnsi="Cambria Math"/>
                                  </w:rPr>
                                  <m:t>π</m:t>
                                </m:r>
                              </m:num>
                              <m:den>
                                <m:r>
                                  <w:rPr>
                                    <w:rFonts w:ascii="Cambria Math" w:hAnsi="Cambria Math"/>
                                  </w:rPr>
                                  <m:t>8</m:t>
                                </m:r>
                              </m:den>
                            </m:f>
                          </m:e>
                        </m:d>
                      </m:e>
                    </m:func>
                  </m:e>
                </m:d>
              </m:oMath>
            </m:oMathPara>
          </w:p>
        </w:tc>
        <w:tc>
          <w:tcPr>
            <w:tcW w:w="2000" w:type="dxa"/>
            <w:tcBorders>
              <w:top w:val="single" w:sz="4" w:space="0" w:color="999999"/>
              <w:left w:val="single" w:sz="4" w:space="0" w:color="999999"/>
              <w:bottom w:val="single" w:sz="4" w:space="0" w:color="999999"/>
              <w:right w:val="single" w:sz="4" w:space="0" w:color="999999"/>
            </w:tcBorders>
            <w:tcMar>
              <w:top w:w="40" w:type="dxa"/>
              <w:left w:w="100" w:type="dxa"/>
              <w:bottom w:w="40" w:type="dxa"/>
              <w:right w:w="100" w:type="dxa"/>
            </w:tcMar>
            <w:vAlign w:val="center"/>
          </w:tcPr>
          <w:p w14:paraId="620A96DE" w14:textId="77777777" w:rsidR="007121D9" w:rsidRDefault="00000000">
            <w:pPr>
              <w:spacing w:before="40" w:after="40"/>
              <w:jc w:val="center"/>
            </w:pPr>
            <w:r>
              <w:rPr>
                <w:sz w:val="20"/>
                <w:szCs w:val="20"/>
              </w:rPr>
              <w:t>Tight approximation</w:t>
            </w:r>
          </w:p>
        </w:tc>
      </w:tr>
      <w:tr w:rsidR="007121D9" w14:paraId="44789098" w14:textId="77777777">
        <w:tc>
          <w:tcPr>
            <w:tcW w:w="2300" w:type="dxa"/>
            <w:tcBorders>
              <w:top w:val="single" w:sz="4" w:space="0" w:color="999999"/>
              <w:left w:val="single" w:sz="4" w:space="0" w:color="999999"/>
              <w:bottom w:val="single" w:sz="4" w:space="0" w:color="999999"/>
              <w:right w:val="single" w:sz="4" w:space="0" w:color="999999"/>
            </w:tcBorders>
            <w:tcMar>
              <w:top w:w="40" w:type="dxa"/>
              <w:left w:w="100" w:type="dxa"/>
              <w:bottom w:w="40" w:type="dxa"/>
              <w:right w:w="100" w:type="dxa"/>
            </w:tcMar>
            <w:vAlign w:val="center"/>
          </w:tcPr>
          <w:p w14:paraId="08709870" w14:textId="77777777" w:rsidR="007121D9" w:rsidRDefault="00000000">
            <w:pPr>
              <w:spacing w:before="40" w:after="40"/>
            </w:pPr>
            <w:r>
              <w:rPr>
                <w:sz w:val="20"/>
                <w:szCs w:val="20"/>
              </w:rPr>
              <w:t>16-QAM (Gray)</w:t>
            </w:r>
          </w:p>
        </w:tc>
        <w:tc>
          <w:tcPr>
            <w:tcW w:w="4726" w:type="dxa"/>
            <w:tcBorders>
              <w:top w:val="single" w:sz="4" w:space="0" w:color="999999"/>
              <w:left w:val="single" w:sz="4" w:space="0" w:color="999999"/>
              <w:bottom w:val="single" w:sz="4" w:space="0" w:color="999999"/>
              <w:right w:val="single" w:sz="4" w:space="0" w:color="999999"/>
            </w:tcBorders>
            <w:tcMar>
              <w:top w:w="40" w:type="dxa"/>
              <w:left w:w="100" w:type="dxa"/>
              <w:bottom w:w="40" w:type="dxa"/>
              <w:right w:w="100" w:type="dxa"/>
            </w:tcMar>
            <w:vAlign w:val="center"/>
          </w:tcPr>
          <w:p w14:paraId="6294C578" w14:textId="77777777" w:rsidR="007121D9" w:rsidRDefault="00000000">
            <w:pPr>
              <w:jc w:val="center"/>
            </w:pPr>
            <m:oMathPara>
              <m:oMath>
                <m:sSub>
                  <m:sSubPr>
                    <m:ctrlPr>
                      <w:rPr>
                        <w:rFonts w:ascii="Cambria Math" w:hAnsi="Cambria Math"/>
                      </w:rPr>
                    </m:ctrlPr>
                  </m:sSubPr>
                  <m:e>
                    <m:r>
                      <w:rPr>
                        <w:rFonts w:ascii="Cambria Math" w:hAnsi="Cambria Math"/>
                      </w:rPr>
                      <m:t>P</m:t>
                    </m:r>
                  </m:e>
                  <m:sub>
                    <m:r>
                      <w:rPr>
                        <w:rFonts w:ascii="Cambria Math" w:hAnsi="Cambria Math"/>
                      </w:rPr>
                      <m:t>b</m:t>
                    </m:r>
                  </m:sub>
                </m:sSub>
                <m:r>
                  <w:rPr>
                    <w:rFonts w:ascii="Cambria Math" w:hAnsi="Cambria Math"/>
                  </w:rPr>
                  <m:t xml:space="preserve"> ≈ </m:t>
                </m:r>
                <m:f>
                  <m:fPr>
                    <m:ctrlPr>
                      <w:rPr>
                        <w:rFonts w:ascii="Cambria Math" w:hAnsi="Cambria Math"/>
                      </w:rPr>
                    </m:ctrlPr>
                  </m:fPr>
                  <m:num>
                    <m:r>
                      <w:rPr>
                        <w:rFonts w:ascii="Cambria Math" w:hAnsi="Cambria Math"/>
                      </w:rPr>
                      <m:t>3</m:t>
                    </m:r>
                  </m:num>
                  <m:den>
                    <m:r>
                      <w:rPr>
                        <w:rFonts w:ascii="Cambria Math" w:hAnsi="Cambria Math"/>
                      </w:rPr>
                      <m:t>4</m:t>
                    </m:r>
                  </m:den>
                </m:f>
                <m:r>
                  <w:rPr>
                    <w:rFonts w:ascii="Cambria Math" w:hAnsi="Cambria Math"/>
                  </w:rPr>
                  <m:t>Q</m:t>
                </m:r>
                <m:d>
                  <m:dPr>
                    <m:ctrlPr>
                      <w:rPr>
                        <w:rFonts w:ascii="Cambria Math" w:hAnsi="Cambria Math"/>
                      </w:rPr>
                    </m:ctrlPr>
                  </m:dPr>
                  <m:e>
                    <m:rad>
                      <m:radPr>
                        <m:degHide m:val="1"/>
                        <m:ctrlPr>
                          <w:rPr>
                            <w:rFonts w:ascii="Cambria Math" w:hAnsi="Cambria Math"/>
                          </w:rPr>
                        </m:ctrlPr>
                      </m:radPr>
                      <m:deg/>
                      <m:e>
                        <m:f>
                          <m:fPr>
                            <m:ctrlPr>
                              <w:rPr>
                                <w:rFonts w:ascii="Cambria Math" w:hAnsi="Cambria Math"/>
                              </w:rPr>
                            </m:ctrlPr>
                          </m:fPr>
                          <m:num>
                            <m:r>
                              <w:rPr>
                                <w:rFonts w:ascii="Cambria Math" w:hAnsi="Cambria Math"/>
                              </w:rPr>
                              <m:t>4</m:t>
                            </m:r>
                            <m:sSub>
                              <m:sSubPr>
                                <m:ctrlPr>
                                  <w:rPr>
                                    <w:rFonts w:ascii="Cambria Math" w:hAnsi="Cambria Math"/>
                                  </w:rPr>
                                </m:ctrlPr>
                              </m:sSubPr>
                              <m:e>
                                <m:r>
                                  <w:rPr>
                                    <w:rFonts w:ascii="Cambria Math" w:hAnsi="Cambria Math"/>
                                  </w:rPr>
                                  <m:t>γ</m:t>
                                </m:r>
                              </m:e>
                              <m:sub>
                                <m:r>
                                  <w:rPr>
                                    <w:rFonts w:ascii="Cambria Math" w:hAnsi="Cambria Math"/>
                                  </w:rPr>
                                  <m:t>b</m:t>
                                </m:r>
                              </m:sub>
                            </m:sSub>
                          </m:num>
                          <m:den>
                            <m:r>
                              <w:rPr>
                                <w:rFonts w:ascii="Cambria Math" w:hAnsi="Cambria Math"/>
                              </w:rPr>
                              <m:t>5</m:t>
                            </m:r>
                          </m:den>
                        </m:f>
                      </m:e>
                    </m:rad>
                  </m:e>
                </m:d>
              </m:oMath>
            </m:oMathPara>
          </w:p>
        </w:tc>
        <w:tc>
          <w:tcPr>
            <w:tcW w:w="2000" w:type="dxa"/>
            <w:tcBorders>
              <w:top w:val="single" w:sz="4" w:space="0" w:color="999999"/>
              <w:left w:val="single" w:sz="4" w:space="0" w:color="999999"/>
              <w:bottom w:val="single" w:sz="4" w:space="0" w:color="999999"/>
              <w:right w:val="single" w:sz="4" w:space="0" w:color="999999"/>
            </w:tcBorders>
            <w:tcMar>
              <w:top w:w="40" w:type="dxa"/>
              <w:left w:w="100" w:type="dxa"/>
              <w:bottom w:w="40" w:type="dxa"/>
              <w:right w:w="100" w:type="dxa"/>
            </w:tcMar>
            <w:vAlign w:val="center"/>
          </w:tcPr>
          <w:p w14:paraId="0068830F" w14:textId="77777777" w:rsidR="007121D9" w:rsidRDefault="00000000">
            <w:pPr>
              <w:spacing w:before="40" w:after="40"/>
              <w:jc w:val="center"/>
            </w:pPr>
            <w:r>
              <w:rPr>
                <w:sz w:val="20"/>
                <w:szCs w:val="20"/>
              </w:rPr>
              <w:t>Tight approximation</w:t>
            </w:r>
          </w:p>
        </w:tc>
      </w:tr>
      <w:tr w:rsidR="007121D9" w14:paraId="75158F1B" w14:textId="77777777">
        <w:tc>
          <w:tcPr>
            <w:tcW w:w="2300" w:type="dxa"/>
            <w:tcBorders>
              <w:top w:val="single" w:sz="4" w:space="0" w:color="999999"/>
              <w:left w:val="single" w:sz="4" w:space="0" w:color="999999"/>
              <w:bottom w:val="single" w:sz="4" w:space="0" w:color="999999"/>
              <w:right w:val="single" w:sz="4" w:space="0" w:color="999999"/>
            </w:tcBorders>
            <w:tcMar>
              <w:top w:w="40" w:type="dxa"/>
              <w:left w:w="100" w:type="dxa"/>
              <w:bottom w:w="40" w:type="dxa"/>
              <w:right w:w="100" w:type="dxa"/>
            </w:tcMar>
            <w:vAlign w:val="center"/>
          </w:tcPr>
          <w:p w14:paraId="604FEF42" w14:textId="77777777" w:rsidR="007121D9" w:rsidRDefault="00000000">
            <w:pPr>
              <w:spacing w:before="40" w:after="40"/>
            </w:pPr>
            <w:r>
              <w:rPr>
                <w:sz w:val="20"/>
                <w:szCs w:val="20"/>
              </w:rPr>
              <w:t>BFSK (coherent, orthogonal)</w:t>
            </w:r>
          </w:p>
        </w:tc>
        <w:tc>
          <w:tcPr>
            <w:tcW w:w="4726" w:type="dxa"/>
            <w:tcBorders>
              <w:top w:val="single" w:sz="4" w:space="0" w:color="999999"/>
              <w:left w:val="single" w:sz="4" w:space="0" w:color="999999"/>
              <w:bottom w:val="single" w:sz="4" w:space="0" w:color="999999"/>
              <w:right w:val="single" w:sz="4" w:space="0" w:color="999999"/>
            </w:tcBorders>
            <w:tcMar>
              <w:top w:w="40" w:type="dxa"/>
              <w:left w:w="100" w:type="dxa"/>
              <w:bottom w:w="40" w:type="dxa"/>
              <w:right w:w="100" w:type="dxa"/>
            </w:tcMar>
            <w:vAlign w:val="center"/>
          </w:tcPr>
          <w:p w14:paraId="759AAF9C" w14:textId="77777777" w:rsidR="007121D9" w:rsidRDefault="00000000">
            <w:pPr>
              <w:jc w:val="center"/>
            </w:pPr>
            <m:oMathPara>
              <m:oMath>
                <m:sSub>
                  <m:sSubPr>
                    <m:ctrlPr>
                      <w:rPr>
                        <w:rFonts w:ascii="Cambria Math" w:hAnsi="Cambria Math"/>
                      </w:rPr>
                    </m:ctrlPr>
                  </m:sSubPr>
                  <m:e>
                    <m:r>
                      <w:rPr>
                        <w:rFonts w:ascii="Cambria Math" w:hAnsi="Cambria Math"/>
                      </w:rPr>
                      <m:t>P</m:t>
                    </m:r>
                  </m:e>
                  <m:sub>
                    <m:r>
                      <w:rPr>
                        <w:rFonts w:ascii="Cambria Math" w:hAnsi="Cambria Math"/>
                      </w:rPr>
                      <m:t>b</m:t>
                    </m:r>
                  </m:sub>
                </m:sSub>
                <m:r>
                  <w:rPr>
                    <w:rFonts w:ascii="Cambria Math" w:hAnsi="Cambria Math"/>
                  </w:rPr>
                  <m:t xml:space="preserve"> = Q</m:t>
                </m:r>
                <m:d>
                  <m:dPr>
                    <m:ctrlPr>
                      <w:rPr>
                        <w:rFonts w:ascii="Cambria Math" w:hAnsi="Cambria Math"/>
                      </w:rPr>
                    </m:ctrlPr>
                  </m:dPr>
                  <m:e>
                    <m:rad>
                      <m:radPr>
                        <m:degHide m:val="1"/>
                        <m:ctrlPr>
                          <w:rPr>
                            <w:rFonts w:ascii="Cambria Math" w:hAnsi="Cambria Math"/>
                          </w:rPr>
                        </m:ctrlPr>
                      </m:radPr>
                      <m:deg/>
                      <m:e>
                        <m:sSub>
                          <m:sSubPr>
                            <m:ctrlPr>
                              <w:rPr>
                                <w:rFonts w:ascii="Cambria Math" w:hAnsi="Cambria Math"/>
                              </w:rPr>
                            </m:ctrlPr>
                          </m:sSubPr>
                          <m:e>
                            <m:r>
                              <w:rPr>
                                <w:rFonts w:ascii="Cambria Math" w:hAnsi="Cambria Math"/>
                              </w:rPr>
                              <m:t>γ</m:t>
                            </m:r>
                          </m:e>
                          <m:sub>
                            <m:r>
                              <w:rPr>
                                <w:rFonts w:ascii="Cambria Math" w:hAnsi="Cambria Math"/>
                              </w:rPr>
                              <m:t>b</m:t>
                            </m:r>
                          </m:sub>
                        </m:sSub>
                      </m:e>
                    </m:rad>
                  </m:e>
                </m:d>
              </m:oMath>
            </m:oMathPara>
          </w:p>
        </w:tc>
        <w:tc>
          <w:tcPr>
            <w:tcW w:w="2000" w:type="dxa"/>
            <w:tcBorders>
              <w:top w:val="single" w:sz="4" w:space="0" w:color="999999"/>
              <w:left w:val="single" w:sz="4" w:space="0" w:color="999999"/>
              <w:bottom w:val="single" w:sz="4" w:space="0" w:color="999999"/>
              <w:right w:val="single" w:sz="4" w:space="0" w:color="999999"/>
            </w:tcBorders>
            <w:tcMar>
              <w:top w:w="40" w:type="dxa"/>
              <w:left w:w="100" w:type="dxa"/>
              <w:bottom w:w="40" w:type="dxa"/>
              <w:right w:w="100" w:type="dxa"/>
            </w:tcMar>
            <w:vAlign w:val="center"/>
          </w:tcPr>
          <w:p w14:paraId="4A4FDE72" w14:textId="77777777" w:rsidR="007121D9" w:rsidRDefault="00000000">
            <w:pPr>
              <w:spacing w:before="40" w:after="40"/>
              <w:jc w:val="center"/>
            </w:pPr>
            <w:r>
              <w:rPr>
                <w:sz w:val="20"/>
                <w:szCs w:val="20"/>
              </w:rPr>
              <w:t>Exact</w:t>
            </w:r>
          </w:p>
        </w:tc>
      </w:tr>
    </w:tbl>
    <w:p w14:paraId="571FFAE4" w14:textId="77777777" w:rsidR="007121D9" w:rsidRDefault="00000000">
      <w:pPr>
        <w:spacing w:before="60" w:after="160"/>
        <w:jc w:val="center"/>
      </w:pPr>
      <w:r>
        <w:rPr>
          <w:i/>
          <w:iCs/>
          <w:sz w:val="20"/>
          <w:szCs w:val="20"/>
        </w:rPr>
        <w:t>Table 3. Theoretical BER expressions used as references.</w:t>
      </w:r>
    </w:p>
    <w:p w14:paraId="00E8CEE1" w14:textId="77777777" w:rsidR="007121D9" w:rsidRDefault="00000000">
      <w:pPr>
        <w:spacing w:after="120" w:line="276" w:lineRule="auto"/>
        <w:jc w:val="both"/>
      </w:pPr>
      <w:r>
        <w:t>All the expressions have the form Q(√(d²/(2</w:t>
      </w:r>
      <w:r>
        <w:rPr>
          <w:i/>
          <w:iCs/>
        </w:rPr>
        <w:t>N</w:t>
      </w:r>
      <w:r>
        <w:rPr>
          <w:vertAlign w:val="subscript"/>
        </w:rPr>
        <w:t>0</w:t>
      </w:r>
      <w:r>
        <w:t xml:space="preserve">))), where d is the minimum distance of the signal set. Writing d² in units of </w:t>
      </w:r>
      <w:r>
        <w:rPr>
          <w:i/>
          <w:iCs/>
        </w:rPr>
        <w:t>E</w:t>
      </w:r>
      <w:r>
        <w:rPr>
          <w:vertAlign w:val="subscript"/>
        </w:rPr>
        <w:t>b</w:t>
      </w:r>
      <w:r>
        <w:t xml:space="preserve"> explains the ordering of the results in Section 4: BPSK and QPSK have d² = 4</w:t>
      </w:r>
      <w:r>
        <w:rPr>
          <w:i/>
          <w:iCs/>
        </w:rPr>
        <w:t>E</w:t>
      </w:r>
      <w:r>
        <w:rPr>
          <w:vertAlign w:val="subscript"/>
        </w:rPr>
        <w:t>b</w:t>
      </w:r>
      <w:r>
        <w:t>, BFSK has 2</w:t>
      </w:r>
      <w:r>
        <w:rPr>
          <w:i/>
          <w:iCs/>
        </w:rPr>
        <w:t>E</w:t>
      </w:r>
      <w:r>
        <w:rPr>
          <w:vertAlign w:val="subscript"/>
        </w:rPr>
        <w:t>b</w:t>
      </w:r>
      <w:r>
        <w:t>, 8PSK has 12</w:t>
      </w:r>
      <w:r>
        <w:rPr>
          <w:i/>
          <w:iCs/>
        </w:rPr>
        <w:t>E</w:t>
      </w:r>
      <w:r>
        <w:rPr>
          <w:vertAlign w:val="subscript"/>
        </w:rPr>
        <w:t>b</w:t>
      </w:r>
      <w:r>
        <w:t>·sin²(π/8) ≈ 1.76</w:t>
      </w:r>
      <w:r>
        <w:rPr>
          <w:i/>
          <w:iCs/>
        </w:rPr>
        <w:t>E</w:t>
      </w:r>
      <w:r>
        <w:rPr>
          <w:vertAlign w:val="subscript"/>
        </w:rPr>
        <w:t>b</w:t>
      </w:r>
      <w:r>
        <w:t>, and 16-QAM has 1.6</w:t>
      </w:r>
      <w:r>
        <w:rPr>
          <w:i/>
          <w:iCs/>
        </w:rPr>
        <w:t>E</w:t>
      </w:r>
      <w:r>
        <w:rPr>
          <w:vertAlign w:val="subscript"/>
        </w:rPr>
        <w:t>b</w:t>
      </w:r>
      <w:r>
        <w:t>.</w:t>
      </w:r>
    </w:p>
    <w:p w14:paraId="7E553D3D" w14:textId="77777777" w:rsidR="007121D9" w:rsidRDefault="00000000">
      <w:pPr>
        <w:pStyle w:val="Heading1"/>
      </w:pPr>
      <w:bookmarkStart w:id="6" w:name="_Toc243600666"/>
      <w:r>
        <w:lastRenderedPageBreak/>
        <w:t>4. Results and Discussion: BER of BPSK, QPSK, 8PSK and 16-QAM (Task 1.4)</w:t>
      </w:r>
      <w:bookmarkEnd w:id="6"/>
    </w:p>
    <w:p w14:paraId="271B5382" w14:textId="77777777" w:rsidR="007121D9" w:rsidRDefault="00000000">
      <w:pPr>
        <w:pStyle w:val="Heading2"/>
      </w:pPr>
      <w:bookmarkStart w:id="7" w:name="_Toc243600667"/>
      <w:r>
        <w:t>4.1 Individual BER Curves</w:t>
      </w:r>
      <w:bookmarkEnd w:id="7"/>
    </w:p>
    <w:p w14:paraId="5E5F7B77" w14:textId="77777777" w:rsidR="007121D9" w:rsidRDefault="00000000">
      <w:pPr>
        <w:keepNext/>
        <w:spacing w:before="120" w:after="40"/>
        <w:jc w:val="center"/>
      </w:pPr>
      <w:r>
        <w:rPr>
          <w:noProof/>
        </w:rPr>
        <w:drawing>
          <wp:inline distT="0" distB="0" distL="0" distR="0" wp14:anchorId="24BF2E7A" wp14:editId="5566D2D7">
            <wp:extent cx="5619750" cy="2657475"/>
            <wp:effectExtent l="0" t="0" r="0" b="0"/>
            <wp:docPr id="1" name="fig1" descr="BER versus {E_b}/{N_0} for BPSK: theory (line) and simulation (markers)." title="Fig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619750" cy="2657475"/>
                    </a:xfrm>
                    <a:prstGeom prst="rect">
                      <a:avLst/>
                    </a:prstGeom>
                  </pic:spPr>
                </pic:pic>
              </a:graphicData>
            </a:graphic>
          </wp:inline>
        </w:drawing>
      </w:r>
    </w:p>
    <w:p w14:paraId="10106AE3" w14:textId="77777777" w:rsidR="007121D9" w:rsidRDefault="00000000">
      <w:pPr>
        <w:spacing w:after="160"/>
        <w:jc w:val="center"/>
      </w:pPr>
      <w:r>
        <w:rPr>
          <w:b/>
          <w:bCs/>
          <w:i/>
          <w:iCs/>
          <w:sz w:val="20"/>
          <w:szCs w:val="20"/>
        </w:rPr>
        <w:t>Figure 1.</w:t>
      </w:r>
      <w:r>
        <w:rPr>
          <w:i/>
          <w:iCs/>
          <w:sz w:val="20"/>
          <w:szCs w:val="20"/>
        </w:rPr>
        <w:t xml:space="preserve"> BER versus E</w:t>
      </w:r>
      <w:r>
        <w:rPr>
          <w:i/>
          <w:iCs/>
          <w:sz w:val="20"/>
          <w:szCs w:val="20"/>
          <w:vertAlign w:val="subscript"/>
        </w:rPr>
        <w:t>b</w:t>
      </w:r>
      <w:r>
        <w:rPr>
          <w:i/>
          <w:iCs/>
          <w:sz w:val="20"/>
          <w:szCs w:val="20"/>
        </w:rPr>
        <w:t>/N</w:t>
      </w:r>
      <w:r>
        <w:rPr>
          <w:i/>
          <w:iCs/>
          <w:sz w:val="20"/>
          <w:szCs w:val="20"/>
          <w:vertAlign w:val="subscript"/>
        </w:rPr>
        <w:t>0</w:t>
      </w:r>
      <w:r>
        <w:rPr>
          <w:i/>
          <w:iCs/>
          <w:sz w:val="20"/>
          <w:szCs w:val="20"/>
        </w:rPr>
        <w:t xml:space="preserve"> for BPSK: theory (line) and simulation (markers).</w:t>
      </w:r>
    </w:p>
    <w:p w14:paraId="60E13418" w14:textId="77777777" w:rsidR="007121D9" w:rsidRDefault="00000000">
      <w:pPr>
        <w:spacing w:after="120" w:line="276" w:lineRule="auto"/>
        <w:jc w:val="both"/>
      </w:pPr>
      <w:r>
        <w:rPr>
          <w:b/>
          <w:bCs/>
        </w:rPr>
        <w:t>Comment.</w:t>
      </w:r>
      <w:r>
        <w:t xml:space="preserve"> The simulated BER follows the theoretical curve across the whole range. It falls from about 0.13 at −2 dB to about 10⁻³ near 7 dB. At the highest SNRs (9–10 dB) the markers scatter slightly around the curve because only a few tens of errors are counted out of 1.2 × 10⁶ bits, and the relative uncertainty of a BER estimate is roughly 1/√(number of errors). Beyond about 10 dB the true BER is below the 8 × 10⁻⁷ resolution of this run, so zero errors are recorded and no points can be shown on the logarithmic axis.</w:t>
      </w:r>
    </w:p>
    <w:p w14:paraId="3A986E50" w14:textId="77777777" w:rsidR="007121D9" w:rsidRDefault="00000000">
      <w:pPr>
        <w:keepNext/>
        <w:spacing w:before="120" w:after="40"/>
        <w:jc w:val="center"/>
      </w:pPr>
      <w:r>
        <w:rPr>
          <w:noProof/>
        </w:rPr>
        <w:drawing>
          <wp:inline distT="0" distB="0" distL="0" distR="0" wp14:anchorId="64B357BF" wp14:editId="4F3A2BD4">
            <wp:extent cx="5619750" cy="2657475"/>
            <wp:effectExtent l="0" t="0" r="0" b="0"/>
            <wp:docPr id="2" name="fig2" descr="BER versus {E_b}/{N_0} for Gray-coded QPSK (assignment Figure 2): theory and simulation." title="Fig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619750" cy="2657475"/>
                    </a:xfrm>
                    <a:prstGeom prst="rect">
                      <a:avLst/>
                    </a:prstGeom>
                  </pic:spPr>
                </pic:pic>
              </a:graphicData>
            </a:graphic>
          </wp:inline>
        </w:drawing>
      </w:r>
    </w:p>
    <w:p w14:paraId="04CCB4A1" w14:textId="77777777" w:rsidR="007121D9" w:rsidRDefault="00000000">
      <w:pPr>
        <w:spacing w:after="160"/>
        <w:jc w:val="center"/>
      </w:pPr>
      <w:r>
        <w:rPr>
          <w:b/>
          <w:bCs/>
          <w:i/>
          <w:iCs/>
          <w:sz w:val="20"/>
          <w:szCs w:val="20"/>
        </w:rPr>
        <w:t>Figure 2.</w:t>
      </w:r>
      <w:r>
        <w:rPr>
          <w:i/>
          <w:iCs/>
          <w:sz w:val="20"/>
          <w:szCs w:val="20"/>
        </w:rPr>
        <w:t xml:space="preserve"> BER versus E</w:t>
      </w:r>
      <w:r>
        <w:rPr>
          <w:i/>
          <w:iCs/>
          <w:sz w:val="20"/>
          <w:szCs w:val="20"/>
          <w:vertAlign w:val="subscript"/>
        </w:rPr>
        <w:t>b</w:t>
      </w:r>
      <w:r>
        <w:rPr>
          <w:i/>
          <w:iCs/>
          <w:sz w:val="20"/>
          <w:szCs w:val="20"/>
        </w:rPr>
        <w:t>/N</w:t>
      </w:r>
      <w:r>
        <w:rPr>
          <w:i/>
          <w:iCs/>
          <w:sz w:val="20"/>
          <w:szCs w:val="20"/>
          <w:vertAlign w:val="subscript"/>
        </w:rPr>
        <w:t>0</w:t>
      </w:r>
      <w:r>
        <w:rPr>
          <w:i/>
          <w:iCs/>
          <w:sz w:val="20"/>
          <w:szCs w:val="20"/>
        </w:rPr>
        <w:t xml:space="preserve"> for Gray-coded QPSK (assignment Figure 2): theory and simulation.</w:t>
      </w:r>
    </w:p>
    <w:p w14:paraId="3C3A357E" w14:textId="77777777" w:rsidR="007121D9" w:rsidRDefault="00000000">
      <w:pPr>
        <w:spacing w:after="120" w:line="276" w:lineRule="auto"/>
        <w:jc w:val="both"/>
      </w:pPr>
      <w:r>
        <w:rPr>
          <w:b/>
          <w:bCs/>
        </w:rPr>
        <w:t>Comment.</w:t>
      </w:r>
      <w:r>
        <w:t xml:space="preserve"> The Gray-coded QPSK curve is identical to the BPSK curve. QPSK is two independent BPSK streams on the orthogonal I and Q axes; with Gray mapping each bit controls one axis, and each axis carries energy </w:t>
      </w:r>
      <w:r>
        <w:rPr>
          <w:i/>
          <w:iCs/>
        </w:rPr>
        <w:t>E</w:t>
      </w:r>
      <w:r>
        <w:rPr>
          <w:vertAlign w:val="subscript"/>
        </w:rPr>
        <w:t>b</w:t>
      </w:r>
      <w:r>
        <w:t xml:space="preserve"> per bit. A noise sample on one axis therefore corrupts only the bit on that axis. QPSK sends two bits per symbol, so it needs half the bandwidth of BPSK for the same bit rate with no BER penalty.</w:t>
      </w:r>
    </w:p>
    <w:p w14:paraId="2022F4AC" w14:textId="77777777" w:rsidR="007121D9" w:rsidRDefault="00000000">
      <w:pPr>
        <w:keepNext/>
        <w:spacing w:before="120" w:after="40"/>
        <w:jc w:val="center"/>
      </w:pPr>
      <w:r>
        <w:rPr>
          <w:noProof/>
        </w:rPr>
        <w:lastRenderedPageBreak/>
        <w:drawing>
          <wp:inline distT="0" distB="0" distL="0" distR="0" wp14:anchorId="05B03E02" wp14:editId="55478BF9">
            <wp:extent cx="5619750" cy="2657475"/>
            <wp:effectExtent l="0" t="0" r="0" b="0"/>
            <wp:docPr id="3" name="fig3" descr="BER versus {E_b}/{N_0} for Gray-coded 8PSK: tight approximation and simulation." title="Fig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619750" cy="2657475"/>
                    </a:xfrm>
                    <a:prstGeom prst="rect">
                      <a:avLst/>
                    </a:prstGeom>
                  </pic:spPr>
                </pic:pic>
              </a:graphicData>
            </a:graphic>
          </wp:inline>
        </w:drawing>
      </w:r>
    </w:p>
    <w:p w14:paraId="7811326A" w14:textId="77777777" w:rsidR="007121D9" w:rsidRDefault="00000000">
      <w:pPr>
        <w:spacing w:after="160"/>
        <w:jc w:val="center"/>
      </w:pPr>
      <w:r>
        <w:rPr>
          <w:b/>
          <w:bCs/>
          <w:i/>
          <w:iCs/>
          <w:sz w:val="20"/>
          <w:szCs w:val="20"/>
        </w:rPr>
        <w:t>Figure 3.</w:t>
      </w:r>
      <w:r>
        <w:rPr>
          <w:i/>
          <w:iCs/>
          <w:sz w:val="20"/>
          <w:szCs w:val="20"/>
        </w:rPr>
        <w:t xml:space="preserve"> BER versus E</w:t>
      </w:r>
      <w:r>
        <w:rPr>
          <w:i/>
          <w:iCs/>
          <w:sz w:val="20"/>
          <w:szCs w:val="20"/>
          <w:vertAlign w:val="subscript"/>
        </w:rPr>
        <w:t>b</w:t>
      </w:r>
      <w:r>
        <w:rPr>
          <w:i/>
          <w:iCs/>
          <w:sz w:val="20"/>
          <w:szCs w:val="20"/>
        </w:rPr>
        <w:t>/N</w:t>
      </w:r>
      <w:r>
        <w:rPr>
          <w:i/>
          <w:iCs/>
          <w:sz w:val="20"/>
          <w:szCs w:val="20"/>
          <w:vertAlign w:val="subscript"/>
        </w:rPr>
        <w:t>0</w:t>
      </w:r>
      <w:r>
        <w:rPr>
          <w:i/>
          <w:iCs/>
          <w:sz w:val="20"/>
          <w:szCs w:val="20"/>
        </w:rPr>
        <w:t xml:space="preserve"> for Gray-coded 8PSK: tight approximation and simulation.</w:t>
      </w:r>
    </w:p>
    <w:p w14:paraId="46C7F4BC" w14:textId="77777777" w:rsidR="007121D9" w:rsidRDefault="00000000">
      <w:pPr>
        <w:spacing w:after="120" w:line="276" w:lineRule="auto"/>
        <w:jc w:val="both"/>
      </w:pPr>
      <w:r>
        <w:rPr>
          <w:b/>
          <w:bCs/>
        </w:rPr>
        <w:t>Comment.</w:t>
      </w:r>
      <w:r>
        <w:t xml:space="preserve"> The 8PSK simulation agrees with the nearest-neighbour approximation from about 0 dB upward. At the lowest SNRs the simulated points lie slightly above the curve: the approximation counts only errors to adjacent symbols, and at low SNR errors to farther symbols add to the true BER. The approximation becomes tight as SNR grows, which is why it is used as the reference.</w:t>
      </w:r>
    </w:p>
    <w:p w14:paraId="00049D41" w14:textId="77777777" w:rsidR="007121D9" w:rsidRDefault="00000000">
      <w:pPr>
        <w:keepNext/>
        <w:spacing w:before="120" w:after="40"/>
        <w:jc w:val="center"/>
      </w:pPr>
      <w:r>
        <w:rPr>
          <w:noProof/>
        </w:rPr>
        <w:drawing>
          <wp:inline distT="0" distB="0" distL="0" distR="0" wp14:anchorId="34D1A09B" wp14:editId="690B2948">
            <wp:extent cx="5619750" cy="2657475"/>
            <wp:effectExtent l="0" t="0" r="0" b="0"/>
            <wp:docPr id="4" name="fig4" descr="BER versus {E_b}/{N_0} for Gray-coded 16-QAM: tight approximation and simulation." title="Fig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619750" cy="2657475"/>
                    </a:xfrm>
                    <a:prstGeom prst="rect">
                      <a:avLst/>
                    </a:prstGeom>
                  </pic:spPr>
                </pic:pic>
              </a:graphicData>
            </a:graphic>
          </wp:inline>
        </w:drawing>
      </w:r>
    </w:p>
    <w:p w14:paraId="4C1168A1" w14:textId="77777777" w:rsidR="007121D9" w:rsidRDefault="00000000">
      <w:pPr>
        <w:spacing w:after="160"/>
        <w:jc w:val="center"/>
      </w:pPr>
      <w:r>
        <w:rPr>
          <w:b/>
          <w:bCs/>
          <w:i/>
          <w:iCs/>
          <w:sz w:val="20"/>
          <w:szCs w:val="20"/>
        </w:rPr>
        <w:t>Figure 4.</w:t>
      </w:r>
      <w:r>
        <w:rPr>
          <w:i/>
          <w:iCs/>
          <w:sz w:val="20"/>
          <w:szCs w:val="20"/>
        </w:rPr>
        <w:t xml:space="preserve"> BER versus E</w:t>
      </w:r>
      <w:r>
        <w:rPr>
          <w:i/>
          <w:iCs/>
          <w:sz w:val="20"/>
          <w:szCs w:val="20"/>
          <w:vertAlign w:val="subscript"/>
        </w:rPr>
        <w:t>b</w:t>
      </w:r>
      <w:r>
        <w:rPr>
          <w:i/>
          <w:iCs/>
          <w:sz w:val="20"/>
          <w:szCs w:val="20"/>
        </w:rPr>
        <w:t>/N</w:t>
      </w:r>
      <w:r>
        <w:rPr>
          <w:i/>
          <w:iCs/>
          <w:sz w:val="20"/>
          <w:szCs w:val="20"/>
          <w:vertAlign w:val="subscript"/>
        </w:rPr>
        <w:t>0</w:t>
      </w:r>
      <w:r>
        <w:rPr>
          <w:i/>
          <w:iCs/>
          <w:sz w:val="20"/>
          <w:szCs w:val="20"/>
        </w:rPr>
        <w:t xml:space="preserve"> for Gray-coded 16-QAM: tight approximation and simulation.</w:t>
      </w:r>
    </w:p>
    <w:p w14:paraId="52E7D429" w14:textId="77777777" w:rsidR="007121D9" w:rsidRDefault="00000000">
      <w:pPr>
        <w:spacing w:after="120" w:line="276" w:lineRule="auto"/>
        <w:jc w:val="both"/>
      </w:pPr>
      <w:r>
        <w:rPr>
          <w:b/>
          <w:bCs/>
        </w:rPr>
        <w:t>Comment.</w:t>
      </w:r>
      <w:r>
        <w:t xml:space="preserve"> The 16-QAM simulation also matches its approximation, with the same small deviation at the lowest SNRs. Each axis is a 4-level PAM signal, and the Gray labelling gives the two bits of an axis different protection: the first bit (the sign) changes only when the decision crosses 0, whereas the second bit changes when it crosses ±2, so the second bit is more error-prone. The theoretical expression is the average over all four bits.</w:t>
      </w:r>
    </w:p>
    <w:p w14:paraId="22C31146" w14:textId="77777777" w:rsidR="007121D9" w:rsidRDefault="00000000">
      <w:pPr>
        <w:pStyle w:val="Heading2"/>
      </w:pPr>
      <w:bookmarkStart w:id="8" w:name="_Toc243600668"/>
      <w:r>
        <w:lastRenderedPageBreak/>
        <w:t>4.2 Comparison of the Four Schemes</w:t>
      </w:r>
      <w:bookmarkEnd w:id="8"/>
    </w:p>
    <w:p w14:paraId="307A5EE1" w14:textId="77777777" w:rsidR="007121D9" w:rsidRDefault="00000000">
      <w:pPr>
        <w:keepNext/>
        <w:spacing w:before="120" w:after="40"/>
        <w:jc w:val="center"/>
      </w:pPr>
      <w:r>
        <w:rPr>
          <w:noProof/>
        </w:rPr>
        <w:drawing>
          <wp:inline distT="0" distB="0" distL="0" distR="0" wp14:anchorId="6C3B9A3A" wp14:editId="45989290">
            <wp:extent cx="5619750" cy="2647950"/>
            <wp:effectExtent l="0" t="0" r="0" b="0"/>
            <wp:docPr id="5" name="fig5" descr="BER versus {E_b}/{N_0} for BPSK, QPSK, 16-QAM and 8PSK on one graph (theory and simulation)." title="Fig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619750" cy="2647950"/>
                    </a:xfrm>
                    <a:prstGeom prst="rect">
                      <a:avLst/>
                    </a:prstGeom>
                  </pic:spPr>
                </pic:pic>
              </a:graphicData>
            </a:graphic>
          </wp:inline>
        </w:drawing>
      </w:r>
    </w:p>
    <w:p w14:paraId="6196BD45" w14:textId="77777777" w:rsidR="007121D9" w:rsidRDefault="00000000">
      <w:pPr>
        <w:spacing w:after="160"/>
        <w:jc w:val="center"/>
      </w:pPr>
      <w:r>
        <w:rPr>
          <w:b/>
          <w:bCs/>
          <w:i/>
          <w:iCs/>
          <w:sz w:val="20"/>
          <w:szCs w:val="20"/>
        </w:rPr>
        <w:t>Figure 5.</w:t>
      </w:r>
      <w:r>
        <w:rPr>
          <w:i/>
          <w:iCs/>
          <w:sz w:val="20"/>
          <w:szCs w:val="20"/>
        </w:rPr>
        <w:t xml:space="preserve"> BER versus E</w:t>
      </w:r>
      <w:r>
        <w:rPr>
          <w:i/>
          <w:iCs/>
          <w:sz w:val="20"/>
          <w:szCs w:val="20"/>
          <w:vertAlign w:val="subscript"/>
        </w:rPr>
        <w:t>b</w:t>
      </w:r>
      <w:r>
        <w:rPr>
          <w:i/>
          <w:iCs/>
          <w:sz w:val="20"/>
          <w:szCs w:val="20"/>
        </w:rPr>
        <w:t>/N</w:t>
      </w:r>
      <w:r>
        <w:rPr>
          <w:i/>
          <w:iCs/>
          <w:sz w:val="20"/>
          <w:szCs w:val="20"/>
          <w:vertAlign w:val="subscript"/>
        </w:rPr>
        <w:t>0</w:t>
      </w:r>
      <w:r>
        <w:rPr>
          <w:i/>
          <w:iCs/>
          <w:sz w:val="20"/>
          <w:szCs w:val="20"/>
        </w:rPr>
        <w:t xml:space="preserve"> for BPSK, QPSK, 16-QAM and 8PSK on one graph (theory and simulation).</w:t>
      </w:r>
    </w:p>
    <w:p w14:paraId="6EE7F09B" w14:textId="77777777" w:rsidR="007121D9" w:rsidRDefault="00000000">
      <w:pPr>
        <w:spacing w:after="120" w:line="276" w:lineRule="auto"/>
        <w:jc w:val="both"/>
      </w:pPr>
      <w:r>
        <w:rPr>
          <w:b/>
          <w:bCs/>
        </w:rPr>
        <w:t>Comment.</w:t>
      </w:r>
      <w:r>
        <w:t xml:space="preserve"> At equal </w:t>
      </w:r>
      <w:r>
        <w:rPr>
          <w:i/>
          <w:iCs/>
        </w:rPr>
        <w:t>E</w:t>
      </w:r>
      <w:r>
        <w:rPr>
          <w:vertAlign w:val="subscript"/>
        </w:rPr>
        <w:t>b</w:t>
      </w:r>
      <w:r>
        <w:t>/</w:t>
      </w:r>
      <w:r>
        <w:rPr>
          <w:i/>
          <w:iCs/>
        </w:rPr>
        <w:t>N</w:t>
      </w:r>
      <w:r>
        <w:rPr>
          <w:vertAlign w:val="subscript"/>
        </w:rPr>
        <w:t>0</w:t>
      </w:r>
      <w:r>
        <w:t>, BPSK and QPSK give the lowest BER (their curves coincide), 8PSK is next, and 16-QAM is the worst. The ordering follows the minimum distance per bit energy: as more bits are packed into each symbol with the same energy per bit, the points of the constellation get closer. This is the power–bandwidth trade-off of M-ary modulation: 16-QAM sends 4 bits per symbol and uses a quarter of the bandwidth of BPSK for the same bit rate, but needs more energy per bit for the same BER.</w:t>
      </w:r>
    </w:p>
    <w:p w14:paraId="530663C4" w14:textId="77777777" w:rsidR="007121D9" w:rsidRDefault="00000000">
      <w:pPr>
        <w:spacing w:after="120" w:line="276" w:lineRule="auto"/>
        <w:jc w:val="both"/>
      </w:pPr>
      <w:r>
        <w:t xml:space="preserve">The horizontal (dB) gaps between the curves are small at low SNR, where all four BERs lie between 0.13 and 0.18, and grow with SNR toward the limit set by the minimum distance. Table 4 gives the </w:t>
      </w:r>
      <w:r>
        <w:rPr>
          <w:i/>
          <w:iCs/>
        </w:rPr>
        <w:t>E</w:t>
      </w:r>
      <w:r>
        <w:rPr>
          <w:vertAlign w:val="subscript"/>
        </w:rPr>
        <w:t>b</w:t>
      </w:r>
      <w:r>
        <w:t>/</w:t>
      </w:r>
      <w:r>
        <w:rPr>
          <w:i/>
          <w:iCs/>
        </w:rPr>
        <w:t>N</w:t>
      </w:r>
      <w:r>
        <w:rPr>
          <w:vertAlign w:val="subscript"/>
        </w:rPr>
        <w:t>0</w:t>
      </w:r>
      <w:r>
        <w:t xml:space="preserve"> required for BER = 10⁻³ and 10⁻⁵ from the closed-form expressions of Table 3.</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1500"/>
        <w:gridCol w:w="1500"/>
        <w:gridCol w:w="1863"/>
        <w:gridCol w:w="1863"/>
      </w:tblGrid>
      <w:tr w:rsidR="007121D9" w14:paraId="3B27940B" w14:textId="77777777">
        <w:trPr>
          <w:tblHeader/>
        </w:trPr>
        <w:tc>
          <w:tcPr>
            <w:tcW w:w="2300" w:type="dxa"/>
            <w:tcBorders>
              <w:top w:val="single" w:sz="4" w:space="0" w:color="999999"/>
              <w:left w:val="single" w:sz="4" w:space="0" w:color="999999"/>
              <w:bottom w:val="single" w:sz="4" w:space="0" w:color="999999"/>
              <w:right w:val="single" w:sz="4" w:space="0" w:color="999999"/>
            </w:tcBorders>
            <w:shd w:val="clear" w:color="auto" w:fill="D9E2F3"/>
            <w:tcMar>
              <w:top w:w="40" w:type="dxa"/>
              <w:left w:w="100" w:type="dxa"/>
              <w:bottom w:w="40" w:type="dxa"/>
              <w:right w:w="100" w:type="dxa"/>
            </w:tcMar>
            <w:vAlign w:val="center"/>
          </w:tcPr>
          <w:p w14:paraId="372E40FA" w14:textId="77777777" w:rsidR="007121D9" w:rsidRDefault="00000000">
            <w:pPr>
              <w:spacing w:before="40" w:after="40"/>
              <w:jc w:val="center"/>
            </w:pPr>
            <w:r>
              <w:rPr>
                <w:b/>
                <w:bCs/>
                <w:sz w:val="20"/>
                <w:szCs w:val="20"/>
              </w:rPr>
              <w:t>Scheme</w:t>
            </w:r>
          </w:p>
        </w:tc>
        <w:tc>
          <w:tcPr>
            <w:tcW w:w="1500" w:type="dxa"/>
            <w:tcBorders>
              <w:top w:val="single" w:sz="4" w:space="0" w:color="999999"/>
              <w:left w:val="single" w:sz="4" w:space="0" w:color="999999"/>
              <w:bottom w:val="single" w:sz="4" w:space="0" w:color="999999"/>
              <w:right w:val="single" w:sz="4" w:space="0" w:color="999999"/>
            </w:tcBorders>
            <w:shd w:val="clear" w:color="auto" w:fill="D9E2F3"/>
            <w:tcMar>
              <w:top w:w="40" w:type="dxa"/>
              <w:left w:w="100" w:type="dxa"/>
              <w:bottom w:w="40" w:type="dxa"/>
              <w:right w:w="100" w:type="dxa"/>
            </w:tcMar>
            <w:vAlign w:val="center"/>
          </w:tcPr>
          <w:p w14:paraId="047F8A72" w14:textId="77777777" w:rsidR="007121D9" w:rsidRDefault="00000000">
            <w:pPr>
              <w:spacing w:before="40" w:after="40"/>
              <w:jc w:val="center"/>
            </w:pPr>
            <w:r>
              <w:rPr>
                <w:b/>
                <w:bCs/>
                <w:sz w:val="20"/>
                <w:szCs w:val="20"/>
              </w:rPr>
              <w:t xml:space="preserve">Req. </w:t>
            </w:r>
            <w:r>
              <w:rPr>
                <w:b/>
                <w:bCs/>
                <w:i/>
                <w:iCs/>
                <w:sz w:val="20"/>
                <w:szCs w:val="20"/>
              </w:rPr>
              <w:t>E</w:t>
            </w:r>
            <w:r>
              <w:rPr>
                <w:b/>
                <w:bCs/>
                <w:sz w:val="20"/>
                <w:szCs w:val="20"/>
                <w:vertAlign w:val="subscript"/>
              </w:rPr>
              <w:t>b</w:t>
            </w:r>
            <w:r>
              <w:rPr>
                <w:b/>
                <w:bCs/>
                <w:sz w:val="20"/>
                <w:szCs w:val="20"/>
              </w:rPr>
              <w:t>/</w:t>
            </w:r>
            <w:r>
              <w:rPr>
                <w:b/>
                <w:bCs/>
                <w:i/>
                <w:iCs/>
                <w:sz w:val="20"/>
                <w:szCs w:val="20"/>
              </w:rPr>
              <w:t>N</w:t>
            </w:r>
            <w:r>
              <w:rPr>
                <w:b/>
                <w:bCs/>
                <w:sz w:val="20"/>
                <w:szCs w:val="20"/>
                <w:vertAlign w:val="subscript"/>
              </w:rPr>
              <w:t>0</w:t>
            </w:r>
            <w:r>
              <w:rPr>
                <w:b/>
                <w:bCs/>
                <w:sz w:val="20"/>
                <w:szCs w:val="20"/>
              </w:rPr>
              <w:t xml:space="preserve"> at 10⁻³ (dB)</w:t>
            </w:r>
          </w:p>
        </w:tc>
        <w:tc>
          <w:tcPr>
            <w:tcW w:w="1500" w:type="dxa"/>
            <w:tcBorders>
              <w:top w:val="single" w:sz="4" w:space="0" w:color="999999"/>
              <w:left w:val="single" w:sz="4" w:space="0" w:color="999999"/>
              <w:bottom w:val="single" w:sz="4" w:space="0" w:color="999999"/>
              <w:right w:val="single" w:sz="4" w:space="0" w:color="999999"/>
            </w:tcBorders>
            <w:shd w:val="clear" w:color="auto" w:fill="D9E2F3"/>
            <w:tcMar>
              <w:top w:w="40" w:type="dxa"/>
              <w:left w:w="100" w:type="dxa"/>
              <w:bottom w:w="40" w:type="dxa"/>
              <w:right w:w="100" w:type="dxa"/>
            </w:tcMar>
            <w:vAlign w:val="center"/>
          </w:tcPr>
          <w:p w14:paraId="2BEEDFCD" w14:textId="77777777" w:rsidR="007121D9" w:rsidRDefault="00000000">
            <w:pPr>
              <w:spacing w:before="40" w:after="40"/>
              <w:jc w:val="center"/>
            </w:pPr>
            <w:r>
              <w:rPr>
                <w:b/>
                <w:bCs/>
                <w:sz w:val="20"/>
                <w:szCs w:val="20"/>
              </w:rPr>
              <w:t xml:space="preserve">Req. </w:t>
            </w:r>
            <w:r>
              <w:rPr>
                <w:b/>
                <w:bCs/>
                <w:i/>
                <w:iCs/>
                <w:sz w:val="20"/>
                <w:szCs w:val="20"/>
              </w:rPr>
              <w:t>E</w:t>
            </w:r>
            <w:r>
              <w:rPr>
                <w:b/>
                <w:bCs/>
                <w:sz w:val="20"/>
                <w:szCs w:val="20"/>
                <w:vertAlign w:val="subscript"/>
              </w:rPr>
              <w:t>b</w:t>
            </w:r>
            <w:r>
              <w:rPr>
                <w:b/>
                <w:bCs/>
                <w:sz w:val="20"/>
                <w:szCs w:val="20"/>
              </w:rPr>
              <w:t>/</w:t>
            </w:r>
            <w:r>
              <w:rPr>
                <w:b/>
                <w:bCs/>
                <w:i/>
                <w:iCs/>
                <w:sz w:val="20"/>
                <w:szCs w:val="20"/>
              </w:rPr>
              <w:t>N</w:t>
            </w:r>
            <w:r>
              <w:rPr>
                <w:b/>
                <w:bCs/>
                <w:sz w:val="20"/>
                <w:szCs w:val="20"/>
                <w:vertAlign w:val="subscript"/>
              </w:rPr>
              <w:t>0</w:t>
            </w:r>
            <w:r>
              <w:rPr>
                <w:b/>
                <w:bCs/>
                <w:sz w:val="20"/>
                <w:szCs w:val="20"/>
              </w:rPr>
              <w:t xml:space="preserve"> at 10⁻⁵ (dB)</w:t>
            </w:r>
          </w:p>
        </w:tc>
        <w:tc>
          <w:tcPr>
            <w:tcW w:w="1863" w:type="dxa"/>
            <w:tcBorders>
              <w:top w:val="single" w:sz="4" w:space="0" w:color="999999"/>
              <w:left w:val="single" w:sz="4" w:space="0" w:color="999999"/>
              <w:bottom w:val="single" w:sz="4" w:space="0" w:color="999999"/>
              <w:right w:val="single" w:sz="4" w:space="0" w:color="999999"/>
            </w:tcBorders>
            <w:shd w:val="clear" w:color="auto" w:fill="D9E2F3"/>
            <w:tcMar>
              <w:top w:w="40" w:type="dxa"/>
              <w:left w:w="100" w:type="dxa"/>
              <w:bottom w:w="40" w:type="dxa"/>
              <w:right w:w="100" w:type="dxa"/>
            </w:tcMar>
            <w:vAlign w:val="center"/>
          </w:tcPr>
          <w:p w14:paraId="060C91A5" w14:textId="77777777" w:rsidR="007121D9" w:rsidRDefault="00000000">
            <w:pPr>
              <w:spacing w:before="40" w:after="40"/>
              <w:jc w:val="center"/>
            </w:pPr>
            <w:r>
              <w:rPr>
                <w:b/>
                <w:bCs/>
                <w:sz w:val="20"/>
                <w:szCs w:val="20"/>
              </w:rPr>
              <w:t>Loss vs. BPSK at 10⁻³ (dB)</w:t>
            </w:r>
          </w:p>
        </w:tc>
        <w:tc>
          <w:tcPr>
            <w:tcW w:w="1863" w:type="dxa"/>
            <w:tcBorders>
              <w:top w:val="single" w:sz="4" w:space="0" w:color="999999"/>
              <w:left w:val="single" w:sz="4" w:space="0" w:color="999999"/>
              <w:bottom w:val="single" w:sz="4" w:space="0" w:color="999999"/>
              <w:right w:val="single" w:sz="4" w:space="0" w:color="999999"/>
            </w:tcBorders>
            <w:shd w:val="clear" w:color="auto" w:fill="D9E2F3"/>
            <w:tcMar>
              <w:top w:w="40" w:type="dxa"/>
              <w:left w:w="100" w:type="dxa"/>
              <w:bottom w:w="40" w:type="dxa"/>
              <w:right w:w="100" w:type="dxa"/>
            </w:tcMar>
            <w:vAlign w:val="center"/>
          </w:tcPr>
          <w:p w14:paraId="2B3C1613" w14:textId="77777777" w:rsidR="007121D9" w:rsidRDefault="00000000">
            <w:pPr>
              <w:spacing w:before="40" w:after="40"/>
              <w:jc w:val="center"/>
            </w:pPr>
            <w:r>
              <w:rPr>
                <w:b/>
                <w:bCs/>
                <w:sz w:val="20"/>
                <w:szCs w:val="20"/>
              </w:rPr>
              <w:t>Loss vs. BPSK at 10⁻⁵ (dB)</w:t>
            </w:r>
          </w:p>
        </w:tc>
      </w:tr>
      <w:tr w:rsidR="007121D9" w14:paraId="4F90D00C" w14:textId="77777777">
        <w:tc>
          <w:tcPr>
            <w:tcW w:w="2300" w:type="dxa"/>
            <w:tcBorders>
              <w:top w:val="single" w:sz="4" w:space="0" w:color="999999"/>
              <w:left w:val="single" w:sz="4" w:space="0" w:color="999999"/>
              <w:bottom w:val="single" w:sz="4" w:space="0" w:color="999999"/>
              <w:right w:val="single" w:sz="4" w:space="0" w:color="999999"/>
            </w:tcBorders>
            <w:tcMar>
              <w:top w:w="40" w:type="dxa"/>
              <w:left w:w="100" w:type="dxa"/>
              <w:bottom w:w="40" w:type="dxa"/>
              <w:right w:w="100" w:type="dxa"/>
            </w:tcMar>
            <w:vAlign w:val="center"/>
          </w:tcPr>
          <w:p w14:paraId="78674C39" w14:textId="77777777" w:rsidR="007121D9" w:rsidRDefault="00000000">
            <w:pPr>
              <w:spacing w:before="40" w:after="40"/>
            </w:pPr>
            <w:r>
              <w:rPr>
                <w:sz w:val="20"/>
                <w:szCs w:val="20"/>
              </w:rPr>
              <w:t>BPSK / QPSK (Gray)</w:t>
            </w:r>
          </w:p>
        </w:tc>
        <w:tc>
          <w:tcPr>
            <w:tcW w:w="1500" w:type="dxa"/>
            <w:tcBorders>
              <w:top w:val="single" w:sz="4" w:space="0" w:color="999999"/>
              <w:left w:val="single" w:sz="4" w:space="0" w:color="999999"/>
              <w:bottom w:val="single" w:sz="4" w:space="0" w:color="999999"/>
              <w:right w:val="single" w:sz="4" w:space="0" w:color="999999"/>
            </w:tcBorders>
            <w:tcMar>
              <w:top w:w="40" w:type="dxa"/>
              <w:left w:w="100" w:type="dxa"/>
              <w:bottom w:w="40" w:type="dxa"/>
              <w:right w:w="100" w:type="dxa"/>
            </w:tcMar>
            <w:vAlign w:val="center"/>
          </w:tcPr>
          <w:p w14:paraId="2DE42BEE" w14:textId="77777777" w:rsidR="007121D9" w:rsidRDefault="00000000">
            <w:pPr>
              <w:spacing w:before="40" w:after="40"/>
              <w:jc w:val="center"/>
            </w:pPr>
            <w:r>
              <w:rPr>
                <w:sz w:val="20"/>
                <w:szCs w:val="20"/>
              </w:rPr>
              <w:t>6.79</w:t>
            </w:r>
          </w:p>
        </w:tc>
        <w:tc>
          <w:tcPr>
            <w:tcW w:w="1500" w:type="dxa"/>
            <w:tcBorders>
              <w:top w:val="single" w:sz="4" w:space="0" w:color="999999"/>
              <w:left w:val="single" w:sz="4" w:space="0" w:color="999999"/>
              <w:bottom w:val="single" w:sz="4" w:space="0" w:color="999999"/>
              <w:right w:val="single" w:sz="4" w:space="0" w:color="999999"/>
            </w:tcBorders>
            <w:tcMar>
              <w:top w:w="40" w:type="dxa"/>
              <w:left w:w="100" w:type="dxa"/>
              <w:bottom w:w="40" w:type="dxa"/>
              <w:right w:w="100" w:type="dxa"/>
            </w:tcMar>
            <w:vAlign w:val="center"/>
          </w:tcPr>
          <w:p w14:paraId="257621CE" w14:textId="77777777" w:rsidR="007121D9" w:rsidRDefault="00000000">
            <w:pPr>
              <w:spacing w:before="40" w:after="40"/>
              <w:jc w:val="center"/>
            </w:pPr>
            <w:r>
              <w:rPr>
                <w:sz w:val="20"/>
                <w:szCs w:val="20"/>
              </w:rPr>
              <w:t>9.59</w:t>
            </w:r>
          </w:p>
        </w:tc>
        <w:tc>
          <w:tcPr>
            <w:tcW w:w="1863" w:type="dxa"/>
            <w:tcBorders>
              <w:top w:val="single" w:sz="4" w:space="0" w:color="999999"/>
              <w:left w:val="single" w:sz="4" w:space="0" w:color="999999"/>
              <w:bottom w:val="single" w:sz="4" w:space="0" w:color="999999"/>
              <w:right w:val="single" w:sz="4" w:space="0" w:color="999999"/>
            </w:tcBorders>
            <w:tcMar>
              <w:top w:w="40" w:type="dxa"/>
              <w:left w:w="100" w:type="dxa"/>
              <w:bottom w:w="40" w:type="dxa"/>
              <w:right w:w="100" w:type="dxa"/>
            </w:tcMar>
            <w:vAlign w:val="center"/>
          </w:tcPr>
          <w:p w14:paraId="3FFB953B" w14:textId="77777777" w:rsidR="007121D9" w:rsidRDefault="00000000">
            <w:pPr>
              <w:spacing w:before="40" w:after="40"/>
              <w:jc w:val="center"/>
            </w:pPr>
            <w:r>
              <w:rPr>
                <w:sz w:val="20"/>
                <w:szCs w:val="20"/>
              </w:rPr>
              <w:t>0</w:t>
            </w:r>
          </w:p>
        </w:tc>
        <w:tc>
          <w:tcPr>
            <w:tcW w:w="1863" w:type="dxa"/>
            <w:tcBorders>
              <w:top w:val="single" w:sz="4" w:space="0" w:color="999999"/>
              <w:left w:val="single" w:sz="4" w:space="0" w:color="999999"/>
              <w:bottom w:val="single" w:sz="4" w:space="0" w:color="999999"/>
              <w:right w:val="single" w:sz="4" w:space="0" w:color="999999"/>
            </w:tcBorders>
            <w:tcMar>
              <w:top w:w="40" w:type="dxa"/>
              <w:left w:w="100" w:type="dxa"/>
              <w:bottom w:w="40" w:type="dxa"/>
              <w:right w:w="100" w:type="dxa"/>
            </w:tcMar>
            <w:vAlign w:val="center"/>
          </w:tcPr>
          <w:p w14:paraId="3198D785" w14:textId="77777777" w:rsidR="007121D9" w:rsidRDefault="00000000">
            <w:pPr>
              <w:spacing w:before="40" w:after="40"/>
              <w:jc w:val="center"/>
            </w:pPr>
            <w:r>
              <w:rPr>
                <w:sz w:val="20"/>
                <w:szCs w:val="20"/>
              </w:rPr>
              <w:t>0</w:t>
            </w:r>
          </w:p>
        </w:tc>
      </w:tr>
      <w:tr w:rsidR="007121D9" w14:paraId="12DD5E33" w14:textId="77777777">
        <w:tc>
          <w:tcPr>
            <w:tcW w:w="2300" w:type="dxa"/>
            <w:tcBorders>
              <w:top w:val="single" w:sz="4" w:space="0" w:color="999999"/>
              <w:left w:val="single" w:sz="4" w:space="0" w:color="999999"/>
              <w:bottom w:val="single" w:sz="4" w:space="0" w:color="999999"/>
              <w:right w:val="single" w:sz="4" w:space="0" w:color="999999"/>
            </w:tcBorders>
            <w:tcMar>
              <w:top w:w="40" w:type="dxa"/>
              <w:left w:w="100" w:type="dxa"/>
              <w:bottom w:w="40" w:type="dxa"/>
              <w:right w:w="100" w:type="dxa"/>
            </w:tcMar>
            <w:vAlign w:val="center"/>
          </w:tcPr>
          <w:p w14:paraId="018A482F" w14:textId="77777777" w:rsidR="007121D9" w:rsidRDefault="00000000">
            <w:pPr>
              <w:spacing w:before="40" w:after="40"/>
            </w:pPr>
            <w:r>
              <w:rPr>
                <w:sz w:val="20"/>
                <w:szCs w:val="20"/>
              </w:rPr>
              <w:t>QPSK (non-Gray)</w:t>
            </w:r>
          </w:p>
        </w:tc>
        <w:tc>
          <w:tcPr>
            <w:tcW w:w="1500" w:type="dxa"/>
            <w:tcBorders>
              <w:top w:val="single" w:sz="4" w:space="0" w:color="999999"/>
              <w:left w:val="single" w:sz="4" w:space="0" w:color="999999"/>
              <w:bottom w:val="single" w:sz="4" w:space="0" w:color="999999"/>
              <w:right w:val="single" w:sz="4" w:space="0" w:color="999999"/>
            </w:tcBorders>
            <w:tcMar>
              <w:top w:w="40" w:type="dxa"/>
              <w:left w:w="100" w:type="dxa"/>
              <w:bottom w:w="40" w:type="dxa"/>
              <w:right w:w="100" w:type="dxa"/>
            </w:tcMar>
            <w:vAlign w:val="center"/>
          </w:tcPr>
          <w:p w14:paraId="30FFF52A" w14:textId="77777777" w:rsidR="007121D9" w:rsidRDefault="00000000">
            <w:pPr>
              <w:spacing w:before="40" w:after="40"/>
              <w:jc w:val="center"/>
            </w:pPr>
            <w:r>
              <w:rPr>
                <w:sz w:val="20"/>
                <w:szCs w:val="20"/>
              </w:rPr>
              <w:t>7.12</w:t>
            </w:r>
          </w:p>
        </w:tc>
        <w:tc>
          <w:tcPr>
            <w:tcW w:w="1500" w:type="dxa"/>
            <w:tcBorders>
              <w:top w:val="single" w:sz="4" w:space="0" w:color="999999"/>
              <w:left w:val="single" w:sz="4" w:space="0" w:color="999999"/>
              <w:bottom w:val="single" w:sz="4" w:space="0" w:color="999999"/>
              <w:right w:val="single" w:sz="4" w:space="0" w:color="999999"/>
            </w:tcBorders>
            <w:tcMar>
              <w:top w:w="40" w:type="dxa"/>
              <w:left w:w="100" w:type="dxa"/>
              <w:bottom w:w="40" w:type="dxa"/>
              <w:right w:w="100" w:type="dxa"/>
            </w:tcMar>
            <w:vAlign w:val="center"/>
          </w:tcPr>
          <w:p w14:paraId="666D07AD" w14:textId="77777777" w:rsidR="007121D9" w:rsidRDefault="00000000">
            <w:pPr>
              <w:spacing w:before="40" w:after="40"/>
              <w:jc w:val="center"/>
            </w:pPr>
            <w:r>
              <w:rPr>
                <w:sz w:val="20"/>
                <w:szCs w:val="20"/>
              </w:rPr>
              <w:t>9.77</w:t>
            </w:r>
          </w:p>
        </w:tc>
        <w:tc>
          <w:tcPr>
            <w:tcW w:w="1863" w:type="dxa"/>
            <w:tcBorders>
              <w:top w:val="single" w:sz="4" w:space="0" w:color="999999"/>
              <w:left w:val="single" w:sz="4" w:space="0" w:color="999999"/>
              <w:bottom w:val="single" w:sz="4" w:space="0" w:color="999999"/>
              <w:right w:val="single" w:sz="4" w:space="0" w:color="999999"/>
            </w:tcBorders>
            <w:tcMar>
              <w:top w:w="40" w:type="dxa"/>
              <w:left w:w="100" w:type="dxa"/>
              <w:bottom w:w="40" w:type="dxa"/>
              <w:right w:w="100" w:type="dxa"/>
            </w:tcMar>
            <w:vAlign w:val="center"/>
          </w:tcPr>
          <w:p w14:paraId="7FCC5EC2" w14:textId="77777777" w:rsidR="007121D9" w:rsidRDefault="00000000">
            <w:pPr>
              <w:spacing w:before="40" w:after="40"/>
              <w:jc w:val="center"/>
            </w:pPr>
            <w:r>
              <w:rPr>
                <w:sz w:val="20"/>
                <w:szCs w:val="20"/>
              </w:rPr>
              <w:t>0.33</w:t>
            </w:r>
          </w:p>
        </w:tc>
        <w:tc>
          <w:tcPr>
            <w:tcW w:w="1863" w:type="dxa"/>
            <w:tcBorders>
              <w:top w:val="single" w:sz="4" w:space="0" w:color="999999"/>
              <w:left w:val="single" w:sz="4" w:space="0" w:color="999999"/>
              <w:bottom w:val="single" w:sz="4" w:space="0" w:color="999999"/>
              <w:right w:val="single" w:sz="4" w:space="0" w:color="999999"/>
            </w:tcBorders>
            <w:tcMar>
              <w:top w:w="40" w:type="dxa"/>
              <w:left w:w="100" w:type="dxa"/>
              <w:bottom w:w="40" w:type="dxa"/>
              <w:right w:w="100" w:type="dxa"/>
            </w:tcMar>
            <w:vAlign w:val="center"/>
          </w:tcPr>
          <w:p w14:paraId="5E5C3801" w14:textId="77777777" w:rsidR="007121D9" w:rsidRDefault="00000000">
            <w:pPr>
              <w:spacing w:before="40" w:after="40"/>
              <w:jc w:val="center"/>
            </w:pPr>
            <w:r>
              <w:rPr>
                <w:sz w:val="20"/>
                <w:szCs w:val="20"/>
              </w:rPr>
              <w:t>0.18</w:t>
            </w:r>
          </w:p>
        </w:tc>
      </w:tr>
      <w:tr w:rsidR="007121D9" w14:paraId="149AF1AF" w14:textId="77777777">
        <w:tc>
          <w:tcPr>
            <w:tcW w:w="2300" w:type="dxa"/>
            <w:tcBorders>
              <w:top w:val="single" w:sz="4" w:space="0" w:color="999999"/>
              <w:left w:val="single" w:sz="4" w:space="0" w:color="999999"/>
              <w:bottom w:val="single" w:sz="4" w:space="0" w:color="999999"/>
              <w:right w:val="single" w:sz="4" w:space="0" w:color="999999"/>
            </w:tcBorders>
            <w:tcMar>
              <w:top w:w="40" w:type="dxa"/>
              <w:left w:w="100" w:type="dxa"/>
              <w:bottom w:w="40" w:type="dxa"/>
              <w:right w:w="100" w:type="dxa"/>
            </w:tcMar>
            <w:vAlign w:val="center"/>
          </w:tcPr>
          <w:p w14:paraId="51738A37" w14:textId="77777777" w:rsidR="007121D9" w:rsidRDefault="00000000">
            <w:pPr>
              <w:spacing w:before="40" w:after="40"/>
            </w:pPr>
            <w:r>
              <w:rPr>
                <w:sz w:val="20"/>
                <w:szCs w:val="20"/>
              </w:rPr>
              <w:t>BFSK (coherent)</w:t>
            </w:r>
          </w:p>
        </w:tc>
        <w:tc>
          <w:tcPr>
            <w:tcW w:w="1500" w:type="dxa"/>
            <w:tcBorders>
              <w:top w:val="single" w:sz="4" w:space="0" w:color="999999"/>
              <w:left w:val="single" w:sz="4" w:space="0" w:color="999999"/>
              <w:bottom w:val="single" w:sz="4" w:space="0" w:color="999999"/>
              <w:right w:val="single" w:sz="4" w:space="0" w:color="999999"/>
            </w:tcBorders>
            <w:tcMar>
              <w:top w:w="40" w:type="dxa"/>
              <w:left w:w="100" w:type="dxa"/>
              <w:bottom w:w="40" w:type="dxa"/>
              <w:right w:w="100" w:type="dxa"/>
            </w:tcMar>
            <w:vAlign w:val="center"/>
          </w:tcPr>
          <w:p w14:paraId="588A48F4" w14:textId="77777777" w:rsidR="007121D9" w:rsidRDefault="00000000">
            <w:pPr>
              <w:spacing w:before="40" w:after="40"/>
              <w:jc w:val="center"/>
            </w:pPr>
            <w:r>
              <w:rPr>
                <w:sz w:val="20"/>
                <w:szCs w:val="20"/>
              </w:rPr>
              <w:t>9.80</w:t>
            </w:r>
          </w:p>
        </w:tc>
        <w:tc>
          <w:tcPr>
            <w:tcW w:w="1500" w:type="dxa"/>
            <w:tcBorders>
              <w:top w:val="single" w:sz="4" w:space="0" w:color="999999"/>
              <w:left w:val="single" w:sz="4" w:space="0" w:color="999999"/>
              <w:bottom w:val="single" w:sz="4" w:space="0" w:color="999999"/>
              <w:right w:val="single" w:sz="4" w:space="0" w:color="999999"/>
            </w:tcBorders>
            <w:tcMar>
              <w:top w:w="40" w:type="dxa"/>
              <w:left w:w="100" w:type="dxa"/>
              <w:bottom w:w="40" w:type="dxa"/>
              <w:right w:w="100" w:type="dxa"/>
            </w:tcMar>
            <w:vAlign w:val="center"/>
          </w:tcPr>
          <w:p w14:paraId="4C1DA4D6" w14:textId="77777777" w:rsidR="007121D9" w:rsidRDefault="00000000">
            <w:pPr>
              <w:spacing w:before="40" w:after="40"/>
              <w:jc w:val="center"/>
            </w:pPr>
            <w:r>
              <w:rPr>
                <w:sz w:val="20"/>
                <w:szCs w:val="20"/>
              </w:rPr>
              <w:t>12.60</w:t>
            </w:r>
          </w:p>
        </w:tc>
        <w:tc>
          <w:tcPr>
            <w:tcW w:w="1863" w:type="dxa"/>
            <w:tcBorders>
              <w:top w:val="single" w:sz="4" w:space="0" w:color="999999"/>
              <w:left w:val="single" w:sz="4" w:space="0" w:color="999999"/>
              <w:bottom w:val="single" w:sz="4" w:space="0" w:color="999999"/>
              <w:right w:val="single" w:sz="4" w:space="0" w:color="999999"/>
            </w:tcBorders>
            <w:tcMar>
              <w:top w:w="40" w:type="dxa"/>
              <w:left w:w="100" w:type="dxa"/>
              <w:bottom w:w="40" w:type="dxa"/>
              <w:right w:w="100" w:type="dxa"/>
            </w:tcMar>
            <w:vAlign w:val="center"/>
          </w:tcPr>
          <w:p w14:paraId="28498AAC" w14:textId="77777777" w:rsidR="007121D9" w:rsidRDefault="00000000">
            <w:pPr>
              <w:spacing w:before="40" w:after="40"/>
              <w:jc w:val="center"/>
            </w:pPr>
            <w:r>
              <w:rPr>
                <w:sz w:val="20"/>
                <w:szCs w:val="20"/>
              </w:rPr>
              <w:t>3.01</w:t>
            </w:r>
          </w:p>
        </w:tc>
        <w:tc>
          <w:tcPr>
            <w:tcW w:w="1863" w:type="dxa"/>
            <w:tcBorders>
              <w:top w:val="single" w:sz="4" w:space="0" w:color="999999"/>
              <w:left w:val="single" w:sz="4" w:space="0" w:color="999999"/>
              <w:bottom w:val="single" w:sz="4" w:space="0" w:color="999999"/>
              <w:right w:val="single" w:sz="4" w:space="0" w:color="999999"/>
            </w:tcBorders>
            <w:tcMar>
              <w:top w:w="40" w:type="dxa"/>
              <w:left w:w="100" w:type="dxa"/>
              <w:bottom w:w="40" w:type="dxa"/>
              <w:right w:w="100" w:type="dxa"/>
            </w:tcMar>
            <w:vAlign w:val="center"/>
          </w:tcPr>
          <w:p w14:paraId="2859B5AA" w14:textId="77777777" w:rsidR="007121D9" w:rsidRDefault="00000000">
            <w:pPr>
              <w:spacing w:before="40" w:after="40"/>
              <w:jc w:val="center"/>
            </w:pPr>
            <w:r>
              <w:rPr>
                <w:sz w:val="20"/>
                <w:szCs w:val="20"/>
              </w:rPr>
              <w:t>3.01</w:t>
            </w:r>
          </w:p>
        </w:tc>
      </w:tr>
      <w:tr w:rsidR="007121D9" w14:paraId="436B9336" w14:textId="77777777">
        <w:tc>
          <w:tcPr>
            <w:tcW w:w="2300" w:type="dxa"/>
            <w:tcBorders>
              <w:top w:val="single" w:sz="4" w:space="0" w:color="999999"/>
              <w:left w:val="single" w:sz="4" w:space="0" w:color="999999"/>
              <w:bottom w:val="single" w:sz="4" w:space="0" w:color="999999"/>
              <w:right w:val="single" w:sz="4" w:space="0" w:color="999999"/>
            </w:tcBorders>
            <w:tcMar>
              <w:top w:w="40" w:type="dxa"/>
              <w:left w:w="100" w:type="dxa"/>
              <w:bottom w:w="40" w:type="dxa"/>
              <w:right w:w="100" w:type="dxa"/>
            </w:tcMar>
            <w:vAlign w:val="center"/>
          </w:tcPr>
          <w:p w14:paraId="17367F86" w14:textId="77777777" w:rsidR="007121D9" w:rsidRDefault="00000000">
            <w:pPr>
              <w:spacing w:before="40" w:after="40"/>
            </w:pPr>
            <w:r>
              <w:rPr>
                <w:sz w:val="20"/>
                <w:szCs w:val="20"/>
              </w:rPr>
              <w:t>8PSK (Gray)</w:t>
            </w:r>
          </w:p>
        </w:tc>
        <w:tc>
          <w:tcPr>
            <w:tcW w:w="1500" w:type="dxa"/>
            <w:tcBorders>
              <w:top w:val="single" w:sz="4" w:space="0" w:color="999999"/>
              <w:left w:val="single" w:sz="4" w:space="0" w:color="999999"/>
              <w:bottom w:val="single" w:sz="4" w:space="0" w:color="999999"/>
              <w:right w:val="single" w:sz="4" w:space="0" w:color="999999"/>
            </w:tcBorders>
            <w:tcMar>
              <w:top w:w="40" w:type="dxa"/>
              <w:left w:w="100" w:type="dxa"/>
              <w:bottom w:w="40" w:type="dxa"/>
              <w:right w:w="100" w:type="dxa"/>
            </w:tcMar>
            <w:vAlign w:val="center"/>
          </w:tcPr>
          <w:p w14:paraId="20C6ECF5" w14:textId="77777777" w:rsidR="007121D9" w:rsidRDefault="00000000">
            <w:pPr>
              <w:spacing w:before="40" w:after="40"/>
              <w:jc w:val="center"/>
            </w:pPr>
            <w:r>
              <w:rPr>
                <w:sz w:val="20"/>
                <w:szCs w:val="20"/>
              </w:rPr>
              <w:t>10.01</w:t>
            </w:r>
          </w:p>
        </w:tc>
        <w:tc>
          <w:tcPr>
            <w:tcW w:w="1500" w:type="dxa"/>
            <w:tcBorders>
              <w:top w:val="single" w:sz="4" w:space="0" w:color="999999"/>
              <w:left w:val="single" w:sz="4" w:space="0" w:color="999999"/>
              <w:bottom w:val="single" w:sz="4" w:space="0" w:color="999999"/>
              <w:right w:val="single" w:sz="4" w:space="0" w:color="999999"/>
            </w:tcBorders>
            <w:tcMar>
              <w:top w:w="40" w:type="dxa"/>
              <w:left w:w="100" w:type="dxa"/>
              <w:bottom w:w="40" w:type="dxa"/>
              <w:right w:w="100" w:type="dxa"/>
            </w:tcMar>
            <w:vAlign w:val="center"/>
          </w:tcPr>
          <w:p w14:paraId="0A7D2C1A" w14:textId="77777777" w:rsidR="007121D9" w:rsidRDefault="00000000">
            <w:pPr>
              <w:spacing w:before="40" w:after="40"/>
              <w:jc w:val="center"/>
            </w:pPr>
            <w:r>
              <w:rPr>
                <w:sz w:val="20"/>
                <w:szCs w:val="20"/>
              </w:rPr>
              <w:t>12.97</w:t>
            </w:r>
          </w:p>
        </w:tc>
        <w:tc>
          <w:tcPr>
            <w:tcW w:w="1863" w:type="dxa"/>
            <w:tcBorders>
              <w:top w:val="single" w:sz="4" w:space="0" w:color="999999"/>
              <w:left w:val="single" w:sz="4" w:space="0" w:color="999999"/>
              <w:bottom w:val="single" w:sz="4" w:space="0" w:color="999999"/>
              <w:right w:val="single" w:sz="4" w:space="0" w:color="999999"/>
            </w:tcBorders>
            <w:tcMar>
              <w:top w:w="40" w:type="dxa"/>
              <w:left w:w="100" w:type="dxa"/>
              <w:bottom w:w="40" w:type="dxa"/>
              <w:right w:w="100" w:type="dxa"/>
            </w:tcMar>
            <w:vAlign w:val="center"/>
          </w:tcPr>
          <w:p w14:paraId="7F11A4A7" w14:textId="77777777" w:rsidR="007121D9" w:rsidRDefault="00000000">
            <w:pPr>
              <w:spacing w:before="40" w:after="40"/>
              <w:jc w:val="center"/>
            </w:pPr>
            <w:r>
              <w:rPr>
                <w:sz w:val="20"/>
                <w:szCs w:val="20"/>
              </w:rPr>
              <w:t>3.22</w:t>
            </w:r>
          </w:p>
        </w:tc>
        <w:tc>
          <w:tcPr>
            <w:tcW w:w="1863" w:type="dxa"/>
            <w:tcBorders>
              <w:top w:val="single" w:sz="4" w:space="0" w:color="999999"/>
              <w:left w:val="single" w:sz="4" w:space="0" w:color="999999"/>
              <w:bottom w:val="single" w:sz="4" w:space="0" w:color="999999"/>
              <w:right w:val="single" w:sz="4" w:space="0" w:color="999999"/>
            </w:tcBorders>
            <w:tcMar>
              <w:top w:w="40" w:type="dxa"/>
              <w:left w:w="100" w:type="dxa"/>
              <w:bottom w:w="40" w:type="dxa"/>
              <w:right w:w="100" w:type="dxa"/>
            </w:tcMar>
            <w:vAlign w:val="center"/>
          </w:tcPr>
          <w:p w14:paraId="62E6983F" w14:textId="77777777" w:rsidR="007121D9" w:rsidRDefault="00000000">
            <w:pPr>
              <w:spacing w:before="40" w:after="40"/>
              <w:jc w:val="center"/>
            </w:pPr>
            <w:r>
              <w:rPr>
                <w:sz w:val="20"/>
                <w:szCs w:val="20"/>
              </w:rPr>
              <w:t>3.38</w:t>
            </w:r>
          </w:p>
        </w:tc>
      </w:tr>
      <w:tr w:rsidR="007121D9" w14:paraId="0403EE44" w14:textId="77777777">
        <w:tc>
          <w:tcPr>
            <w:tcW w:w="2300" w:type="dxa"/>
            <w:tcBorders>
              <w:top w:val="single" w:sz="4" w:space="0" w:color="999999"/>
              <w:left w:val="single" w:sz="4" w:space="0" w:color="999999"/>
              <w:bottom w:val="single" w:sz="4" w:space="0" w:color="999999"/>
              <w:right w:val="single" w:sz="4" w:space="0" w:color="999999"/>
            </w:tcBorders>
            <w:tcMar>
              <w:top w:w="40" w:type="dxa"/>
              <w:left w:w="100" w:type="dxa"/>
              <w:bottom w:w="40" w:type="dxa"/>
              <w:right w:w="100" w:type="dxa"/>
            </w:tcMar>
            <w:vAlign w:val="center"/>
          </w:tcPr>
          <w:p w14:paraId="10FB4ECB" w14:textId="77777777" w:rsidR="007121D9" w:rsidRDefault="00000000">
            <w:pPr>
              <w:spacing w:before="40" w:after="40"/>
            </w:pPr>
            <w:r>
              <w:rPr>
                <w:sz w:val="20"/>
                <w:szCs w:val="20"/>
              </w:rPr>
              <w:t>16-QAM (Gray)</w:t>
            </w:r>
          </w:p>
        </w:tc>
        <w:tc>
          <w:tcPr>
            <w:tcW w:w="1500" w:type="dxa"/>
            <w:tcBorders>
              <w:top w:val="single" w:sz="4" w:space="0" w:color="999999"/>
              <w:left w:val="single" w:sz="4" w:space="0" w:color="999999"/>
              <w:bottom w:val="single" w:sz="4" w:space="0" w:color="999999"/>
              <w:right w:val="single" w:sz="4" w:space="0" w:color="999999"/>
            </w:tcBorders>
            <w:tcMar>
              <w:top w:w="40" w:type="dxa"/>
              <w:left w:w="100" w:type="dxa"/>
              <w:bottom w:w="40" w:type="dxa"/>
              <w:right w:w="100" w:type="dxa"/>
            </w:tcMar>
            <w:vAlign w:val="center"/>
          </w:tcPr>
          <w:p w14:paraId="140A82DD" w14:textId="77777777" w:rsidR="007121D9" w:rsidRDefault="00000000">
            <w:pPr>
              <w:spacing w:before="40" w:after="40"/>
              <w:jc w:val="center"/>
            </w:pPr>
            <w:r>
              <w:rPr>
                <w:sz w:val="20"/>
                <w:szCs w:val="20"/>
              </w:rPr>
              <w:t>10.52</w:t>
            </w:r>
          </w:p>
        </w:tc>
        <w:tc>
          <w:tcPr>
            <w:tcW w:w="1500" w:type="dxa"/>
            <w:tcBorders>
              <w:top w:val="single" w:sz="4" w:space="0" w:color="999999"/>
              <w:left w:val="single" w:sz="4" w:space="0" w:color="999999"/>
              <w:bottom w:val="single" w:sz="4" w:space="0" w:color="999999"/>
              <w:right w:val="single" w:sz="4" w:space="0" w:color="999999"/>
            </w:tcBorders>
            <w:tcMar>
              <w:top w:w="40" w:type="dxa"/>
              <w:left w:w="100" w:type="dxa"/>
              <w:bottom w:w="40" w:type="dxa"/>
              <w:right w:w="100" w:type="dxa"/>
            </w:tcMar>
            <w:vAlign w:val="center"/>
          </w:tcPr>
          <w:p w14:paraId="724B05D7" w14:textId="77777777" w:rsidR="007121D9" w:rsidRDefault="00000000">
            <w:pPr>
              <w:spacing w:before="40" w:after="40"/>
              <w:jc w:val="center"/>
            </w:pPr>
            <w:r>
              <w:rPr>
                <w:sz w:val="20"/>
                <w:szCs w:val="20"/>
              </w:rPr>
              <w:t>13.43</w:t>
            </w:r>
          </w:p>
        </w:tc>
        <w:tc>
          <w:tcPr>
            <w:tcW w:w="1863" w:type="dxa"/>
            <w:tcBorders>
              <w:top w:val="single" w:sz="4" w:space="0" w:color="999999"/>
              <w:left w:val="single" w:sz="4" w:space="0" w:color="999999"/>
              <w:bottom w:val="single" w:sz="4" w:space="0" w:color="999999"/>
              <w:right w:val="single" w:sz="4" w:space="0" w:color="999999"/>
            </w:tcBorders>
            <w:tcMar>
              <w:top w:w="40" w:type="dxa"/>
              <w:left w:w="100" w:type="dxa"/>
              <w:bottom w:w="40" w:type="dxa"/>
              <w:right w:w="100" w:type="dxa"/>
            </w:tcMar>
            <w:vAlign w:val="center"/>
          </w:tcPr>
          <w:p w14:paraId="432BF3BB" w14:textId="77777777" w:rsidR="007121D9" w:rsidRDefault="00000000">
            <w:pPr>
              <w:spacing w:before="40" w:after="40"/>
              <w:jc w:val="center"/>
            </w:pPr>
            <w:r>
              <w:rPr>
                <w:sz w:val="20"/>
                <w:szCs w:val="20"/>
              </w:rPr>
              <w:t>3.73</w:t>
            </w:r>
          </w:p>
        </w:tc>
        <w:tc>
          <w:tcPr>
            <w:tcW w:w="1863" w:type="dxa"/>
            <w:tcBorders>
              <w:top w:val="single" w:sz="4" w:space="0" w:color="999999"/>
              <w:left w:val="single" w:sz="4" w:space="0" w:color="999999"/>
              <w:bottom w:val="single" w:sz="4" w:space="0" w:color="999999"/>
              <w:right w:val="single" w:sz="4" w:space="0" w:color="999999"/>
            </w:tcBorders>
            <w:tcMar>
              <w:top w:w="40" w:type="dxa"/>
              <w:left w:w="100" w:type="dxa"/>
              <w:bottom w:w="40" w:type="dxa"/>
              <w:right w:w="100" w:type="dxa"/>
            </w:tcMar>
            <w:vAlign w:val="center"/>
          </w:tcPr>
          <w:p w14:paraId="083212B2" w14:textId="77777777" w:rsidR="007121D9" w:rsidRDefault="00000000">
            <w:pPr>
              <w:spacing w:before="40" w:after="40"/>
              <w:jc w:val="center"/>
            </w:pPr>
            <w:r>
              <w:rPr>
                <w:sz w:val="20"/>
                <w:szCs w:val="20"/>
              </w:rPr>
              <w:t>3.84</w:t>
            </w:r>
          </w:p>
        </w:tc>
      </w:tr>
    </w:tbl>
    <w:p w14:paraId="25D851A4" w14:textId="77777777" w:rsidR="007121D9" w:rsidRDefault="00000000">
      <w:pPr>
        <w:spacing w:before="60" w:after="160"/>
        <w:jc w:val="center"/>
      </w:pPr>
      <w:r>
        <w:rPr>
          <w:i/>
          <w:iCs/>
          <w:sz w:val="20"/>
          <w:szCs w:val="20"/>
        </w:rPr>
        <w:t>Table 4. E</w:t>
      </w:r>
      <w:r>
        <w:rPr>
          <w:i/>
          <w:iCs/>
          <w:sz w:val="20"/>
          <w:szCs w:val="20"/>
          <w:vertAlign w:val="subscript"/>
        </w:rPr>
        <w:t>b</w:t>
      </w:r>
      <w:r>
        <w:rPr>
          <w:i/>
          <w:iCs/>
          <w:sz w:val="20"/>
          <w:szCs w:val="20"/>
        </w:rPr>
        <w:t>/N</w:t>
      </w:r>
      <w:r>
        <w:rPr>
          <w:i/>
          <w:iCs/>
          <w:sz w:val="20"/>
          <w:szCs w:val="20"/>
          <w:vertAlign w:val="subscript"/>
        </w:rPr>
        <w:t>0</w:t>
      </w:r>
      <w:r>
        <w:rPr>
          <w:i/>
          <w:iCs/>
          <w:sz w:val="20"/>
          <w:szCs w:val="20"/>
        </w:rPr>
        <w:t xml:space="preserve"> required for a given BER, from the theoretical expressions.</w:t>
      </w:r>
    </w:p>
    <w:p w14:paraId="76C0B71F" w14:textId="77777777" w:rsidR="007121D9" w:rsidRDefault="00000000">
      <w:pPr>
        <w:spacing w:after="120" w:line="276" w:lineRule="auto"/>
        <w:jc w:val="both"/>
      </w:pPr>
      <w:r>
        <w:t>Two observations follow from the table. First, 16-QAM is only about 0.5 dB worse than 8PSK although it carries one more bit per symbol: placing points on a square grid in amplitude and phase uses the signal energy more efficiently than placing all of them on one circle. Second, the asymptotic loss predicted by the minimum distance, 10·log₁₀(4</w:t>
      </w:r>
      <w:r>
        <w:rPr>
          <w:i/>
          <w:iCs/>
        </w:rPr>
        <w:t>E</w:t>
      </w:r>
      <w:r>
        <w:rPr>
          <w:vertAlign w:val="subscript"/>
        </w:rPr>
        <w:t>b</w:t>
      </w:r>
      <w:r>
        <w:t>/d²), is 3.57 dB for 8PSK and 3.98 dB for 16-QAM; the values at 10⁻⁵ (3.38 dB and 3.84 dB) approach these limits from below.</w:t>
      </w:r>
    </w:p>
    <w:p w14:paraId="5A3E2974" w14:textId="77777777" w:rsidR="007121D9" w:rsidRDefault="00000000">
      <w:pPr>
        <w:pStyle w:val="Heading2"/>
      </w:pPr>
      <w:bookmarkStart w:id="9" w:name="_Toc243600669"/>
      <w:r>
        <w:lastRenderedPageBreak/>
        <w:t>4.3 QPSK: Gray (Assignment Figure 2) versus Non-Gray (Assignment Figure 3) Mapping</w:t>
      </w:r>
      <w:bookmarkEnd w:id="9"/>
    </w:p>
    <w:p w14:paraId="1DC93776" w14:textId="77777777" w:rsidR="007121D9" w:rsidRDefault="00000000">
      <w:pPr>
        <w:keepNext/>
        <w:spacing w:before="120" w:after="40"/>
        <w:jc w:val="center"/>
      </w:pPr>
      <w:r>
        <w:rPr>
          <w:noProof/>
        </w:rPr>
        <w:drawing>
          <wp:inline distT="0" distB="0" distL="0" distR="0" wp14:anchorId="093B82F2" wp14:editId="4B1B2F37">
            <wp:extent cx="5619750" cy="2647950"/>
            <wp:effectExtent l="0" t="0" r="0" b="0"/>
            <wp:docPr id="6" name="fig6" descr="QPSK BER versus {E_b}/{N_0}: assignment Figure 2 (Gray) against assignment Figure 3 (non-Gray), theory and simulation." title="Fig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619750" cy="2647950"/>
                    </a:xfrm>
                    <a:prstGeom prst="rect">
                      <a:avLst/>
                    </a:prstGeom>
                  </pic:spPr>
                </pic:pic>
              </a:graphicData>
            </a:graphic>
          </wp:inline>
        </w:drawing>
      </w:r>
    </w:p>
    <w:p w14:paraId="4B61680F" w14:textId="77777777" w:rsidR="007121D9" w:rsidRDefault="00000000">
      <w:pPr>
        <w:spacing w:after="160"/>
        <w:jc w:val="center"/>
      </w:pPr>
      <w:r>
        <w:rPr>
          <w:b/>
          <w:bCs/>
          <w:i/>
          <w:iCs/>
          <w:sz w:val="20"/>
          <w:szCs w:val="20"/>
        </w:rPr>
        <w:t>Figure 6.</w:t>
      </w:r>
      <w:r>
        <w:rPr>
          <w:i/>
          <w:iCs/>
          <w:sz w:val="20"/>
          <w:szCs w:val="20"/>
        </w:rPr>
        <w:t xml:space="preserve"> QPSK BER versus E</w:t>
      </w:r>
      <w:r>
        <w:rPr>
          <w:i/>
          <w:iCs/>
          <w:sz w:val="20"/>
          <w:szCs w:val="20"/>
          <w:vertAlign w:val="subscript"/>
        </w:rPr>
        <w:t>b</w:t>
      </w:r>
      <w:r>
        <w:rPr>
          <w:i/>
          <w:iCs/>
          <w:sz w:val="20"/>
          <w:szCs w:val="20"/>
        </w:rPr>
        <w:t>/N</w:t>
      </w:r>
      <w:r>
        <w:rPr>
          <w:i/>
          <w:iCs/>
          <w:sz w:val="20"/>
          <w:szCs w:val="20"/>
          <w:vertAlign w:val="subscript"/>
        </w:rPr>
        <w:t>0</w:t>
      </w:r>
      <w:r>
        <w:rPr>
          <w:i/>
          <w:iCs/>
          <w:sz w:val="20"/>
          <w:szCs w:val="20"/>
        </w:rPr>
        <w:t>: assignment Figure 2 (Gray) against assignment Figure 3 (non-Gray), theory and simulation.</w:t>
      </w:r>
    </w:p>
    <w:p w14:paraId="72E1D825" w14:textId="77777777" w:rsidR="007121D9" w:rsidRDefault="00000000">
      <w:pPr>
        <w:spacing w:after="120" w:line="276" w:lineRule="auto"/>
        <w:jc w:val="both"/>
      </w:pPr>
      <w:r>
        <w:rPr>
          <w:b/>
          <w:bCs/>
        </w:rPr>
        <w:t>Comment.</w:t>
      </w:r>
      <w:r>
        <w:t xml:space="preserve"> The non-Gray mapping (assignment Figure 3) is worse than the Gray mapping (assignment Figure 2) at every SNR, and the simulation reproduces the theoretical curve for both. The two mappings use exactly the same constellation points and the same decision regions, so their </w:t>
      </w:r>
      <w:r>
        <w:rPr>
          <w:b/>
          <w:bCs/>
        </w:rPr>
        <w:t>symbol</w:t>
      </w:r>
      <w:r>
        <w:t xml:space="preserve"> error probability is identical; only the assignment of bits to points differs.</w:t>
      </w:r>
    </w:p>
    <w:p w14:paraId="5D2DF555" w14:textId="77777777" w:rsidR="007121D9" w:rsidRDefault="00000000">
      <w:pPr>
        <w:spacing w:after="120" w:line="276" w:lineRule="auto"/>
        <w:jc w:val="both"/>
      </w:pPr>
      <w:r>
        <w:t xml:space="preserve">In the labelling of assignment Figure 3, the horizontally adjacent pairs 01–10 and 00–11 differ in </w:t>
      </w:r>
      <w:r>
        <w:rPr>
          <w:b/>
          <w:bCs/>
        </w:rPr>
        <w:t>both</w:t>
      </w:r>
      <w:r>
        <w:t xml:space="preserve"> bits, while the vertically adjacent pairs 01–00 and 10–11 and the diagonal pairs differ in one bit. An error on the I axis alone therefore flips two bits, an error on the Q axis alone flips one bit, and an error on both axes flips one bit. Averaging over the two bits of a symbol gives</w:t>
      </w:r>
    </w:p>
    <w:p w14:paraId="47299B50" w14:textId="77777777" w:rsidR="007121D9" w:rsidRDefault="00000000">
      <w:pPr>
        <w:spacing w:before="60" w:after="100"/>
        <w:jc w:val="center"/>
      </w:pPr>
      <m:oMathPara>
        <m:oMath>
          <m:sSub>
            <m:sSubPr>
              <m:ctrlPr>
                <w:rPr>
                  <w:rFonts w:ascii="Cambria Math" w:hAnsi="Cambria Math"/>
                </w:rPr>
              </m:ctrlPr>
            </m:sSubPr>
            <m:e>
              <m:r>
                <w:rPr>
                  <w:rFonts w:ascii="Cambria Math" w:hAnsi="Cambria Math"/>
                </w:rPr>
                <m:t>P</m:t>
              </m:r>
            </m:e>
            <m:sub>
              <m:r>
                <w:rPr>
                  <w:rFonts w:ascii="Cambria Math" w:hAnsi="Cambria Math"/>
                </w:rPr>
                <m:t>b</m:t>
              </m:r>
            </m:sub>
          </m:sSub>
          <m:r>
            <w:rPr>
              <w:rFonts w:ascii="Cambria Math" w:hAnsi="Cambria Math"/>
            </w:rPr>
            <m:t xml:space="preserve"> = </m:t>
          </m:r>
          <m:f>
            <m:fPr>
              <m:ctrlPr>
                <w:rPr>
                  <w:rFonts w:ascii="Cambria Math" w:hAnsi="Cambria Math"/>
                </w:rPr>
              </m:ctrlPr>
            </m:fPr>
            <m:num>
              <m:r>
                <w:rPr>
                  <w:rFonts w:ascii="Cambria Math" w:hAnsi="Cambria Math"/>
                </w:rPr>
                <m:t xml:space="preserve">2p(1-p) + p(1-p) + </m:t>
              </m:r>
              <m:sSup>
                <m:sSupPr>
                  <m:ctrlPr>
                    <w:rPr>
                      <w:rFonts w:ascii="Cambria Math" w:hAnsi="Cambria Math"/>
                    </w:rPr>
                  </m:ctrlPr>
                </m:sSupPr>
                <m:e>
                  <m:r>
                    <w:rPr>
                      <w:rFonts w:ascii="Cambria Math" w:hAnsi="Cambria Math"/>
                    </w:rPr>
                    <m:t>p</m:t>
                  </m:r>
                </m:e>
                <m:sup>
                  <m:r>
                    <w:rPr>
                      <w:rFonts w:ascii="Cambria Math" w:hAnsi="Cambria Math"/>
                    </w:rPr>
                    <m:t>2</m:t>
                  </m:r>
                </m:sup>
              </m:sSup>
            </m:num>
            <m:den>
              <m:r>
                <w:rPr>
                  <w:rFonts w:ascii="Cambria Math" w:hAnsi="Cambria Math"/>
                </w:rPr>
                <m:t>2</m:t>
              </m:r>
            </m:den>
          </m:f>
          <m:r>
            <w:rPr>
              <w:rFonts w:ascii="Cambria Math" w:hAnsi="Cambria Math"/>
            </w:rPr>
            <m:t xml:space="preserve"> = </m:t>
          </m:r>
          <m:f>
            <m:fPr>
              <m:ctrlPr>
                <w:rPr>
                  <w:rFonts w:ascii="Cambria Math" w:hAnsi="Cambria Math"/>
                </w:rPr>
              </m:ctrlPr>
            </m:fPr>
            <m:num>
              <m:r>
                <w:rPr>
                  <w:rFonts w:ascii="Cambria Math" w:hAnsi="Cambria Math"/>
                </w:rPr>
                <m:t>3</m:t>
              </m:r>
            </m:num>
            <m:den>
              <m:r>
                <w:rPr>
                  <w:rFonts w:ascii="Cambria Math" w:hAnsi="Cambria Math"/>
                </w:rPr>
                <m:t>2</m:t>
              </m:r>
            </m:den>
          </m:f>
          <m:r>
            <w:rPr>
              <w:rFonts w:ascii="Cambria Math" w:hAnsi="Cambria Math"/>
            </w:rPr>
            <m:t xml:space="preserve">p - </m:t>
          </m:r>
          <m:sSup>
            <m:sSupPr>
              <m:ctrlPr>
                <w:rPr>
                  <w:rFonts w:ascii="Cambria Math" w:hAnsi="Cambria Math"/>
                </w:rPr>
              </m:ctrlPr>
            </m:sSupPr>
            <m:e>
              <m:r>
                <w:rPr>
                  <w:rFonts w:ascii="Cambria Math" w:hAnsi="Cambria Math"/>
                </w:rPr>
                <m:t>p</m:t>
              </m:r>
            </m:e>
            <m:sup>
              <m:r>
                <w:rPr>
                  <w:rFonts w:ascii="Cambria Math" w:hAnsi="Cambria Math"/>
                </w:rPr>
                <m:t>2</m:t>
              </m:r>
            </m:sup>
          </m:sSup>
        </m:oMath>
      </m:oMathPara>
    </w:p>
    <w:p w14:paraId="2238394F" w14:textId="77777777" w:rsidR="007121D9" w:rsidRDefault="00000000">
      <w:pPr>
        <w:spacing w:after="120" w:line="276" w:lineRule="auto"/>
        <w:jc w:val="both"/>
      </w:pPr>
      <w:r>
        <w:t>with p = Q(√(2</w:t>
      </w:r>
      <w:r>
        <w:rPr>
          <w:i/>
          <w:iCs/>
        </w:rPr>
        <w:t>γ</w:t>
      </w:r>
      <w:r>
        <w:rPr>
          <w:vertAlign w:val="subscript"/>
        </w:rPr>
        <w:t>b</w:t>
      </w:r>
      <w:r>
        <w:t>)) the error probability of each axis. At high SNR this tends to 1.5 p, so the non-Gray BER is about 1.5 times the Gray BER. In terms of required SNR, the penalty is 0.33 dB at BER = 10⁻³ and shrinks to 0.18 dB at 10⁻⁵ (Table 4), because a fixed BER ratio corresponds to a smaller dB gap on the steeper part of the curve. With Gray mapping every nearest-neighbour symbol error costs exactly one bit error, which is the minimum possible, so Gray labelling is the preferred choice.</w:t>
      </w:r>
    </w:p>
    <w:p w14:paraId="61FB5F18" w14:textId="77777777" w:rsidR="007121D9" w:rsidRDefault="00000000">
      <w:pPr>
        <w:pStyle w:val="Heading1"/>
      </w:pPr>
      <w:bookmarkStart w:id="10" w:name="_Toc243600670"/>
      <w:r>
        <w:t>5. Results and Discussion: BFSK (Task 1.5)</w:t>
      </w:r>
      <w:bookmarkEnd w:id="10"/>
    </w:p>
    <w:p w14:paraId="037BFBEE" w14:textId="77777777" w:rsidR="007121D9" w:rsidRDefault="00000000">
      <w:pPr>
        <w:spacing w:after="120" w:line="276" w:lineRule="auto"/>
        <w:jc w:val="both"/>
      </w:pPr>
      <w:r>
        <w:t>The BFSK signal set is</w:t>
      </w:r>
    </w:p>
    <w:p w14:paraId="467C95A1" w14:textId="77777777" w:rsidR="007121D9" w:rsidRDefault="00000000">
      <w:pPr>
        <w:spacing w:before="60" w:after="100"/>
        <w:jc w:val="center"/>
      </w:pPr>
      <m:oMathPara>
        <m:oMath>
          <m:sSub>
            <m:sSubPr>
              <m:ctrlPr>
                <w:rPr>
                  <w:rFonts w:ascii="Cambria Math" w:hAnsi="Cambria Math"/>
                </w:rPr>
              </m:ctrlPr>
            </m:sSubPr>
            <m:e>
              <m:r>
                <w:rPr>
                  <w:rFonts w:ascii="Cambria Math" w:hAnsi="Cambria Math"/>
                </w:rPr>
                <m:t>s</m:t>
              </m:r>
            </m:e>
            <m:sub>
              <m:r>
                <w:rPr>
                  <w:rFonts w:ascii="Cambria Math" w:hAnsi="Cambria Math"/>
                </w:rPr>
                <m:t>i</m:t>
              </m:r>
            </m:sub>
          </m:sSub>
          <m:r>
            <w:rPr>
              <w:rFonts w:ascii="Cambria Math" w:hAnsi="Cambria Math"/>
            </w:rPr>
            <m:t xml:space="preserve">(t) = </m:t>
          </m:r>
          <m:rad>
            <m:radPr>
              <m:degHide m:val="1"/>
              <m:ctrlPr>
                <w:rPr>
                  <w:rFonts w:ascii="Cambria Math" w:hAnsi="Cambria Math"/>
                </w:rPr>
              </m:ctrlPr>
            </m:radPr>
            <m:deg/>
            <m:e>
              <m:f>
                <m:fPr>
                  <m:ctrlPr>
                    <w:rPr>
                      <w:rFonts w:ascii="Cambria Math" w:hAnsi="Cambria Math"/>
                    </w:rPr>
                  </m:ctrlPr>
                </m:fPr>
                <m:num>
                  <m:r>
                    <w:rPr>
                      <w:rFonts w:ascii="Cambria Math" w:hAnsi="Cambria Math"/>
                    </w:rPr>
                    <m:t>2</m:t>
                  </m:r>
                  <m:sSub>
                    <m:sSubPr>
                      <m:ctrlPr>
                        <w:rPr>
                          <w:rFonts w:ascii="Cambria Math" w:hAnsi="Cambria Math"/>
                        </w:rPr>
                      </m:ctrlPr>
                    </m:sSubPr>
                    <m:e>
                      <m:r>
                        <w:rPr>
                          <w:rFonts w:ascii="Cambria Math" w:hAnsi="Cambria Math"/>
                        </w:rPr>
                        <m:t>E</m:t>
                      </m:r>
                    </m:e>
                    <m:sub>
                      <m:r>
                        <w:rPr>
                          <w:rFonts w:ascii="Cambria Math" w:hAnsi="Cambria Math"/>
                        </w:rPr>
                        <m:t>b</m:t>
                      </m:r>
                    </m:sub>
                  </m:sSub>
                </m:num>
                <m:den>
                  <m:sSub>
                    <m:sSubPr>
                      <m:ctrlPr>
                        <w:rPr>
                          <w:rFonts w:ascii="Cambria Math" w:hAnsi="Cambria Math"/>
                        </w:rPr>
                      </m:ctrlPr>
                    </m:sSubPr>
                    <m:e>
                      <m:r>
                        <w:rPr>
                          <w:rFonts w:ascii="Cambria Math" w:hAnsi="Cambria Math"/>
                        </w:rPr>
                        <m:t>T</m:t>
                      </m:r>
                    </m:e>
                    <m:sub>
                      <m:r>
                        <w:rPr>
                          <w:rFonts w:ascii="Cambria Math" w:hAnsi="Cambria Math"/>
                        </w:rPr>
                        <m:t>b</m:t>
                      </m:r>
                    </m:sub>
                  </m:sSub>
                </m:den>
              </m:f>
            </m:e>
          </m:rad>
          <m:func>
            <m:funcPr>
              <m:ctrlPr>
                <w:rPr>
                  <w:rFonts w:ascii="Cambria Math" w:hAnsi="Cambria Math"/>
                </w:rPr>
              </m:ctrlPr>
            </m:funcPr>
            <m:fName>
              <m:r>
                <w:rPr>
                  <w:rFonts w:ascii="Cambria Math" w:hAnsi="Cambria Math"/>
                </w:rPr>
                <m:t>cos</m:t>
              </m:r>
            </m:fName>
            <m:e>
              <m:d>
                <m:dPr>
                  <m:ctrlPr>
                    <w:rPr>
                      <w:rFonts w:ascii="Cambria Math" w:hAnsi="Cambria Math"/>
                    </w:rPr>
                  </m:ctrlPr>
                </m:dPr>
                <m:e>
                  <m:r>
                    <w:rPr>
                      <w:rFonts w:ascii="Cambria Math" w:hAnsi="Cambria Math"/>
                    </w:rPr>
                    <m:t>2π</m:t>
                  </m:r>
                  <m:sSub>
                    <m:sSubPr>
                      <m:ctrlPr>
                        <w:rPr>
                          <w:rFonts w:ascii="Cambria Math" w:hAnsi="Cambria Math"/>
                        </w:rPr>
                      </m:ctrlPr>
                    </m:sSubPr>
                    <m:e>
                      <m:r>
                        <w:rPr>
                          <w:rFonts w:ascii="Cambria Math" w:hAnsi="Cambria Math"/>
                        </w:rPr>
                        <m:t>f</m:t>
                      </m:r>
                    </m:e>
                    <m:sub>
                      <m:r>
                        <w:rPr>
                          <w:rFonts w:ascii="Cambria Math" w:hAnsi="Cambria Math"/>
                        </w:rPr>
                        <m:t>i</m:t>
                      </m:r>
                    </m:sub>
                  </m:sSub>
                  <m:r>
                    <w:rPr>
                      <w:rFonts w:ascii="Cambria Math" w:hAnsi="Cambria Math"/>
                    </w:rPr>
                    <m:t>t</m:t>
                  </m:r>
                </m:e>
              </m:d>
            </m:e>
          </m:func>
          <m:r>
            <w:rPr>
              <w:rFonts w:ascii="Cambria Math" w:hAnsi="Cambria Math"/>
            </w:rPr>
            <m:t xml:space="preserve">,    0 ≤ t ≤ </m:t>
          </m:r>
          <m:sSub>
            <m:sSubPr>
              <m:ctrlPr>
                <w:rPr>
                  <w:rFonts w:ascii="Cambria Math" w:hAnsi="Cambria Math"/>
                </w:rPr>
              </m:ctrlPr>
            </m:sSubPr>
            <m:e>
              <m:r>
                <w:rPr>
                  <w:rFonts w:ascii="Cambria Math" w:hAnsi="Cambria Math"/>
                </w:rPr>
                <m:t>T</m:t>
              </m:r>
            </m:e>
            <m:sub>
              <m:r>
                <w:rPr>
                  <w:rFonts w:ascii="Cambria Math" w:hAnsi="Cambria Math"/>
                </w:rPr>
                <m:t>b</m:t>
              </m:r>
            </m:sub>
          </m:sSub>
        </m:oMath>
      </m:oMathPara>
    </w:p>
    <w:p w14:paraId="348515DC" w14:textId="77777777" w:rsidR="007121D9" w:rsidRDefault="00000000">
      <w:pPr>
        <w:spacing w:after="120" w:line="276" w:lineRule="auto"/>
        <w:jc w:val="both"/>
      </w:pPr>
      <w:r>
        <w:t xml:space="preserve">with tone frequencies </w:t>
      </w:r>
      <w:r>
        <w:rPr>
          <w:i/>
          <w:iCs/>
        </w:rPr>
        <w:t>f</w:t>
      </w:r>
      <w:r>
        <w:rPr>
          <w:vertAlign w:val="subscript"/>
        </w:rPr>
        <w:t>i</w:t>
      </w:r>
      <w:r>
        <w:t xml:space="preserve"> = (</w:t>
      </w:r>
      <w:r>
        <w:rPr>
          <w:i/>
          <w:iCs/>
        </w:rPr>
        <w:t>n</w:t>
      </w:r>
      <w:r>
        <w:rPr>
          <w:vertAlign w:val="subscript"/>
        </w:rPr>
        <w:t>c</w:t>
      </w:r>
      <w:r>
        <w:t xml:space="preserve"> + i)/</w:t>
      </w:r>
      <w:r>
        <w:rPr>
          <w:i/>
          <w:iCs/>
        </w:rPr>
        <w:t>T</w:t>
      </w:r>
      <w:r>
        <w:rPr>
          <w:vertAlign w:val="subscript"/>
        </w:rPr>
        <w:t>b</w:t>
      </w:r>
      <w:r>
        <w:t>, i = 1, 2.</w:t>
      </w:r>
    </w:p>
    <w:p w14:paraId="70A460A0" w14:textId="77777777" w:rsidR="007121D9" w:rsidRDefault="00000000">
      <w:pPr>
        <w:pStyle w:val="Heading2"/>
      </w:pPr>
      <w:bookmarkStart w:id="11" w:name="_Toc243600671"/>
      <w:r>
        <w:t>5.1 Basis Functions</w:t>
      </w:r>
      <w:bookmarkEnd w:id="11"/>
    </w:p>
    <w:p w14:paraId="6D1BD3CE" w14:textId="77777777" w:rsidR="007121D9" w:rsidRDefault="00000000">
      <w:pPr>
        <w:spacing w:after="120" w:line="276" w:lineRule="auto"/>
        <w:jc w:val="both"/>
      </w:pPr>
      <w:r>
        <w:t>The signal set has two orthonormal basis functions, one per tone:</w:t>
      </w:r>
    </w:p>
    <w:p w14:paraId="5F998570" w14:textId="77777777" w:rsidR="007121D9" w:rsidRDefault="00000000">
      <w:pPr>
        <w:spacing w:before="60" w:after="100"/>
        <w:jc w:val="center"/>
      </w:pPr>
      <m:oMathPara>
        <m:oMath>
          <m:sSub>
            <m:sSubPr>
              <m:ctrlPr>
                <w:rPr>
                  <w:rFonts w:ascii="Cambria Math" w:hAnsi="Cambria Math"/>
                </w:rPr>
              </m:ctrlPr>
            </m:sSubPr>
            <m:e>
              <m:r>
                <w:rPr>
                  <w:rFonts w:ascii="Cambria Math" w:hAnsi="Cambria Math"/>
                </w:rPr>
                <m:t>φ</m:t>
              </m:r>
            </m:e>
            <m:sub>
              <m:r>
                <w:rPr>
                  <w:rFonts w:ascii="Cambria Math" w:hAnsi="Cambria Math"/>
                </w:rPr>
                <m:t>i</m:t>
              </m:r>
            </m:sub>
          </m:sSub>
          <m:r>
            <w:rPr>
              <w:rFonts w:ascii="Cambria Math" w:hAnsi="Cambria Math"/>
            </w:rPr>
            <m:t xml:space="preserve">(t) = </m:t>
          </m:r>
          <m:rad>
            <m:radPr>
              <m:degHide m:val="1"/>
              <m:ctrlPr>
                <w:rPr>
                  <w:rFonts w:ascii="Cambria Math" w:hAnsi="Cambria Math"/>
                </w:rPr>
              </m:ctrlPr>
            </m:radPr>
            <m:deg/>
            <m:e>
              <m:f>
                <m:fPr>
                  <m:ctrlPr>
                    <w:rPr>
                      <w:rFonts w:ascii="Cambria Math" w:hAnsi="Cambria Math"/>
                    </w:rPr>
                  </m:ctrlPr>
                </m:fPr>
                <m:num>
                  <m:r>
                    <w:rPr>
                      <w:rFonts w:ascii="Cambria Math" w:hAnsi="Cambria Math"/>
                    </w:rPr>
                    <m:t>2</m:t>
                  </m:r>
                </m:num>
                <m:den>
                  <m:sSub>
                    <m:sSubPr>
                      <m:ctrlPr>
                        <w:rPr>
                          <w:rFonts w:ascii="Cambria Math" w:hAnsi="Cambria Math"/>
                        </w:rPr>
                      </m:ctrlPr>
                    </m:sSubPr>
                    <m:e>
                      <m:r>
                        <w:rPr>
                          <w:rFonts w:ascii="Cambria Math" w:hAnsi="Cambria Math"/>
                        </w:rPr>
                        <m:t>T</m:t>
                      </m:r>
                    </m:e>
                    <m:sub>
                      <m:r>
                        <w:rPr>
                          <w:rFonts w:ascii="Cambria Math" w:hAnsi="Cambria Math"/>
                        </w:rPr>
                        <m:t>b</m:t>
                      </m:r>
                    </m:sub>
                  </m:sSub>
                </m:den>
              </m:f>
            </m:e>
          </m:rad>
          <m:func>
            <m:funcPr>
              <m:ctrlPr>
                <w:rPr>
                  <w:rFonts w:ascii="Cambria Math" w:hAnsi="Cambria Math"/>
                </w:rPr>
              </m:ctrlPr>
            </m:funcPr>
            <m:fName>
              <m:r>
                <w:rPr>
                  <w:rFonts w:ascii="Cambria Math" w:hAnsi="Cambria Math"/>
                </w:rPr>
                <m:t>cos</m:t>
              </m:r>
            </m:fName>
            <m:e>
              <m:d>
                <m:dPr>
                  <m:ctrlPr>
                    <w:rPr>
                      <w:rFonts w:ascii="Cambria Math" w:hAnsi="Cambria Math"/>
                    </w:rPr>
                  </m:ctrlPr>
                </m:dPr>
                <m:e>
                  <m:r>
                    <w:rPr>
                      <w:rFonts w:ascii="Cambria Math" w:hAnsi="Cambria Math"/>
                    </w:rPr>
                    <m:t>2π</m:t>
                  </m:r>
                  <m:sSub>
                    <m:sSubPr>
                      <m:ctrlPr>
                        <w:rPr>
                          <w:rFonts w:ascii="Cambria Math" w:hAnsi="Cambria Math"/>
                        </w:rPr>
                      </m:ctrlPr>
                    </m:sSubPr>
                    <m:e>
                      <m:r>
                        <w:rPr>
                          <w:rFonts w:ascii="Cambria Math" w:hAnsi="Cambria Math"/>
                        </w:rPr>
                        <m:t>f</m:t>
                      </m:r>
                    </m:e>
                    <m:sub>
                      <m:r>
                        <w:rPr>
                          <w:rFonts w:ascii="Cambria Math" w:hAnsi="Cambria Math"/>
                        </w:rPr>
                        <m:t>i</m:t>
                      </m:r>
                    </m:sub>
                  </m:sSub>
                  <m:r>
                    <w:rPr>
                      <w:rFonts w:ascii="Cambria Math" w:hAnsi="Cambria Math"/>
                    </w:rPr>
                    <m:t>t</m:t>
                  </m:r>
                </m:e>
              </m:d>
            </m:e>
          </m:func>
          <m:r>
            <w:rPr>
              <w:rFonts w:ascii="Cambria Math" w:hAnsi="Cambria Math"/>
            </w:rPr>
            <m:t xml:space="preserve">,    0 ≤ t ≤ </m:t>
          </m:r>
          <m:sSub>
            <m:sSubPr>
              <m:ctrlPr>
                <w:rPr>
                  <w:rFonts w:ascii="Cambria Math" w:hAnsi="Cambria Math"/>
                </w:rPr>
              </m:ctrlPr>
            </m:sSubPr>
            <m:e>
              <m:r>
                <w:rPr>
                  <w:rFonts w:ascii="Cambria Math" w:hAnsi="Cambria Math"/>
                </w:rPr>
                <m:t>T</m:t>
              </m:r>
            </m:e>
            <m:sub>
              <m:r>
                <w:rPr>
                  <w:rFonts w:ascii="Cambria Math" w:hAnsi="Cambria Math"/>
                </w:rPr>
                <m:t>b</m:t>
              </m:r>
            </m:sub>
          </m:sSub>
          <m:r>
            <w:rPr>
              <w:rFonts w:ascii="Cambria Math" w:hAnsi="Cambria Math"/>
            </w:rPr>
            <m:t>,    i = 1, 2</m:t>
          </m:r>
        </m:oMath>
      </m:oMathPara>
    </w:p>
    <w:p w14:paraId="1FA1006B" w14:textId="77777777" w:rsidR="007121D9" w:rsidRDefault="00000000">
      <w:pPr>
        <w:spacing w:after="120" w:line="276" w:lineRule="auto"/>
        <w:jc w:val="both"/>
      </w:pPr>
      <w:r>
        <w:t xml:space="preserve">They are orthogonal because the product of the two cosines integrates to zero over a bit interval: the frequency difference </w:t>
      </w:r>
      <w:r>
        <w:rPr>
          <w:i/>
          <w:iCs/>
        </w:rPr>
        <w:t>f</w:t>
      </w:r>
      <w:r>
        <w:rPr>
          <w:vertAlign w:val="subscript"/>
        </w:rPr>
        <w:t>2</w:t>
      </w:r>
      <w:r>
        <w:t xml:space="preserve"> − </w:t>
      </w:r>
      <w:r>
        <w:rPr>
          <w:i/>
          <w:iCs/>
        </w:rPr>
        <w:t>f</w:t>
      </w:r>
      <w:r>
        <w:rPr>
          <w:vertAlign w:val="subscript"/>
        </w:rPr>
        <w:t>1</w:t>
      </w:r>
      <w:r>
        <w:t xml:space="preserve"> = 1/</w:t>
      </w:r>
      <w:r>
        <w:rPr>
          <w:i/>
          <w:iCs/>
        </w:rPr>
        <w:t>T</w:t>
      </w:r>
      <w:r>
        <w:rPr>
          <w:vertAlign w:val="subscript"/>
        </w:rPr>
        <w:t>b</w:t>
      </w:r>
      <w:r>
        <w:t xml:space="preserve"> and the sum </w:t>
      </w:r>
      <w:r>
        <w:rPr>
          <w:i/>
          <w:iCs/>
        </w:rPr>
        <w:t>f</w:t>
      </w:r>
      <w:r>
        <w:rPr>
          <w:vertAlign w:val="subscript"/>
        </w:rPr>
        <w:t>1</w:t>
      </w:r>
      <w:r>
        <w:t xml:space="preserve"> + </w:t>
      </w:r>
      <w:r>
        <w:rPr>
          <w:i/>
          <w:iCs/>
        </w:rPr>
        <w:t>f</w:t>
      </w:r>
      <w:r>
        <w:rPr>
          <w:vertAlign w:val="subscript"/>
        </w:rPr>
        <w:t>2</w:t>
      </w:r>
      <w:r>
        <w:t xml:space="preserve"> = (2</w:t>
      </w:r>
      <w:r>
        <w:rPr>
          <w:i/>
          <w:iCs/>
        </w:rPr>
        <w:t>n</w:t>
      </w:r>
      <w:r>
        <w:rPr>
          <w:vertAlign w:val="subscript"/>
        </w:rPr>
        <w:t>c</w:t>
      </w:r>
      <w:r>
        <w:t xml:space="preserve"> + 3)/</w:t>
      </w:r>
      <w:r>
        <w:rPr>
          <w:i/>
          <w:iCs/>
        </w:rPr>
        <w:t>T</w:t>
      </w:r>
      <w:r>
        <w:rPr>
          <w:vertAlign w:val="subscript"/>
        </w:rPr>
        <w:t>b</w:t>
      </w:r>
      <w:r>
        <w:t xml:space="preserve"> both complete a nonzero whole number of cycles in </w:t>
      </w:r>
      <w:r>
        <w:rPr>
          <w:i/>
          <w:iCs/>
        </w:rPr>
        <w:t>T</w:t>
      </w:r>
      <w:r>
        <w:rPr>
          <w:vertAlign w:val="subscript"/>
        </w:rPr>
        <w:t>b</w:t>
      </w:r>
      <w:r>
        <w:t xml:space="preserve">. Their energy is </w:t>
      </w:r>
      <w:r>
        <w:lastRenderedPageBreak/>
        <w:t>normalised to one by the factor √(2/</w:t>
      </w:r>
      <w:r>
        <w:rPr>
          <w:i/>
          <w:iCs/>
        </w:rPr>
        <w:t>T</w:t>
      </w:r>
      <w:r>
        <w:rPr>
          <w:vertAlign w:val="subscript"/>
        </w:rPr>
        <w:t>b</w:t>
      </w:r>
      <w:r>
        <w:t>). In signal space the two signals are s₁ = [√</w:t>
      </w:r>
      <w:r>
        <w:rPr>
          <w:i/>
          <w:iCs/>
        </w:rPr>
        <w:t>E</w:t>
      </w:r>
      <w:r>
        <w:rPr>
          <w:vertAlign w:val="subscript"/>
        </w:rPr>
        <w:t>b</w:t>
      </w:r>
      <w:r>
        <w:t>, 0] and s₂ = [0, √</w:t>
      </w:r>
      <w:r>
        <w:rPr>
          <w:i/>
          <w:iCs/>
        </w:rPr>
        <w:t>E</w:t>
      </w:r>
      <w:r>
        <w:rPr>
          <w:vertAlign w:val="subscript"/>
        </w:rPr>
        <w:t>b</w:t>
      </w:r>
      <w:r>
        <w:t>]. Their distance is d² = 2</w:t>
      </w:r>
      <w:r>
        <w:rPr>
          <w:i/>
          <w:iCs/>
        </w:rPr>
        <w:t>E</w:t>
      </w:r>
      <w:r>
        <w:rPr>
          <w:vertAlign w:val="subscript"/>
        </w:rPr>
        <w:t>b</w:t>
      </w:r>
      <w:r>
        <w:t>, half that of BPSK.</w:t>
      </w:r>
    </w:p>
    <w:p w14:paraId="7E99BD78" w14:textId="77777777" w:rsidR="007121D9" w:rsidRDefault="00000000">
      <w:pPr>
        <w:pStyle w:val="Heading2"/>
      </w:pPr>
      <w:bookmarkStart w:id="12" w:name="_Toc243600672"/>
      <w:r>
        <w:t>5.2 Baseband-Equivalent Signals and Carrier Frequency</w:t>
      </w:r>
      <w:bookmarkEnd w:id="12"/>
    </w:p>
    <w:p w14:paraId="6B069210" w14:textId="77777777" w:rsidR="007121D9" w:rsidRDefault="00000000">
      <w:pPr>
        <w:spacing w:after="120" w:line="276" w:lineRule="auto"/>
        <w:jc w:val="both"/>
      </w:pPr>
      <w:r>
        <w:t>Writing the passband signal as the real part of the complex envelope times the carrier,</w:t>
      </w:r>
    </w:p>
    <w:p w14:paraId="761E582F" w14:textId="77777777" w:rsidR="007121D9" w:rsidRDefault="00000000">
      <w:pPr>
        <w:spacing w:before="60" w:after="100"/>
        <w:jc w:val="center"/>
      </w:pPr>
      <m:oMathPara>
        <m:oMath>
          <m:sSub>
            <m:sSubPr>
              <m:ctrlPr>
                <w:rPr>
                  <w:rFonts w:ascii="Cambria Math" w:hAnsi="Cambria Math"/>
                </w:rPr>
              </m:ctrlPr>
            </m:sSubPr>
            <m:e>
              <m:r>
                <w:rPr>
                  <w:rFonts w:ascii="Cambria Math" w:hAnsi="Cambria Math"/>
                </w:rPr>
                <m:t>s</m:t>
              </m:r>
            </m:e>
            <m:sub>
              <m:r>
                <w:rPr>
                  <w:rFonts w:ascii="Cambria Math" w:hAnsi="Cambria Math"/>
                </w:rPr>
                <m:t>i</m:t>
              </m:r>
            </m:sub>
          </m:sSub>
          <m:r>
            <w:rPr>
              <w:rFonts w:ascii="Cambria Math" w:hAnsi="Cambria Math"/>
            </w:rPr>
            <m:t>(t) = Re</m:t>
          </m:r>
          <m:d>
            <m:dPr>
              <m:begChr m:val="{"/>
              <m:endChr m:val="}"/>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bb,i</m:t>
                  </m:r>
                </m:sub>
              </m:sSub>
              <m:r>
                <w:rPr>
                  <w:rFonts w:ascii="Cambria Math" w:hAnsi="Cambria Math"/>
                </w:rPr>
                <m:t xml:space="preserve">(t) </m:t>
              </m:r>
              <m:sSup>
                <m:sSupPr>
                  <m:ctrlPr>
                    <w:rPr>
                      <w:rFonts w:ascii="Cambria Math" w:hAnsi="Cambria Math"/>
                    </w:rPr>
                  </m:ctrlPr>
                </m:sSupPr>
                <m:e>
                  <m:r>
                    <w:rPr>
                      <w:rFonts w:ascii="Cambria Math" w:hAnsi="Cambria Math"/>
                    </w:rPr>
                    <m:t>e</m:t>
                  </m:r>
                </m:e>
                <m:sup>
                  <m:r>
                    <w:rPr>
                      <w:rFonts w:ascii="Cambria Math" w:hAnsi="Cambria Math"/>
                    </w:rPr>
                    <m:t>j2π</m:t>
                  </m:r>
                  <m:sSub>
                    <m:sSubPr>
                      <m:ctrlPr>
                        <w:rPr>
                          <w:rFonts w:ascii="Cambria Math" w:hAnsi="Cambria Math"/>
                        </w:rPr>
                      </m:ctrlPr>
                    </m:sSubPr>
                    <m:e>
                      <m:r>
                        <w:rPr>
                          <w:rFonts w:ascii="Cambria Math" w:hAnsi="Cambria Math"/>
                        </w:rPr>
                        <m:t>f</m:t>
                      </m:r>
                    </m:e>
                    <m:sub>
                      <m:r>
                        <w:rPr>
                          <w:rFonts w:ascii="Cambria Math" w:hAnsi="Cambria Math"/>
                        </w:rPr>
                        <m:t>c</m:t>
                      </m:r>
                    </m:sub>
                  </m:sSub>
                  <m:r>
                    <w:rPr>
                      <w:rFonts w:ascii="Cambria Math" w:hAnsi="Cambria Math"/>
                    </w:rPr>
                    <m:t>t</m:t>
                  </m:r>
                </m:sup>
              </m:sSup>
            </m:e>
          </m:d>
        </m:oMath>
      </m:oMathPara>
    </w:p>
    <w:p w14:paraId="052A0454" w14:textId="77777777" w:rsidR="007121D9" w:rsidRDefault="00000000">
      <w:pPr>
        <w:spacing w:after="120" w:line="276" w:lineRule="auto"/>
        <w:jc w:val="both"/>
      </w:pPr>
      <w:r>
        <w:t>and letting A = √(2</w:t>
      </w:r>
      <w:r>
        <w:rPr>
          <w:i/>
          <w:iCs/>
        </w:rPr>
        <w:t>E</w:t>
      </w:r>
      <w:r>
        <w:rPr>
          <w:vertAlign w:val="subscript"/>
        </w:rPr>
        <w:t>b</w:t>
      </w:r>
      <w:r>
        <w:t>/</w:t>
      </w:r>
      <w:r>
        <w:rPr>
          <w:i/>
          <w:iCs/>
        </w:rPr>
        <w:t>T</w:t>
      </w:r>
      <w:r>
        <w:rPr>
          <w:vertAlign w:val="subscript"/>
        </w:rPr>
        <w:t>b</w:t>
      </w:r>
      <w:r>
        <w:t>), the baseband-equivalent signals are</w:t>
      </w:r>
    </w:p>
    <w:p w14:paraId="37F4CABB" w14:textId="77777777" w:rsidR="007121D9" w:rsidRDefault="00000000">
      <w:pPr>
        <w:spacing w:before="60" w:after="100"/>
        <w:jc w:val="center"/>
      </w:pPr>
      <m:oMathPara>
        <m:oMath>
          <m:sSub>
            <m:sSubPr>
              <m:ctrlPr>
                <w:rPr>
                  <w:rFonts w:ascii="Cambria Math" w:hAnsi="Cambria Math"/>
                </w:rPr>
              </m:ctrlPr>
            </m:sSubPr>
            <m:e>
              <m:r>
                <w:rPr>
                  <w:rFonts w:ascii="Cambria Math" w:hAnsi="Cambria Math"/>
                </w:rPr>
                <m:t>s</m:t>
              </m:r>
            </m:e>
            <m:sub>
              <m:r>
                <w:rPr>
                  <w:rFonts w:ascii="Cambria Math" w:hAnsi="Cambria Math"/>
                </w:rPr>
                <m:t>bb,i</m:t>
              </m:r>
            </m:sub>
          </m:sSub>
          <m:r>
            <w:rPr>
              <w:rFonts w:ascii="Cambria Math" w:hAnsi="Cambria Math"/>
            </w:rPr>
            <m:t xml:space="preserve">(t) = A </m:t>
          </m:r>
          <m:sSup>
            <m:sSupPr>
              <m:ctrlPr>
                <w:rPr>
                  <w:rFonts w:ascii="Cambria Math" w:hAnsi="Cambria Math"/>
                </w:rPr>
              </m:ctrlPr>
            </m:sSupPr>
            <m:e>
              <m:r>
                <w:rPr>
                  <w:rFonts w:ascii="Cambria Math" w:hAnsi="Cambria Math"/>
                </w:rPr>
                <m:t>e</m:t>
              </m:r>
            </m:e>
            <m:sup>
              <m:r>
                <w:rPr>
                  <w:rFonts w:ascii="Cambria Math" w:hAnsi="Cambria Math"/>
                </w:rPr>
                <m:t>j2π</m:t>
              </m:r>
              <m:d>
                <m:dPr>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i</m:t>
                      </m:r>
                    </m:sub>
                  </m:sSub>
                  <m:r>
                    <w:rPr>
                      <w:rFonts w:ascii="Cambria Math" w:hAnsi="Cambria Math"/>
                    </w:rPr>
                    <m:t xml:space="preserve"> - </m:t>
                  </m:r>
                  <m:sSub>
                    <m:sSubPr>
                      <m:ctrlPr>
                        <w:rPr>
                          <w:rFonts w:ascii="Cambria Math" w:hAnsi="Cambria Math"/>
                        </w:rPr>
                      </m:ctrlPr>
                    </m:sSubPr>
                    <m:e>
                      <m:r>
                        <w:rPr>
                          <w:rFonts w:ascii="Cambria Math" w:hAnsi="Cambria Math"/>
                        </w:rPr>
                        <m:t>f</m:t>
                      </m:r>
                    </m:e>
                    <m:sub>
                      <m:r>
                        <w:rPr>
                          <w:rFonts w:ascii="Cambria Math" w:hAnsi="Cambria Math"/>
                        </w:rPr>
                        <m:t>c</m:t>
                      </m:r>
                    </m:sub>
                  </m:sSub>
                </m:e>
              </m:d>
              <m:r>
                <w:rPr>
                  <w:rFonts w:ascii="Cambria Math" w:hAnsi="Cambria Math"/>
                </w:rPr>
                <m:t>t</m:t>
              </m:r>
            </m:sup>
          </m:sSup>
        </m:oMath>
      </m:oMathPara>
    </w:p>
    <w:p w14:paraId="451234F6" w14:textId="77777777" w:rsidR="007121D9" w:rsidRDefault="00000000">
      <w:pPr>
        <w:spacing w:after="120" w:line="276" w:lineRule="auto"/>
        <w:jc w:val="both"/>
      </w:pPr>
      <w:r>
        <w:t>The result depends on the carrier frequency chosen as the reference. Two choices are considered:</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2700"/>
        <w:gridCol w:w="2000"/>
        <w:gridCol w:w="2000"/>
        <w:gridCol w:w="1426"/>
      </w:tblGrid>
      <w:tr w:rsidR="007121D9" w14:paraId="7D0DFA2A" w14:textId="77777777">
        <w:trPr>
          <w:tblHeader/>
        </w:trPr>
        <w:tc>
          <w:tcPr>
            <w:tcW w:w="900" w:type="dxa"/>
            <w:tcBorders>
              <w:top w:val="single" w:sz="4" w:space="0" w:color="999999"/>
              <w:left w:val="single" w:sz="4" w:space="0" w:color="999999"/>
              <w:bottom w:val="single" w:sz="4" w:space="0" w:color="999999"/>
              <w:right w:val="single" w:sz="4" w:space="0" w:color="999999"/>
            </w:tcBorders>
            <w:shd w:val="clear" w:color="auto" w:fill="D9E2F3"/>
            <w:tcMar>
              <w:top w:w="40" w:type="dxa"/>
              <w:left w:w="100" w:type="dxa"/>
              <w:bottom w:w="40" w:type="dxa"/>
              <w:right w:w="100" w:type="dxa"/>
            </w:tcMar>
            <w:vAlign w:val="center"/>
          </w:tcPr>
          <w:p w14:paraId="668690B7" w14:textId="77777777" w:rsidR="007121D9" w:rsidRDefault="00000000">
            <w:pPr>
              <w:spacing w:before="40" w:after="40"/>
              <w:jc w:val="center"/>
            </w:pPr>
            <w:r>
              <w:rPr>
                <w:b/>
                <w:bCs/>
                <w:sz w:val="20"/>
                <w:szCs w:val="20"/>
              </w:rPr>
              <w:t>Model</w:t>
            </w:r>
          </w:p>
        </w:tc>
        <w:tc>
          <w:tcPr>
            <w:tcW w:w="2700" w:type="dxa"/>
            <w:tcBorders>
              <w:top w:val="single" w:sz="4" w:space="0" w:color="999999"/>
              <w:left w:val="single" w:sz="4" w:space="0" w:color="999999"/>
              <w:bottom w:val="single" w:sz="4" w:space="0" w:color="999999"/>
              <w:right w:val="single" w:sz="4" w:space="0" w:color="999999"/>
            </w:tcBorders>
            <w:shd w:val="clear" w:color="auto" w:fill="D9E2F3"/>
            <w:tcMar>
              <w:top w:w="40" w:type="dxa"/>
              <w:left w:w="100" w:type="dxa"/>
              <w:bottom w:w="40" w:type="dxa"/>
              <w:right w:w="100" w:type="dxa"/>
            </w:tcMar>
            <w:vAlign w:val="center"/>
          </w:tcPr>
          <w:p w14:paraId="536AA408" w14:textId="77777777" w:rsidR="007121D9" w:rsidRDefault="00000000">
            <w:pPr>
              <w:spacing w:before="40" w:after="40"/>
              <w:jc w:val="center"/>
            </w:pPr>
            <w:r>
              <w:rPr>
                <w:b/>
                <w:bCs/>
                <w:sz w:val="20"/>
                <w:szCs w:val="20"/>
              </w:rPr>
              <w:t xml:space="preserve">Carrier </w:t>
            </w:r>
            <w:r>
              <w:rPr>
                <w:b/>
                <w:bCs/>
                <w:i/>
                <w:iCs/>
                <w:sz w:val="20"/>
                <w:szCs w:val="20"/>
              </w:rPr>
              <w:t>f</w:t>
            </w:r>
            <w:r>
              <w:rPr>
                <w:b/>
                <w:bCs/>
                <w:sz w:val="20"/>
                <w:szCs w:val="20"/>
                <w:vertAlign w:val="subscript"/>
              </w:rPr>
              <w:t>c</w:t>
            </w:r>
          </w:p>
        </w:tc>
        <w:tc>
          <w:tcPr>
            <w:tcW w:w="2000" w:type="dxa"/>
            <w:tcBorders>
              <w:top w:val="single" w:sz="4" w:space="0" w:color="999999"/>
              <w:left w:val="single" w:sz="4" w:space="0" w:color="999999"/>
              <w:bottom w:val="single" w:sz="4" w:space="0" w:color="999999"/>
              <w:right w:val="single" w:sz="4" w:space="0" w:color="999999"/>
            </w:tcBorders>
            <w:shd w:val="clear" w:color="auto" w:fill="D9E2F3"/>
            <w:tcMar>
              <w:top w:w="40" w:type="dxa"/>
              <w:left w:w="100" w:type="dxa"/>
              <w:bottom w:w="40" w:type="dxa"/>
              <w:right w:w="100" w:type="dxa"/>
            </w:tcMar>
            <w:vAlign w:val="center"/>
          </w:tcPr>
          <w:p w14:paraId="3D23A1CB" w14:textId="77777777" w:rsidR="007121D9" w:rsidRDefault="00000000">
            <w:pPr>
              <w:spacing w:before="40" w:after="40"/>
              <w:jc w:val="center"/>
            </w:pPr>
            <w:r>
              <w:rPr>
                <w:b/>
                <w:bCs/>
                <w:i/>
                <w:iCs/>
                <w:sz w:val="20"/>
                <w:szCs w:val="20"/>
              </w:rPr>
              <w:t>s</w:t>
            </w:r>
            <w:r>
              <w:rPr>
                <w:b/>
                <w:bCs/>
                <w:sz w:val="20"/>
                <w:szCs w:val="20"/>
                <w:vertAlign w:val="subscript"/>
              </w:rPr>
              <w:t>bb,1</w:t>
            </w:r>
            <w:r>
              <w:rPr>
                <w:b/>
                <w:bCs/>
                <w:sz w:val="20"/>
                <w:szCs w:val="20"/>
              </w:rPr>
              <w:t>(t)</w:t>
            </w:r>
          </w:p>
        </w:tc>
        <w:tc>
          <w:tcPr>
            <w:tcW w:w="2000" w:type="dxa"/>
            <w:tcBorders>
              <w:top w:val="single" w:sz="4" w:space="0" w:color="999999"/>
              <w:left w:val="single" w:sz="4" w:space="0" w:color="999999"/>
              <w:bottom w:val="single" w:sz="4" w:space="0" w:color="999999"/>
              <w:right w:val="single" w:sz="4" w:space="0" w:color="999999"/>
            </w:tcBorders>
            <w:shd w:val="clear" w:color="auto" w:fill="D9E2F3"/>
            <w:tcMar>
              <w:top w:w="40" w:type="dxa"/>
              <w:left w:w="100" w:type="dxa"/>
              <w:bottom w:w="40" w:type="dxa"/>
              <w:right w:w="100" w:type="dxa"/>
            </w:tcMar>
            <w:vAlign w:val="center"/>
          </w:tcPr>
          <w:p w14:paraId="1B02CF40" w14:textId="77777777" w:rsidR="007121D9" w:rsidRDefault="00000000">
            <w:pPr>
              <w:spacing w:before="40" w:after="40"/>
              <w:jc w:val="center"/>
            </w:pPr>
            <w:r>
              <w:rPr>
                <w:b/>
                <w:bCs/>
                <w:i/>
                <w:iCs/>
                <w:sz w:val="20"/>
                <w:szCs w:val="20"/>
              </w:rPr>
              <w:t>s</w:t>
            </w:r>
            <w:r>
              <w:rPr>
                <w:b/>
                <w:bCs/>
                <w:sz w:val="20"/>
                <w:szCs w:val="20"/>
                <w:vertAlign w:val="subscript"/>
              </w:rPr>
              <w:t>bb,2</w:t>
            </w:r>
            <w:r>
              <w:rPr>
                <w:b/>
                <w:bCs/>
                <w:sz w:val="20"/>
                <w:szCs w:val="20"/>
              </w:rPr>
              <w:t>(t)</w:t>
            </w:r>
          </w:p>
        </w:tc>
        <w:tc>
          <w:tcPr>
            <w:tcW w:w="1426" w:type="dxa"/>
            <w:tcBorders>
              <w:top w:val="single" w:sz="4" w:space="0" w:color="999999"/>
              <w:left w:val="single" w:sz="4" w:space="0" w:color="999999"/>
              <w:bottom w:val="single" w:sz="4" w:space="0" w:color="999999"/>
              <w:right w:val="single" w:sz="4" w:space="0" w:color="999999"/>
            </w:tcBorders>
            <w:shd w:val="clear" w:color="auto" w:fill="D9E2F3"/>
            <w:tcMar>
              <w:top w:w="40" w:type="dxa"/>
              <w:left w:w="100" w:type="dxa"/>
              <w:bottom w:w="40" w:type="dxa"/>
              <w:right w:w="100" w:type="dxa"/>
            </w:tcMar>
            <w:vAlign w:val="center"/>
          </w:tcPr>
          <w:p w14:paraId="55D5904F" w14:textId="77777777" w:rsidR="007121D9" w:rsidRDefault="00000000">
            <w:pPr>
              <w:spacing w:before="40" w:after="40"/>
              <w:jc w:val="center"/>
            </w:pPr>
            <w:r>
              <w:rPr>
                <w:b/>
                <w:bCs/>
                <w:sz w:val="20"/>
                <w:szCs w:val="20"/>
              </w:rPr>
              <w:t>Tones at</w:t>
            </w:r>
          </w:p>
        </w:tc>
      </w:tr>
      <w:tr w:rsidR="007121D9" w14:paraId="2B103FF7" w14:textId="77777777">
        <w:tc>
          <w:tcPr>
            <w:tcW w:w="900" w:type="dxa"/>
            <w:tcBorders>
              <w:top w:val="single" w:sz="4" w:space="0" w:color="999999"/>
              <w:left w:val="single" w:sz="4" w:space="0" w:color="999999"/>
              <w:bottom w:val="single" w:sz="4" w:space="0" w:color="999999"/>
              <w:right w:val="single" w:sz="4" w:space="0" w:color="999999"/>
            </w:tcBorders>
            <w:tcMar>
              <w:top w:w="40" w:type="dxa"/>
              <w:left w:w="100" w:type="dxa"/>
              <w:bottom w:w="40" w:type="dxa"/>
              <w:right w:w="100" w:type="dxa"/>
            </w:tcMar>
            <w:vAlign w:val="center"/>
          </w:tcPr>
          <w:p w14:paraId="1C432ACD" w14:textId="77777777" w:rsidR="007121D9" w:rsidRDefault="00000000">
            <w:pPr>
              <w:spacing w:before="40" w:after="40"/>
            </w:pPr>
            <w:r>
              <w:rPr>
                <w:sz w:val="20"/>
                <w:szCs w:val="20"/>
              </w:rPr>
              <w:t>A</w:t>
            </w:r>
          </w:p>
        </w:tc>
        <w:tc>
          <w:tcPr>
            <w:tcW w:w="2700" w:type="dxa"/>
            <w:tcBorders>
              <w:top w:val="single" w:sz="4" w:space="0" w:color="999999"/>
              <w:left w:val="single" w:sz="4" w:space="0" w:color="999999"/>
              <w:bottom w:val="single" w:sz="4" w:space="0" w:color="999999"/>
              <w:right w:val="single" w:sz="4" w:space="0" w:color="999999"/>
            </w:tcBorders>
            <w:tcMar>
              <w:top w:w="40" w:type="dxa"/>
              <w:left w:w="100" w:type="dxa"/>
              <w:bottom w:w="40" w:type="dxa"/>
              <w:right w:w="100" w:type="dxa"/>
            </w:tcMar>
            <w:vAlign w:val="center"/>
          </w:tcPr>
          <w:p w14:paraId="57CDB298" w14:textId="77777777" w:rsidR="007121D9" w:rsidRDefault="00000000">
            <w:pPr>
              <w:spacing w:before="40" w:after="40"/>
            </w:pPr>
            <w:r>
              <w:rPr>
                <w:i/>
                <w:iCs/>
                <w:sz w:val="20"/>
                <w:szCs w:val="20"/>
              </w:rPr>
              <w:t>f</w:t>
            </w:r>
            <w:r>
              <w:rPr>
                <w:sz w:val="20"/>
                <w:szCs w:val="20"/>
                <w:vertAlign w:val="subscript"/>
              </w:rPr>
              <w:t>1</w:t>
            </w:r>
            <w:r>
              <w:rPr>
                <w:sz w:val="20"/>
                <w:szCs w:val="20"/>
              </w:rPr>
              <w:t xml:space="preserve"> = (</w:t>
            </w:r>
            <w:r>
              <w:rPr>
                <w:i/>
                <w:iCs/>
                <w:sz w:val="20"/>
                <w:szCs w:val="20"/>
              </w:rPr>
              <w:t>n</w:t>
            </w:r>
            <w:r>
              <w:rPr>
                <w:sz w:val="20"/>
                <w:szCs w:val="20"/>
                <w:vertAlign w:val="subscript"/>
              </w:rPr>
              <w:t>c</w:t>
            </w:r>
            <w:r>
              <w:rPr>
                <w:sz w:val="20"/>
                <w:szCs w:val="20"/>
              </w:rPr>
              <w:t xml:space="preserve"> + 1)/</w:t>
            </w:r>
            <w:r>
              <w:rPr>
                <w:i/>
                <w:iCs/>
                <w:sz w:val="20"/>
                <w:szCs w:val="20"/>
              </w:rPr>
              <w:t>T</w:t>
            </w:r>
            <w:r>
              <w:rPr>
                <w:sz w:val="20"/>
                <w:szCs w:val="20"/>
                <w:vertAlign w:val="subscript"/>
              </w:rPr>
              <w:t>b</w:t>
            </w:r>
          </w:p>
        </w:tc>
        <w:tc>
          <w:tcPr>
            <w:tcW w:w="2000" w:type="dxa"/>
            <w:tcBorders>
              <w:top w:val="single" w:sz="4" w:space="0" w:color="999999"/>
              <w:left w:val="single" w:sz="4" w:space="0" w:color="999999"/>
              <w:bottom w:val="single" w:sz="4" w:space="0" w:color="999999"/>
              <w:right w:val="single" w:sz="4" w:space="0" w:color="999999"/>
            </w:tcBorders>
            <w:tcMar>
              <w:top w:w="40" w:type="dxa"/>
              <w:left w:w="100" w:type="dxa"/>
              <w:bottom w:w="40" w:type="dxa"/>
              <w:right w:w="100" w:type="dxa"/>
            </w:tcMar>
            <w:vAlign w:val="center"/>
          </w:tcPr>
          <w:p w14:paraId="09494CEF" w14:textId="77777777" w:rsidR="007121D9" w:rsidRDefault="00000000">
            <w:pPr>
              <w:spacing w:before="40" w:after="40"/>
              <w:jc w:val="center"/>
            </w:pPr>
            <m:oMathPara>
              <m:oMath>
                <m:r>
                  <w:rPr>
                    <w:rFonts w:ascii="Cambria Math" w:hAnsi="Cambria Math"/>
                  </w:rPr>
                  <m:t>A</m:t>
                </m:r>
              </m:oMath>
            </m:oMathPara>
          </w:p>
        </w:tc>
        <w:tc>
          <w:tcPr>
            <w:tcW w:w="2000" w:type="dxa"/>
            <w:tcBorders>
              <w:top w:val="single" w:sz="4" w:space="0" w:color="999999"/>
              <w:left w:val="single" w:sz="4" w:space="0" w:color="999999"/>
              <w:bottom w:val="single" w:sz="4" w:space="0" w:color="999999"/>
              <w:right w:val="single" w:sz="4" w:space="0" w:color="999999"/>
            </w:tcBorders>
            <w:tcMar>
              <w:top w:w="40" w:type="dxa"/>
              <w:left w:w="100" w:type="dxa"/>
              <w:bottom w:w="40" w:type="dxa"/>
              <w:right w:w="100" w:type="dxa"/>
            </w:tcMar>
            <w:vAlign w:val="center"/>
          </w:tcPr>
          <w:p w14:paraId="5C192CE3" w14:textId="77777777" w:rsidR="007121D9" w:rsidRDefault="00000000">
            <w:pPr>
              <w:spacing w:before="40" w:after="40"/>
              <w:jc w:val="center"/>
            </w:pPr>
            <m:oMathPara>
              <m:oMath>
                <m:r>
                  <w:rPr>
                    <w:rFonts w:ascii="Cambria Math" w:hAnsi="Cambria Math"/>
                  </w:rPr>
                  <m:t xml:space="preserve">A </m:t>
                </m:r>
                <m:sSup>
                  <m:sSupPr>
                    <m:ctrlPr>
                      <w:rPr>
                        <w:rFonts w:ascii="Cambria Math" w:hAnsi="Cambria Math"/>
                      </w:rPr>
                    </m:ctrlPr>
                  </m:sSupPr>
                  <m:e>
                    <m:r>
                      <w:rPr>
                        <w:rFonts w:ascii="Cambria Math" w:hAnsi="Cambria Math"/>
                      </w:rPr>
                      <m:t>e</m:t>
                    </m:r>
                  </m:e>
                  <m:sup>
                    <m:r>
                      <w:rPr>
                        <w:rFonts w:ascii="Cambria Math" w:hAnsi="Cambria Math"/>
                      </w:rPr>
                      <m:t>j2π</m:t>
                    </m:r>
                    <m:f>
                      <m:fPr>
                        <m:ctrlPr>
                          <w:rPr>
                            <w:rFonts w:ascii="Cambria Math" w:hAnsi="Cambria Math"/>
                          </w:rPr>
                        </m:ctrlPr>
                      </m:fPr>
                      <m:num>
                        <m:r>
                          <w:rPr>
                            <w:rFonts w:ascii="Cambria Math" w:hAnsi="Cambria Math"/>
                          </w:rPr>
                          <m:t>t</m:t>
                        </m:r>
                      </m:num>
                      <m:den>
                        <m:sSub>
                          <m:sSubPr>
                            <m:ctrlPr>
                              <w:rPr>
                                <w:rFonts w:ascii="Cambria Math" w:hAnsi="Cambria Math"/>
                              </w:rPr>
                            </m:ctrlPr>
                          </m:sSubPr>
                          <m:e>
                            <m:r>
                              <w:rPr>
                                <w:rFonts w:ascii="Cambria Math" w:hAnsi="Cambria Math"/>
                              </w:rPr>
                              <m:t>T</m:t>
                            </m:r>
                          </m:e>
                          <m:sub>
                            <m:r>
                              <w:rPr>
                                <w:rFonts w:ascii="Cambria Math" w:hAnsi="Cambria Math"/>
                              </w:rPr>
                              <m:t>b</m:t>
                            </m:r>
                          </m:sub>
                        </m:sSub>
                      </m:den>
                    </m:f>
                  </m:sup>
                </m:sSup>
              </m:oMath>
            </m:oMathPara>
          </w:p>
        </w:tc>
        <w:tc>
          <w:tcPr>
            <w:tcW w:w="1426" w:type="dxa"/>
            <w:tcBorders>
              <w:top w:val="single" w:sz="4" w:space="0" w:color="999999"/>
              <w:left w:val="single" w:sz="4" w:space="0" w:color="999999"/>
              <w:bottom w:val="single" w:sz="4" w:space="0" w:color="999999"/>
              <w:right w:val="single" w:sz="4" w:space="0" w:color="999999"/>
            </w:tcBorders>
            <w:tcMar>
              <w:top w:w="40" w:type="dxa"/>
              <w:left w:w="100" w:type="dxa"/>
              <w:bottom w:w="40" w:type="dxa"/>
              <w:right w:w="100" w:type="dxa"/>
            </w:tcMar>
            <w:vAlign w:val="center"/>
          </w:tcPr>
          <w:p w14:paraId="4CDBE5EB" w14:textId="77777777" w:rsidR="007121D9" w:rsidRDefault="00000000">
            <w:pPr>
              <w:spacing w:before="40" w:after="40"/>
              <w:jc w:val="center"/>
            </w:pPr>
            <w:r>
              <w:rPr>
                <w:sz w:val="20"/>
                <w:szCs w:val="20"/>
              </w:rPr>
              <w:t>0 and 1/</w:t>
            </w:r>
            <w:r>
              <w:rPr>
                <w:i/>
                <w:iCs/>
                <w:sz w:val="20"/>
                <w:szCs w:val="20"/>
              </w:rPr>
              <w:t>T</w:t>
            </w:r>
            <w:r>
              <w:rPr>
                <w:sz w:val="20"/>
                <w:szCs w:val="20"/>
                <w:vertAlign w:val="subscript"/>
              </w:rPr>
              <w:t>b</w:t>
            </w:r>
          </w:p>
        </w:tc>
      </w:tr>
      <w:tr w:rsidR="007121D9" w14:paraId="17D4DAE3" w14:textId="77777777">
        <w:tc>
          <w:tcPr>
            <w:tcW w:w="900" w:type="dxa"/>
            <w:tcBorders>
              <w:top w:val="single" w:sz="4" w:space="0" w:color="999999"/>
              <w:left w:val="single" w:sz="4" w:space="0" w:color="999999"/>
              <w:bottom w:val="single" w:sz="4" w:space="0" w:color="999999"/>
              <w:right w:val="single" w:sz="4" w:space="0" w:color="999999"/>
            </w:tcBorders>
            <w:tcMar>
              <w:top w:w="40" w:type="dxa"/>
              <w:left w:w="100" w:type="dxa"/>
              <w:bottom w:w="40" w:type="dxa"/>
              <w:right w:w="100" w:type="dxa"/>
            </w:tcMar>
            <w:vAlign w:val="center"/>
          </w:tcPr>
          <w:p w14:paraId="2972A72C" w14:textId="77777777" w:rsidR="007121D9" w:rsidRDefault="00000000">
            <w:pPr>
              <w:spacing w:before="40" w:after="40"/>
            </w:pPr>
            <w:r>
              <w:rPr>
                <w:sz w:val="20"/>
                <w:szCs w:val="20"/>
              </w:rPr>
              <w:t>B</w:t>
            </w:r>
          </w:p>
        </w:tc>
        <w:tc>
          <w:tcPr>
            <w:tcW w:w="2700" w:type="dxa"/>
            <w:tcBorders>
              <w:top w:val="single" w:sz="4" w:space="0" w:color="999999"/>
              <w:left w:val="single" w:sz="4" w:space="0" w:color="999999"/>
              <w:bottom w:val="single" w:sz="4" w:space="0" w:color="999999"/>
              <w:right w:val="single" w:sz="4" w:space="0" w:color="999999"/>
            </w:tcBorders>
            <w:tcMar>
              <w:top w:w="40" w:type="dxa"/>
              <w:left w:w="100" w:type="dxa"/>
              <w:bottom w:w="40" w:type="dxa"/>
              <w:right w:w="100" w:type="dxa"/>
            </w:tcMar>
            <w:vAlign w:val="center"/>
          </w:tcPr>
          <w:p w14:paraId="2E83FE8E" w14:textId="77777777" w:rsidR="007121D9" w:rsidRDefault="00000000">
            <w:pPr>
              <w:spacing w:before="40" w:after="40"/>
            </w:pPr>
            <w:r>
              <w:rPr>
                <w:sz w:val="20"/>
                <w:szCs w:val="20"/>
              </w:rPr>
              <w:t>(</w:t>
            </w:r>
            <w:r>
              <w:rPr>
                <w:i/>
                <w:iCs/>
                <w:sz w:val="20"/>
                <w:szCs w:val="20"/>
              </w:rPr>
              <w:t>f</w:t>
            </w:r>
            <w:r>
              <w:rPr>
                <w:sz w:val="20"/>
                <w:szCs w:val="20"/>
                <w:vertAlign w:val="subscript"/>
              </w:rPr>
              <w:t>1</w:t>
            </w:r>
            <w:r>
              <w:rPr>
                <w:sz w:val="20"/>
                <w:szCs w:val="20"/>
              </w:rPr>
              <w:t xml:space="preserve"> + </w:t>
            </w:r>
            <w:r>
              <w:rPr>
                <w:i/>
                <w:iCs/>
                <w:sz w:val="20"/>
                <w:szCs w:val="20"/>
              </w:rPr>
              <w:t>f</w:t>
            </w:r>
            <w:r>
              <w:rPr>
                <w:sz w:val="20"/>
                <w:szCs w:val="20"/>
                <w:vertAlign w:val="subscript"/>
              </w:rPr>
              <w:t>2</w:t>
            </w:r>
            <w:r>
              <w:rPr>
                <w:sz w:val="20"/>
                <w:szCs w:val="20"/>
              </w:rPr>
              <w:t>)/2 = (</w:t>
            </w:r>
            <w:r>
              <w:rPr>
                <w:i/>
                <w:iCs/>
                <w:sz w:val="20"/>
                <w:szCs w:val="20"/>
              </w:rPr>
              <w:t>n</w:t>
            </w:r>
            <w:r>
              <w:rPr>
                <w:sz w:val="20"/>
                <w:szCs w:val="20"/>
                <w:vertAlign w:val="subscript"/>
              </w:rPr>
              <w:t>c</w:t>
            </w:r>
            <w:r>
              <w:rPr>
                <w:sz w:val="20"/>
                <w:szCs w:val="20"/>
              </w:rPr>
              <w:t xml:space="preserve"> + 1.5)/</w:t>
            </w:r>
            <w:r>
              <w:rPr>
                <w:i/>
                <w:iCs/>
                <w:sz w:val="20"/>
                <w:szCs w:val="20"/>
              </w:rPr>
              <w:t>T</w:t>
            </w:r>
            <w:r>
              <w:rPr>
                <w:sz w:val="20"/>
                <w:szCs w:val="20"/>
                <w:vertAlign w:val="subscript"/>
              </w:rPr>
              <w:t>b</w:t>
            </w:r>
          </w:p>
        </w:tc>
        <w:tc>
          <w:tcPr>
            <w:tcW w:w="2000" w:type="dxa"/>
            <w:tcBorders>
              <w:top w:val="single" w:sz="4" w:space="0" w:color="999999"/>
              <w:left w:val="single" w:sz="4" w:space="0" w:color="999999"/>
              <w:bottom w:val="single" w:sz="4" w:space="0" w:color="999999"/>
              <w:right w:val="single" w:sz="4" w:space="0" w:color="999999"/>
            </w:tcBorders>
            <w:tcMar>
              <w:top w:w="40" w:type="dxa"/>
              <w:left w:w="100" w:type="dxa"/>
              <w:bottom w:w="40" w:type="dxa"/>
              <w:right w:w="100" w:type="dxa"/>
            </w:tcMar>
            <w:vAlign w:val="center"/>
          </w:tcPr>
          <w:p w14:paraId="18C95093" w14:textId="77777777" w:rsidR="007121D9" w:rsidRDefault="00000000">
            <w:pPr>
              <w:spacing w:before="40" w:after="40"/>
              <w:jc w:val="center"/>
            </w:pPr>
            <m:oMathPara>
              <m:oMath>
                <m:r>
                  <w:rPr>
                    <w:rFonts w:ascii="Cambria Math" w:hAnsi="Cambria Math"/>
                  </w:rPr>
                  <m:t xml:space="preserve">A </m:t>
                </m:r>
                <m:sSup>
                  <m:sSupPr>
                    <m:ctrlPr>
                      <w:rPr>
                        <w:rFonts w:ascii="Cambria Math" w:hAnsi="Cambria Math"/>
                      </w:rPr>
                    </m:ctrlPr>
                  </m:sSupPr>
                  <m:e>
                    <m:r>
                      <w:rPr>
                        <w:rFonts w:ascii="Cambria Math" w:hAnsi="Cambria Math"/>
                      </w:rPr>
                      <m:t>e</m:t>
                    </m:r>
                  </m:e>
                  <m:sup>
                    <m:r>
                      <w:rPr>
                        <w:rFonts w:ascii="Cambria Math" w:hAnsi="Cambria Math"/>
                      </w:rPr>
                      <m:t>-jπ</m:t>
                    </m:r>
                    <m:f>
                      <m:fPr>
                        <m:ctrlPr>
                          <w:rPr>
                            <w:rFonts w:ascii="Cambria Math" w:hAnsi="Cambria Math"/>
                          </w:rPr>
                        </m:ctrlPr>
                      </m:fPr>
                      <m:num>
                        <m:r>
                          <w:rPr>
                            <w:rFonts w:ascii="Cambria Math" w:hAnsi="Cambria Math"/>
                          </w:rPr>
                          <m:t>t</m:t>
                        </m:r>
                      </m:num>
                      <m:den>
                        <m:sSub>
                          <m:sSubPr>
                            <m:ctrlPr>
                              <w:rPr>
                                <w:rFonts w:ascii="Cambria Math" w:hAnsi="Cambria Math"/>
                              </w:rPr>
                            </m:ctrlPr>
                          </m:sSubPr>
                          <m:e>
                            <m:r>
                              <w:rPr>
                                <w:rFonts w:ascii="Cambria Math" w:hAnsi="Cambria Math"/>
                              </w:rPr>
                              <m:t>T</m:t>
                            </m:r>
                          </m:e>
                          <m:sub>
                            <m:r>
                              <w:rPr>
                                <w:rFonts w:ascii="Cambria Math" w:hAnsi="Cambria Math"/>
                              </w:rPr>
                              <m:t>b</m:t>
                            </m:r>
                          </m:sub>
                        </m:sSub>
                      </m:den>
                    </m:f>
                  </m:sup>
                </m:sSup>
              </m:oMath>
            </m:oMathPara>
          </w:p>
        </w:tc>
        <w:tc>
          <w:tcPr>
            <w:tcW w:w="2000" w:type="dxa"/>
            <w:tcBorders>
              <w:top w:val="single" w:sz="4" w:space="0" w:color="999999"/>
              <w:left w:val="single" w:sz="4" w:space="0" w:color="999999"/>
              <w:bottom w:val="single" w:sz="4" w:space="0" w:color="999999"/>
              <w:right w:val="single" w:sz="4" w:space="0" w:color="999999"/>
            </w:tcBorders>
            <w:tcMar>
              <w:top w:w="40" w:type="dxa"/>
              <w:left w:w="100" w:type="dxa"/>
              <w:bottom w:w="40" w:type="dxa"/>
              <w:right w:w="100" w:type="dxa"/>
            </w:tcMar>
            <w:vAlign w:val="center"/>
          </w:tcPr>
          <w:p w14:paraId="7E24D9B6" w14:textId="77777777" w:rsidR="007121D9" w:rsidRDefault="00000000">
            <w:pPr>
              <w:spacing w:before="40" w:after="40"/>
              <w:jc w:val="center"/>
            </w:pPr>
            <m:oMathPara>
              <m:oMath>
                <m:r>
                  <w:rPr>
                    <w:rFonts w:ascii="Cambria Math" w:hAnsi="Cambria Math"/>
                  </w:rPr>
                  <m:t xml:space="preserve">A </m:t>
                </m:r>
                <m:sSup>
                  <m:sSupPr>
                    <m:ctrlPr>
                      <w:rPr>
                        <w:rFonts w:ascii="Cambria Math" w:hAnsi="Cambria Math"/>
                      </w:rPr>
                    </m:ctrlPr>
                  </m:sSupPr>
                  <m:e>
                    <m:r>
                      <w:rPr>
                        <w:rFonts w:ascii="Cambria Math" w:hAnsi="Cambria Math"/>
                      </w:rPr>
                      <m:t>e</m:t>
                    </m:r>
                  </m:e>
                  <m:sup>
                    <m:r>
                      <w:rPr>
                        <w:rFonts w:ascii="Cambria Math" w:hAnsi="Cambria Math"/>
                      </w:rPr>
                      <m:t>+jπ</m:t>
                    </m:r>
                    <m:f>
                      <m:fPr>
                        <m:ctrlPr>
                          <w:rPr>
                            <w:rFonts w:ascii="Cambria Math" w:hAnsi="Cambria Math"/>
                          </w:rPr>
                        </m:ctrlPr>
                      </m:fPr>
                      <m:num>
                        <m:r>
                          <w:rPr>
                            <w:rFonts w:ascii="Cambria Math" w:hAnsi="Cambria Math"/>
                          </w:rPr>
                          <m:t>t</m:t>
                        </m:r>
                      </m:num>
                      <m:den>
                        <m:sSub>
                          <m:sSubPr>
                            <m:ctrlPr>
                              <w:rPr>
                                <w:rFonts w:ascii="Cambria Math" w:hAnsi="Cambria Math"/>
                              </w:rPr>
                            </m:ctrlPr>
                          </m:sSubPr>
                          <m:e>
                            <m:r>
                              <w:rPr>
                                <w:rFonts w:ascii="Cambria Math" w:hAnsi="Cambria Math"/>
                              </w:rPr>
                              <m:t>T</m:t>
                            </m:r>
                          </m:e>
                          <m:sub>
                            <m:r>
                              <w:rPr>
                                <w:rFonts w:ascii="Cambria Math" w:hAnsi="Cambria Math"/>
                              </w:rPr>
                              <m:t>b</m:t>
                            </m:r>
                          </m:sub>
                        </m:sSub>
                      </m:den>
                    </m:f>
                  </m:sup>
                </m:sSup>
              </m:oMath>
            </m:oMathPara>
          </w:p>
        </w:tc>
        <w:tc>
          <w:tcPr>
            <w:tcW w:w="1426" w:type="dxa"/>
            <w:tcBorders>
              <w:top w:val="single" w:sz="4" w:space="0" w:color="999999"/>
              <w:left w:val="single" w:sz="4" w:space="0" w:color="999999"/>
              <w:bottom w:val="single" w:sz="4" w:space="0" w:color="999999"/>
              <w:right w:val="single" w:sz="4" w:space="0" w:color="999999"/>
            </w:tcBorders>
            <w:tcMar>
              <w:top w:w="40" w:type="dxa"/>
              <w:left w:w="100" w:type="dxa"/>
              <w:bottom w:w="40" w:type="dxa"/>
              <w:right w:w="100" w:type="dxa"/>
            </w:tcMar>
            <w:vAlign w:val="center"/>
          </w:tcPr>
          <w:p w14:paraId="66C111CD" w14:textId="77777777" w:rsidR="007121D9" w:rsidRDefault="00000000">
            <w:pPr>
              <w:spacing w:before="40" w:after="40"/>
              <w:jc w:val="center"/>
            </w:pPr>
            <w:r>
              <w:rPr>
                <w:sz w:val="20"/>
                <w:szCs w:val="20"/>
              </w:rPr>
              <w:t>±1/(2</w:t>
            </w:r>
            <w:r>
              <w:rPr>
                <w:i/>
                <w:iCs/>
                <w:sz w:val="20"/>
                <w:szCs w:val="20"/>
              </w:rPr>
              <w:t>T</w:t>
            </w:r>
            <w:r>
              <w:rPr>
                <w:sz w:val="20"/>
                <w:szCs w:val="20"/>
                <w:vertAlign w:val="subscript"/>
              </w:rPr>
              <w:t>b</w:t>
            </w:r>
            <w:r>
              <w:rPr>
                <w:sz w:val="20"/>
                <w:szCs w:val="20"/>
              </w:rPr>
              <w:t>)</w:t>
            </w:r>
          </w:p>
        </w:tc>
      </w:tr>
    </w:tbl>
    <w:p w14:paraId="5BDE0224" w14:textId="77777777" w:rsidR="007121D9" w:rsidRDefault="00000000">
      <w:pPr>
        <w:spacing w:before="60" w:after="160"/>
        <w:jc w:val="center"/>
      </w:pPr>
      <w:r>
        <w:rPr>
          <w:i/>
          <w:iCs/>
          <w:sz w:val="20"/>
          <w:szCs w:val="20"/>
        </w:rPr>
        <w:t>Table 5. Baseband-equivalent signals for the two reference carriers, for 0 ≤ t ≤ T</w:t>
      </w:r>
      <w:r>
        <w:rPr>
          <w:i/>
          <w:iCs/>
          <w:sz w:val="20"/>
          <w:szCs w:val="20"/>
          <w:vertAlign w:val="subscript"/>
        </w:rPr>
        <w:t>b</w:t>
      </w:r>
      <w:r>
        <w:rPr>
          <w:i/>
          <w:iCs/>
          <w:sz w:val="20"/>
          <w:szCs w:val="20"/>
        </w:rPr>
        <w:t>.</w:t>
      </w:r>
    </w:p>
    <w:p w14:paraId="6F050A73" w14:textId="77777777" w:rsidR="007121D9" w:rsidRDefault="00000000">
      <w:pPr>
        <w:spacing w:after="120" w:line="276" w:lineRule="auto"/>
        <w:jc w:val="both"/>
      </w:pPr>
      <w:r>
        <w:t xml:space="preserve">In Model A, </w:t>
      </w:r>
      <w:r>
        <w:rPr>
          <w:i/>
          <w:iCs/>
        </w:rPr>
        <w:t>f</w:t>
      </w:r>
      <w:r>
        <w:rPr>
          <w:vertAlign w:val="subscript"/>
        </w:rPr>
        <w:t>c</w:t>
      </w:r>
      <w:r>
        <w:rPr>
          <w:i/>
          <w:iCs/>
        </w:rPr>
        <w:t>T</w:t>
      </w:r>
      <w:r>
        <w:rPr>
          <w:vertAlign w:val="subscript"/>
        </w:rPr>
        <w:t>b</w:t>
      </w:r>
      <w:r>
        <w:t xml:space="preserve"> is an integer, so the carrier phase is the same at the start of every bit and the expressions above apply unchanged to each bit. In Model B, </w:t>
      </w:r>
      <w:r>
        <w:rPr>
          <w:i/>
          <w:iCs/>
        </w:rPr>
        <w:t>f</w:t>
      </w:r>
      <w:r>
        <w:rPr>
          <w:vertAlign w:val="subscript"/>
        </w:rPr>
        <w:t>c</w:t>
      </w:r>
      <w:r>
        <w:rPr>
          <w:i/>
          <w:iCs/>
        </w:rPr>
        <w:t>T</w:t>
      </w:r>
      <w:r>
        <w:rPr>
          <w:vertAlign w:val="subscript"/>
        </w:rPr>
        <w:t>b</w:t>
      </w:r>
      <w:r>
        <w:t xml:space="preserve"> = </w:t>
      </w:r>
      <w:r>
        <w:rPr>
          <w:i/>
          <w:iCs/>
        </w:rPr>
        <w:t>n</w:t>
      </w:r>
      <w:r>
        <w:rPr>
          <w:vertAlign w:val="subscript"/>
        </w:rPr>
        <w:t>c</w:t>
      </w:r>
      <w:r>
        <w:t xml:space="preserve"> + 1.5 is not an integer. Write the global time as t = k</w:t>
      </w:r>
      <w:r>
        <w:rPr>
          <w:i/>
          <w:iCs/>
        </w:rPr>
        <w:t>T</w:t>
      </w:r>
      <w:r>
        <w:rPr>
          <w:vertAlign w:val="subscript"/>
        </w:rPr>
        <w:t>b</w:t>
      </w:r>
      <w:r>
        <w:t xml:space="preserve"> + τ, where k is the bit index and τ ∈ [0, </w:t>
      </w:r>
      <w:r>
        <w:rPr>
          <w:i/>
          <w:iCs/>
        </w:rPr>
        <w:t>T</w:t>
      </w:r>
      <w:r>
        <w:rPr>
          <w:vertAlign w:val="subscript"/>
        </w:rPr>
        <w:t>b</w:t>
      </w:r>
      <w:r>
        <w:t xml:space="preserve">) is the local time inside the bit. In global time the baseband equivalent is one continuous exponential, </w:t>
      </w:r>
      <w:r>
        <w:rPr>
          <w:i/>
          <w:iCs/>
        </w:rPr>
        <w:t>s</w:t>
      </w:r>
      <w:r>
        <w:rPr>
          <w:vertAlign w:val="subscript"/>
        </w:rPr>
        <w:t>bb,i</w:t>
      </w:r>
      <w:r>
        <w:t>(t) = A e</w:t>
      </w:r>
      <w:r>
        <w:rPr>
          <w:vertAlign w:val="superscript"/>
        </w:rPr>
        <w:t>±jπt/Tb</w:t>
      </w:r>
      <w:r>
        <w:t xml:space="preserve">, so in local time the k-th bit is </w:t>
      </w:r>
      <w:r>
        <w:rPr>
          <w:i/>
          <w:iCs/>
        </w:rPr>
        <w:t>s</w:t>
      </w:r>
      <w:r>
        <w:rPr>
          <w:vertAlign w:val="subscript"/>
        </w:rPr>
        <w:t>bb,i</w:t>
      </w:r>
      <w:r>
        <w:t>(k</w:t>
      </w:r>
      <w:r>
        <w:rPr>
          <w:i/>
          <w:iCs/>
        </w:rPr>
        <w:t>T</w:t>
      </w:r>
      <w:r>
        <w:rPr>
          <w:vertAlign w:val="subscript"/>
        </w:rPr>
        <w:t>b</w:t>
      </w:r>
      <w:r>
        <w:t xml:space="preserve"> + τ) = (−1)</w:t>
      </w:r>
      <w:r>
        <w:rPr>
          <w:vertAlign w:val="superscript"/>
        </w:rPr>
        <w:t>k</w:t>
      </w:r>
      <w:r>
        <w:t xml:space="preserve"> A e</w:t>
      </w:r>
      <w:r>
        <w:rPr>
          <w:vertAlign w:val="superscript"/>
        </w:rPr>
        <w:t>±jπτ/Tb</w:t>
      </w:r>
      <w:r>
        <w:t>, because e</w:t>
      </w:r>
      <w:r>
        <w:rPr>
          <w:vertAlign w:val="superscript"/>
        </w:rPr>
        <w:t>±jπk</w:t>
      </w:r>
      <w:r>
        <w:t xml:space="preserve"> = (−1)</w:t>
      </w:r>
      <w:r>
        <w:rPr>
          <w:vertAlign w:val="superscript"/>
        </w:rPr>
        <w:t>k</w:t>
      </w:r>
      <w:r>
        <w:t>. The simulation therefore builds each bit from the local-time pulses of Table 5 and multiplies the k-th bit by (−1)</w:t>
      </w:r>
      <w:r>
        <w:rPr>
          <w:vertAlign w:val="superscript"/>
        </w:rPr>
        <w:t>k</w:t>
      </w:r>
      <w:r>
        <w:t xml:space="preserve"> when the bits are concatenated. This keeps the tones at ±1/(2</w:t>
      </w:r>
      <w:r>
        <w:rPr>
          <w:i/>
          <w:iCs/>
        </w:rPr>
        <w:t>T</w:t>
      </w:r>
      <w:r>
        <w:rPr>
          <w:vertAlign w:val="subscript"/>
        </w:rPr>
        <w:t>b</w:t>
      </w:r>
      <w:r>
        <w:t>). Without the factor, every bit restarts the exponential at phase 0, the waveform is no longer the baseband equivalent of the transmitted passband signal, and the spectrum shows spurious lines at multiples of 1/</w:t>
      </w:r>
      <w:r>
        <w:rPr>
          <w:i/>
          <w:iCs/>
        </w:rPr>
        <w:t>T</w:t>
      </w:r>
      <w:r>
        <w:rPr>
          <w:vertAlign w:val="subscript"/>
        </w:rPr>
        <w:t>b</w:t>
      </w:r>
      <w:r>
        <w:t xml:space="preserve"> instead.</w:t>
      </w:r>
    </w:p>
    <w:p w14:paraId="2F6EC2C8" w14:textId="77777777" w:rsidR="007121D9" w:rsidRDefault="00000000">
      <w:pPr>
        <w:pStyle w:val="Heading2"/>
      </w:pPr>
      <w:bookmarkStart w:id="13" w:name="_Toc243600673"/>
      <w:r>
        <w:t>5.3 BER of BFSK</w:t>
      </w:r>
      <w:bookmarkEnd w:id="13"/>
    </w:p>
    <w:p w14:paraId="473346CD" w14:textId="77777777" w:rsidR="007121D9" w:rsidRDefault="00000000">
      <w:pPr>
        <w:keepNext/>
        <w:spacing w:before="120" w:after="40"/>
        <w:jc w:val="center"/>
      </w:pPr>
      <w:r>
        <w:rPr>
          <w:noProof/>
        </w:rPr>
        <w:drawing>
          <wp:inline distT="0" distB="0" distL="0" distR="0" wp14:anchorId="6CEF3EBF" wp14:editId="31472990">
            <wp:extent cx="5619750" cy="2657475"/>
            <wp:effectExtent l="0" t="0" r="0" b="0"/>
            <wp:docPr id="7" name="fig7" descr="BER versus {E_b}/{N_0} for coherent orthogonal BFSK: theory and simulation, with the BPSK curve as a reference." title="Fig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619750" cy="2657475"/>
                    </a:xfrm>
                    <a:prstGeom prst="rect">
                      <a:avLst/>
                    </a:prstGeom>
                  </pic:spPr>
                </pic:pic>
              </a:graphicData>
            </a:graphic>
          </wp:inline>
        </w:drawing>
      </w:r>
    </w:p>
    <w:p w14:paraId="152FFFA4" w14:textId="77777777" w:rsidR="007121D9" w:rsidRDefault="00000000">
      <w:pPr>
        <w:spacing w:after="160"/>
        <w:jc w:val="center"/>
      </w:pPr>
      <w:r>
        <w:rPr>
          <w:b/>
          <w:bCs/>
          <w:i/>
          <w:iCs/>
          <w:sz w:val="20"/>
          <w:szCs w:val="20"/>
        </w:rPr>
        <w:t>Figure 7.</w:t>
      </w:r>
      <w:r>
        <w:rPr>
          <w:i/>
          <w:iCs/>
          <w:sz w:val="20"/>
          <w:szCs w:val="20"/>
        </w:rPr>
        <w:t xml:space="preserve"> BER versus E</w:t>
      </w:r>
      <w:r>
        <w:rPr>
          <w:i/>
          <w:iCs/>
          <w:sz w:val="20"/>
          <w:szCs w:val="20"/>
          <w:vertAlign w:val="subscript"/>
        </w:rPr>
        <w:t>b</w:t>
      </w:r>
      <w:r>
        <w:rPr>
          <w:i/>
          <w:iCs/>
          <w:sz w:val="20"/>
          <w:szCs w:val="20"/>
        </w:rPr>
        <w:t>/N</w:t>
      </w:r>
      <w:r>
        <w:rPr>
          <w:i/>
          <w:iCs/>
          <w:sz w:val="20"/>
          <w:szCs w:val="20"/>
          <w:vertAlign w:val="subscript"/>
        </w:rPr>
        <w:t>0</w:t>
      </w:r>
      <w:r>
        <w:rPr>
          <w:i/>
          <w:iCs/>
          <w:sz w:val="20"/>
          <w:szCs w:val="20"/>
        </w:rPr>
        <w:t xml:space="preserve"> for coherent orthogonal BFSK: theory and simulation, with the BPSK curve as a reference.</w:t>
      </w:r>
    </w:p>
    <w:p w14:paraId="6D6EEFE5" w14:textId="77777777" w:rsidR="007121D9" w:rsidRDefault="00000000">
      <w:pPr>
        <w:spacing w:after="120" w:line="276" w:lineRule="auto"/>
        <w:jc w:val="both"/>
      </w:pPr>
      <w:r>
        <w:rPr>
          <w:b/>
          <w:bCs/>
        </w:rPr>
        <w:t>Comment.</w:t>
      </w:r>
      <w:r>
        <w:t xml:space="preserve"> The simulated BFSK BER matches the theoretical expression Q(√</w:t>
      </w:r>
      <w:r>
        <w:rPr>
          <w:i/>
          <w:iCs/>
        </w:rPr>
        <w:t>γ</w:t>
      </w:r>
      <w:r>
        <w:rPr>
          <w:vertAlign w:val="subscript"/>
        </w:rPr>
        <w:t>b</w:t>
      </w:r>
      <w:r>
        <w:t xml:space="preserve">) over the whole range, including the last points near 10⁻⁵ to 10⁻⁶, where the few error counts explain the small scatter. The BFSK curve is displaced from the BPSK curve by 3 dB: BFSK needs 9.8 dB for a BER of 10⁻³, against 6.8 dB for BPSK (Table 4). The cause is the signal-space geometry. For the same </w:t>
      </w:r>
      <w:r>
        <w:rPr>
          <w:i/>
          <w:iCs/>
        </w:rPr>
        <w:t>E</w:t>
      </w:r>
      <w:r>
        <w:rPr>
          <w:vertAlign w:val="subscript"/>
        </w:rPr>
        <w:t>b</w:t>
      </w:r>
      <w:r>
        <w:t>, the two BFSK signals are at distance d² = 2</w:t>
      </w:r>
      <w:r>
        <w:rPr>
          <w:i/>
          <w:iCs/>
        </w:rPr>
        <w:t>E</w:t>
      </w:r>
      <w:r>
        <w:rPr>
          <w:vertAlign w:val="subscript"/>
        </w:rPr>
        <w:t>b</w:t>
      </w:r>
      <w:r>
        <w:t>, while the BPSK signals are at d² = 4</w:t>
      </w:r>
      <w:r>
        <w:rPr>
          <w:i/>
          <w:iCs/>
        </w:rPr>
        <w:t>E</w:t>
      </w:r>
      <w:r>
        <w:rPr>
          <w:vertAlign w:val="subscript"/>
        </w:rPr>
        <w:t>b</w:t>
      </w:r>
      <w:r>
        <w:t>; the receiver sees a factor of two less distance, hence a factor of two (3 dB) less effective SNR. Orthogonal signalling in return allows non-coherent reception and gives a flat-envelope signal, but it is less power-efficient than antipodal signalling for the same bit rate.</w:t>
      </w:r>
    </w:p>
    <w:p w14:paraId="53F622AB" w14:textId="77777777" w:rsidR="007121D9" w:rsidRDefault="00000000">
      <w:pPr>
        <w:pStyle w:val="Heading2"/>
      </w:pPr>
      <w:bookmarkStart w:id="14" w:name="_Toc243600674"/>
      <w:r>
        <w:lastRenderedPageBreak/>
        <w:t>5.4 Power Spectral Density of the Baseband-Equivalent Signal</w:t>
      </w:r>
      <w:bookmarkEnd w:id="14"/>
    </w:p>
    <w:p w14:paraId="249CEB57" w14:textId="77777777" w:rsidR="007121D9" w:rsidRDefault="00000000">
      <w:pPr>
        <w:keepNext/>
        <w:spacing w:before="120" w:after="40"/>
        <w:jc w:val="center"/>
      </w:pPr>
      <w:r>
        <w:rPr>
          <w:noProof/>
        </w:rPr>
        <w:drawing>
          <wp:inline distT="0" distB="0" distL="0" distR="0" wp14:anchorId="12123CAD" wp14:editId="60AE77A3">
            <wp:extent cx="5619750" cy="2676525"/>
            <wp:effectExtent l="0" t="0" r="0" b="0"/>
            <wp:docPr id="8" name="fig8" descr="Simulated baseband PSD of BFSK with the reference carrier {f_c} = {f_1} (Model A). Tones at 0 and 1/{T_b}." title="Fig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619750" cy="2676525"/>
                    </a:xfrm>
                    <a:prstGeom prst="rect">
                      <a:avLst/>
                    </a:prstGeom>
                  </pic:spPr>
                </pic:pic>
              </a:graphicData>
            </a:graphic>
          </wp:inline>
        </w:drawing>
      </w:r>
    </w:p>
    <w:p w14:paraId="32FD2DB1" w14:textId="77777777" w:rsidR="007121D9" w:rsidRDefault="00000000">
      <w:pPr>
        <w:spacing w:after="160"/>
        <w:jc w:val="center"/>
      </w:pPr>
      <w:r>
        <w:rPr>
          <w:b/>
          <w:bCs/>
          <w:i/>
          <w:iCs/>
          <w:sz w:val="20"/>
          <w:szCs w:val="20"/>
        </w:rPr>
        <w:t>Figure 8.</w:t>
      </w:r>
      <w:r>
        <w:rPr>
          <w:i/>
          <w:iCs/>
          <w:sz w:val="20"/>
          <w:szCs w:val="20"/>
        </w:rPr>
        <w:t xml:space="preserve"> Simulated baseband PSD of BFSK with the reference carrier f</w:t>
      </w:r>
      <w:r>
        <w:rPr>
          <w:i/>
          <w:iCs/>
          <w:sz w:val="20"/>
          <w:szCs w:val="20"/>
          <w:vertAlign w:val="subscript"/>
        </w:rPr>
        <w:t>c</w:t>
      </w:r>
      <w:r>
        <w:rPr>
          <w:i/>
          <w:iCs/>
          <w:sz w:val="20"/>
          <w:szCs w:val="20"/>
        </w:rPr>
        <w:t xml:space="preserve"> = f</w:t>
      </w:r>
      <w:r>
        <w:rPr>
          <w:i/>
          <w:iCs/>
          <w:sz w:val="20"/>
          <w:szCs w:val="20"/>
          <w:vertAlign w:val="subscript"/>
        </w:rPr>
        <w:t>1</w:t>
      </w:r>
      <w:r>
        <w:rPr>
          <w:i/>
          <w:iCs/>
          <w:sz w:val="20"/>
          <w:szCs w:val="20"/>
        </w:rPr>
        <w:t xml:space="preserve"> (Model A). Tones at 0 and 1/T</w:t>
      </w:r>
      <w:r>
        <w:rPr>
          <w:i/>
          <w:iCs/>
          <w:sz w:val="20"/>
          <w:szCs w:val="20"/>
          <w:vertAlign w:val="subscript"/>
        </w:rPr>
        <w:t>b</w:t>
      </w:r>
      <w:r>
        <w:rPr>
          <w:i/>
          <w:iCs/>
          <w:sz w:val="20"/>
          <w:szCs w:val="20"/>
        </w:rPr>
        <w:t>.</w:t>
      </w:r>
    </w:p>
    <w:p w14:paraId="35CEA4E9" w14:textId="77777777" w:rsidR="007121D9" w:rsidRDefault="00000000">
      <w:pPr>
        <w:spacing w:after="120" w:line="276" w:lineRule="auto"/>
        <w:jc w:val="both"/>
      </w:pPr>
      <w:r>
        <w:rPr>
          <w:b/>
          <w:bCs/>
        </w:rPr>
        <w:t>Comment.</w:t>
      </w:r>
      <w:r>
        <w:t xml:space="preserve"> The PSD consists of two discrete spectral lines at the two tone frequencies (0 and 1/</w:t>
      </w:r>
      <w:r>
        <w:rPr>
          <w:i/>
          <w:iCs/>
        </w:rPr>
        <w:t>T</w:t>
      </w:r>
      <w:r>
        <w:rPr>
          <w:vertAlign w:val="subscript"/>
        </w:rPr>
        <w:t>b</w:t>
      </w:r>
      <w:r>
        <w:t>), shown at the 0 dB reference, on top of a continuous part about 12 dB lower between and around them. The main lobe extends from −1/</w:t>
      </w:r>
      <w:r>
        <w:rPr>
          <w:i/>
          <w:iCs/>
        </w:rPr>
        <w:t>T</w:t>
      </w:r>
      <w:r>
        <w:rPr>
          <w:vertAlign w:val="subscript"/>
        </w:rPr>
        <w:t>b</w:t>
      </w:r>
      <w:r>
        <w:t xml:space="preserve"> to +2/</w:t>
      </w:r>
      <w:r>
        <w:rPr>
          <w:i/>
          <w:iCs/>
        </w:rPr>
        <w:t>T</w:t>
      </w:r>
      <w:r>
        <w:rPr>
          <w:vertAlign w:val="subscript"/>
        </w:rPr>
        <w:t>b</w:t>
      </w:r>
      <w:r>
        <w:t>, so the null-to-null bandwidth is 3/</w:t>
      </w:r>
      <w:r>
        <w:rPr>
          <w:i/>
          <w:iCs/>
        </w:rPr>
        <w:t>T</w:t>
      </w:r>
      <w:r>
        <w:rPr>
          <w:vertAlign w:val="subscript"/>
        </w:rPr>
        <w:t>b</w:t>
      </w:r>
      <w:r>
        <w:t>, i.e. three times the bit rate; BFSK is therefore much less bandwidth-efficient than BPSK, whose main lobe is 2/</w:t>
      </w:r>
      <w:r>
        <w:rPr>
          <w:i/>
          <w:iCs/>
        </w:rPr>
        <w:t>T</w:t>
      </w:r>
      <w:r>
        <w:rPr>
          <w:vertAlign w:val="subscript"/>
        </w:rPr>
        <w:t>b</w:t>
      </w:r>
      <w:r>
        <w:t xml:space="preserve"> wide. The nulls fall at integer multiples of 1/</w:t>
      </w:r>
      <w:r>
        <w:rPr>
          <w:i/>
          <w:iCs/>
        </w:rPr>
        <w:t>T</w:t>
      </w:r>
      <w:r>
        <w:rPr>
          <w:vertAlign w:val="subscript"/>
        </w:rPr>
        <w:t>b</w:t>
      </w:r>
      <w:r>
        <w:t xml:space="preserve"> outside the main lobe. The side lobes are low (about −35 dB for the first, then −42 dB and −47 dB) and decay quickly, because with f₂ − f₁ = 1/</w:t>
      </w:r>
      <w:r>
        <w:rPr>
          <w:i/>
          <w:iCs/>
        </w:rPr>
        <w:t>T</w:t>
      </w:r>
      <w:r>
        <w:rPr>
          <w:vertAlign w:val="subscript"/>
        </w:rPr>
        <w:t>b</w:t>
      </w:r>
      <w:r>
        <w:t xml:space="preserve"> each tone completes a whole number of cycles per bit, so the phase is continuous at the bit boundaries and there are no abrupt phase jumps to spread energy.</w:t>
      </w:r>
    </w:p>
    <w:p w14:paraId="53994EAB" w14:textId="77777777" w:rsidR="007121D9" w:rsidRDefault="00000000">
      <w:pPr>
        <w:keepNext/>
        <w:spacing w:before="120" w:after="40"/>
        <w:jc w:val="center"/>
      </w:pPr>
      <w:r>
        <w:rPr>
          <w:noProof/>
        </w:rPr>
        <w:drawing>
          <wp:inline distT="0" distB="0" distL="0" distR="0" wp14:anchorId="20308A4C" wp14:editId="01365689">
            <wp:extent cx="5619750" cy="2695575"/>
            <wp:effectExtent l="0" t="0" r="0" b="0"/>
            <wp:docPr id="9" name="fig9" descr="Simulated baseband PSD of BFSK with the symmetric carrier {f_c} = ({f_1} + {f_2})/2 (Model B). Tones at ±1/(2{T_b})." title="Fig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619750" cy="2695575"/>
                    </a:xfrm>
                    <a:prstGeom prst="rect">
                      <a:avLst/>
                    </a:prstGeom>
                  </pic:spPr>
                </pic:pic>
              </a:graphicData>
            </a:graphic>
          </wp:inline>
        </w:drawing>
      </w:r>
    </w:p>
    <w:p w14:paraId="3B6BCFA9" w14:textId="77777777" w:rsidR="007121D9" w:rsidRDefault="00000000">
      <w:pPr>
        <w:spacing w:after="160"/>
        <w:jc w:val="center"/>
      </w:pPr>
      <w:r>
        <w:rPr>
          <w:b/>
          <w:bCs/>
          <w:i/>
          <w:iCs/>
          <w:sz w:val="20"/>
          <w:szCs w:val="20"/>
        </w:rPr>
        <w:t>Figure 9.</w:t>
      </w:r>
      <w:r>
        <w:rPr>
          <w:i/>
          <w:iCs/>
          <w:sz w:val="20"/>
          <w:szCs w:val="20"/>
        </w:rPr>
        <w:t xml:space="preserve"> Simulated baseband PSD of BFSK with the symmetric carrier f</w:t>
      </w:r>
      <w:r>
        <w:rPr>
          <w:i/>
          <w:iCs/>
          <w:sz w:val="20"/>
          <w:szCs w:val="20"/>
          <w:vertAlign w:val="subscript"/>
        </w:rPr>
        <w:t>c</w:t>
      </w:r>
      <w:r>
        <w:rPr>
          <w:i/>
          <w:iCs/>
          <w:sz w:val="20"/>
          <w:szCs w:val="20"/>
        </w:rPr>
        <w:t xml:space="preserve"> = (f</w:t>
      </w:r>
      <w:r>
        <w:rPr>
          <w:i/>
          <w:iCs/>
          <w:sz w:val="20"/>
          <w:szCs w:val="20"/>
          <w:vertAlign w:val="subscript"/>
        </w:rPr>
        <w:t>1</w:t>
      </w:r>
      <w:r>
        <w:rPr>
          <w:i/>
          <w:iCs/>
          <w:sz w:val="20"/>
          <w:szCs w:val="20"/>
        </w:rPr>
        <w:t xml:space="preserve"> + f</w:t>
      </w:r>
      <w:r>
        <w:rPr>
          <w:i/>
          <w:iCs/>
          <w:sz w:val="20"/>
          <w:szCs w:val="20"/>
          <w:vertAlign w:val="subscript"/>
        </w:rPr>
        <w:t>2</w:t>
      </w:r>
      <w:r>
        <w:rPr>
          <w:i/>
          <w:iCs/>
          <w:sz w:val="20"/>
          <w:szCs w:val="20"/>
        </w:rPr>
        <w:t>)/2 (Model B). Tones at ±1/(2T</w:t>
      </w:r>
      <w:r>
        <w:rPr>
          <w:i/>
          <w:iCs/>
          <w:sz w:val="20"/>
          <w:szCs w:val="20"/>
          <w:vertAlign w:val="subscript"/>
        </w:rPr>
        <w:t>b</w:t>
      </w:r>
      <w:r>
        <w:rPr>
          <w:i/>
          <w:iCs/>
          <w:sz w:val="20"/>
          <w:szCs w:val="20"/>
        </w:rPr>
        <w:t>).</w:t>
      </w:r>
    </w:p>
    <w:p w14:paraId="320A628F" w14:textId="77777777" w:rsidR="007121D9" w:rsidRDefault="00000000">
      <w:pPr>
        <w:spacing w:after="120" w:line="276" w:lineRule="auto"/>
        <w:jc w:val="both"/>
      </w:pPr>
      <w:r>
        <w:rPr>
          <w:b/>
          <w:bCs/>
        </w:rPr>
        <w:t>Comment.</w:t>
      </w:r>
      <w:r>
        <w:t xml:space="preserve"> Choosing the carrier at the centre of the two tones moves the spectrum so that it is symmetric about zero: the discrete lines sit at ±1/(2</w:t>
      </w:r>
      <w:r>
        <w:rPr>
          <w:i/>
          <w:iCs/>
        </w:rPr>
        <w:t>T</w:t>
      </w:r>
      <w:r>
        <w:rPr>
          <w:vertAlign w:val="subscript"/>
        </w:rPr>
        <w:t>b</w:t>
      </w:r>
      <w:r>
        <w:t>) and the main lobe runs from −1.5/</w:t>
      </w:r>
      <w:r>
        <w:rPr>
          <w:i/>
          <w:iCs/>
        </w:rPr>
        <w:t>T</w:t>
      </w:r>
      <w:r>
        <w:rPr>
          <w:vertAlign w:val="subscript"/>
        </w:rPr>
        <w:t>b</w:t>
      </w:r>
      <w:r>
        <w:t xml:space="preserve"> to +1.5/</w:t>
      </w:r>
      <w:r>
        <w:rPr>
          <w:i/>
          <w:iCs/>
        </w:rPr>
        <w:t>T</w:t>
      </w:r>
      <w:r>
        <w:rPr>
          <w:vertAlign w:val="subscript"/>
        </w:rPr>
        <w:t>b</w:t>
      </w:r>
      <w:r>
        <w:t>. The shape is exactly that of Figure 8 shifted by 1/(2</w:t>
      </w:r>
      <w:r>
        <w:rPr>
          <w:i/>
          <w:iCs/>
        </w:rPr>
        <w:t>T</w:t>
      </w:r>
      <w:r>
        <w:rPr>
          <w:vertAlign w:val="subscript"/>
        </w:rPr>
        <w:t>b</w:t>
      </w:r>
      <w:r>
        <w:t>): the occupied bandwidth (3/</w:t>
      </w:r>
      <w:r>
        <w:rPr>
          <w:i/>
          <w:iCs/>
        </w:rPr>
        <w:t>T</w:t>
      </w:r>
      <w:r>
        <w:rPr>
          <w:vertAlign w:val="subscript"/>
        </w:rPr>
        <w:t>b</w:t>
      </w:r>
      <w:r>
        <w:t xml:space="preserve"> null-to-null), the line-to-continuum ratio and the side-lobe levels are unchanged. This confirms that the choice of reference carrier changes only where the baseband spectrum is centred, not the transmitted passband signal and not the BER. The symmetric form is the more convenient one for analysis, since the two baseband signals are complex conjugates of each other.</w:t>
      </w:r>
    </w:p>
    <w:p w14:paraId="5373CB75" w14:textId="77777777" w:rsidR="007121D9" w:rsidRDefault="00000000">
      <w:pPr>
        <w:pStyle w:val="Heading1"/>
      </w:pPr>
      <w:bookmarkStart w:id="15" w:name="_Toc243600675"/>
      <w:r>
        <w:lastRenderedPageBreak/>
        <w:t>6. Conclusions</w:t>
      </w:r>
      <w:bookmarkEnd w:id="15"/>
    </w:p>
    <w:p w14:paraId="1C513A99" w14:textId="77777777" w:rsidR="007121D9" w:rsidRDefault="00000000">
      <w:pPr>
        <w:pStyle w:val="ListParagraph"/>
        <w:numPr>
          <w:ilvl w:val="0"/>
          <w:numId w:val="2"/>
        </w:numPr>
        <w:spacing w:after="80" w:line="276" w:lineRule="auto"/>
        <w:jc w:val="both"/>
      </w:pPr>
      <w:r>
        <w:t>The Monte Carlo simulation of every scheme agrees with its theoretical BER within the statistical scatter expected from the number of counted errors; the 8PSK and 16-QAM references are tight approximations that are slightly optimistic only at the lowest SNRs.</w:t>
      </w:r>
    </w:p>
    <w:p w14:paraId="7341B30E" w14:textId="77777777" w:rsidR="007121D9" w:rsidRDefault="00000000">
      <w:pPr>
        <w:pStyle w:val="ListParagraph"/>
        <w:numPr>
          <w:ilvl w:val="0"/>
          <w:numId w:val="2"/>
        </w:numPr>
        <w:spacing w:after="80" w:line="276" w:lineRule="auto"/>
        <w:jc w:val="both"/>
      </w:pPr>
      <w:r>
        <w:t xml:space="preserve">BPSK and Gray-coded QPSK have identical BER versus </w:t>
      </w:r>
      <w:r>
        <w:rPr>
          <w:i/>
          <w:iCs/>
        </w:rPr>
        <w:t>E</w:t>
      </w:r>
      <w:r>
        <w:rPr>
          <w:vertAlign w:val="subscript"/>
        </w:rPr>
        <w:t>b</w:t>
      </w:r>
      <w:r>
        <w:t>/</w:t>
      </w:r>
      <w:r>
        <w:rPr>
          <w:i/>
          <w:iCs/>
        </w:rPr>
        <w:t>N</w:t>
      </w:r>
      <w:r>
        <w:rPr>
          <w:vertAlign w:val="subscript"/>
        </w:rPr>
        <w:t>0</w:t>
      </w:r>
      <w:r>
        <w:t xml:space="preserve">, and QPSK halves the bandwidth. Higher-order schemes (8PSK, 16-QAM) increase spectral efficiency at the price of about 3.2 dB and 3.7 dB more </w:t>
      </w:r>
      <w:r>
        <w:rPr>
          <w:i/>
          <w:iCs/>
        </w:rPr>
        <w:t>E</w:t>
      </w:r>
      <w:r>
        <w:rPr>
          <w:vertAlign w:val="subscript"/>
        </w:rPr>
        <w:t>b</w:t>
      </w:r>
      <w:r>
        <w:t>/</w:t>
      </w:r>
      <w:r>
        <w:rPr>
          <w:i/>
          <w:iCs/>
        </w:rPr>
        <w:t>N</w:t>
      </w:r>
      <w:r>
        <w:rPr>
          <w:vertAlign w:val="subscript"/>
        </w:rPr>
        <w:t>0</w:t>
      </w:r>
      <w:r>
        <w:t xml:space="preserve"> at BER = 10⁻³.</w:t>
      </w:r>
    </w:p>
    <w:p w14:paraId="3A7F181F" w14:textId="77777777" w:rsidR="007121D9" w:rsidRDefault="00000000">
      <w:pPr>
        <w:pStyle w:val="ListParagraph"/>
        <w:numPr>
          <w:ilvl w:val="0"/>
          <w:numId w:val="2"/>
        </w:numPr>
        <w:spacing w:after="80" w:line="276" w:lineRule="auto"/>
        <w:jc w:val="both"/>
      </w:pPr>
      <w:r>
        <w:t>Bit mapping matters: the non-Gray QPSK labelling has the same symbol error rate as Gray, but about 1.5 times the BER at high SNR (0.18–0.33 dB penalty at BER between 10⁻³ and 10⁻⁵).</w:t>
      </w:r>
    </w:p>
    <w:p w14:paraId="38CD36CD" w14:textId="77777777" w:rsidR="007121D9" w:rsidRDefault="00000000">
      <w:pPr>
        <w:pStyle w:val="ListParagraph"/>
        <w:numPr>
          <w:ilvl w:val="0"/>
          <w:numId w:val="2"/>
        </w:numPr>
        <w:spacing w:after="80" w:line="276" w:lineRule="auto"/>
        <w:jc w:val="both"/>
      </w:pPr>
      <w:r>
        <w:t xml:space="preserve">Coherent orthogonal BFSK needs 3 dB more </w:t>
      </w:r>
      <w:r>
        <w:rPr>
          <w:i/>
          <w:iCs/>
        </w:rPr>
        <w:t>E</w:t>
      </w:r>
      <w:r>
        <w:rPr>
          <w:vertAlign w:val="subscript"/>
        </w:rPr>
        <w:t>b</w:t>
      </w:r>
      <w:r>
        <w:t>/</w:t>
      </w:r>
      <w:r>
        <w:rPr>
          <w:i/>
          <w:iCs/>
        </w:rPr>
        <w:t>N</w:t>
      </w:r>
      <w:r>
        <w:rPr>
          <w:vertAlign w:val="subscript"/>
        </w:rPr>
        <w:t>0</w:t>
      </w:r>
      <w:r>
        <w:t xml:space="preserve"> than BPSK and occupies a null-to-null bandwidth of 3/</w:t>
      </w:r>
      <w:r>
        <w:rPr>
          <w:i/>
          <w:iCs/>
        </w:rPr>
        <w:t>T</w:t>
      </w:r>
      <w:r>
        <w:rPr>
          <w:vertAlign w:val="subscript"/>
        </w:rPr>
        <w:t>b</w:t>
      </w:r>
      <w:r>
        <w:t>; its low side lobes follow from the continuous-phase tone spacing of 1/</w:t>
      </w:r>
      <w:r>
        <w:rPr>
          <w:i/>
          <w:iCs/>
        </w:rPr>
        <w:t>T</w:t>
      </w:r>
      <w:r>
        <w:rPr>
          <w:vertAlign w:val="subscript"/>
        </w:rPr>
        <w:t>b</w:t>
      </w:r>
      <w:r>
        <w:t>. The reference carrier only shifts the baseband spectrum.</w:t>
      </w:r>
    </w:p>
    <w:p w14:paraId="33BC32A3" w14:textId="77777777" w:rsidR="007121D9" w:rsidRDefault="00000000">
      <w:pPr>
        <w:pStyle w:val="ListParagraph"/>
        <w:numPr>
          <w:ilvl w:val="0"/>
          <w:numId w:val="2"/>
        </w:numPr>
        <w:spacing w:after="80" w:line="276" w:lineRule="auto"/>
        <w:jc w:val="both"/>
      </w:pPr>
      <w:r>
        <w:t>The measurable BER is limited by the 1.2 × 10⁶ simulated bits (about 8 × 10⁻⁷); increasing the number of bits would extend the curves to higher SNR.</w:t>
      </w:r>
    </w:p>
    <w:sectPr w:rsidR="007121D9" w:rsidSect="001F4389">
      <w:headerReference w:type="default" r:id="rId21"/>
      <w:footerReference w:type="default" r:id="rId22"/>
      <w:pgSz w:w="11906" w:h="16838"/>
      <w:pgMar w:top="720" w:right="720" w:bottom="720" w:left="72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763B9EA" w14:textId="77777777" w:rsidR="00A15AD6" w:rsidRDefault="00A15AD6">
      <w:r>
        <w:separator/>
      </w:r>
    </w:p>
  </w:endnote>
  <w:endnote w:type="continuationSeparator" w:id="0">
    <w:p w14:paraId="19051E1B" w14:textId="77777777" w:rsidR="00A15AD6" w:rsidRDefault="00A15AD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F60A19" w14:textId="77777777" w:rsidR="007121D9" w:rsidRDefault="007121D9">
    <w:pP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A5349FD" w14:textId="77777777" w:rsidR="00A15AD6" w:rsidRDefault="00A15AD6">
      <w:r>
        <w:separator/>
      </w:r>
    </w:p>
  </w:footnote>
  <w:footnote w:type="continuationSeparator" w:id="0">
    <w:p w14:paraId="216EC69C" w14:textId="77777777" w:rsidR="00A15AD6" w:rsidRDefault="00A15AD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1F398B9" w14:textId="77777777" w:rsidR="007121D9" w:rsidRDefault="007121D9">
    <w:pP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A534B4D"/>
    <w:multiLevelType w:val="hybridMultilevel"/>
    <w:tmpl w:val="163C75A6"/>
    <w:lvl w:ilvl="0" w:tplc="06D8EAD0">
      <w:start w:val="1"/>
      <w:numFmt w:val="bullet"/>
      <w:lvlText w:val="•"/>
      <w:lvlJc w:val="left"/>
      <w:pPr>
        <w:ind w:left="540" w:hanging="270"/>
      </w:pPr>
    </w:lvl>
    <w:lvl w:ilvl="1" w:tplc="AF40C4E4">
      <w:numFmt w:val="decimal"/>
      <w:lvlText w:val=""/>
      <w:lvlJc w:val="left"/>
    </w:lvl>
    <w:lvl w:ilvl="2" w:tplc="DF7E95C0">
      <w:numFmt w:val="decimal"/>
      <w:lvlText w:val=""/>
      <w:lvlJc w:val="left"/>
    </w:lvl>
    <w:lvl w:ilvl="3" w:tplc="6F463114">
      <w:numFmt w:val="decimal"/>
      <w:lvlText w:val=""/>
      <w:lvlJc w:val="left"/>
    </w:lvl>
    <w:lvl w:ilvl="4" w:tplc="5AFABCD2">
      <w:numFmt w:val="decimal"/>
      <w:lvlText w:val=""/>
      <w:lvlJc w:val="left"/>
    </w:lvl>
    <w:lvl w:ilvl="5" w:tplc="34D2C6FE">
      <w:numFmt w:val="decimal"/>
      <w:lvlText w:val=""/>
      <w:lvlJc w:val="left"/>
    </w:lvl>
    <w:lvl w:ilvl="6" w:tplc="7E1097E6">
      <w:numFmt w:val="decimal"/>
      <w:lvlText w:val=""/>
      <w:lvlJc w:val="left"/>
    </w:lvl>
    <w:lvl w:ilvl="7" w:tplc="C6D692C6">
      <w:numFmt w:val="decimal"/>
      <w:lvlText w:val=""/>
      <w:lvlJc w:val="left"/>
    </w:lvl>
    <w:lvl w:ilvl="8" w:tplc="3E8CD6F8">
      <w:numFmt w:val="decimal"/>
      <w:lvlText w:val=""/>
      <w:lvlJc w:val="left"/>
    </w:lvl>
  </w:abstractNum>
  <w:abstractNum w:abstractNumId="1" w15:restartNumberingAfterBreak="0">
    <w:nsid w:val="652F163D"/>
    <w:multiLevelType w:val="hybridMultilevel"/>
    <w:tmpl w:val="AE5A4BA0"/>
    <w:lvl w:ilvl="0" w:tplc="C1988730">
      <w:start w:val="1"/>
      <w:numFmt w:val="bullet"/>
      <w:lvlText w:val="●"/>
      <w:lvlJc w:val="left"/>
      <w:pPr>
        <w:ind w:left="720" w:hanging="360"/>
      </w:pPr>
    </w:lvl>
    <w:lvl w:ilvl="1" w:tplc="C878349C">
      <w:start w:val="1"/>
      <w:numFmt w:val="bullet"/>
      <w:lvlText w:val="○"/>
      <w:lvlJc w:val="left"/>
      <w:pPr>
        <w:ind w:left="1440" w:hanging="360"/>
      </w:pPr>
    </w:lvl>
    <w:lvl w:ilvl="2" w:tplc="8BAA6E2C">
      <w:start w:val="1"/>
      <w:numFmt w:val="bullet"/>
      <w:lvlText w:val="■"/>
      <w:lvlJc w:val="left"/>
      <w:pPr>
        <w:ind w:left="2160" w:hanging="360"/>
      </w:pPr>
    </w:lvl>
    <w:lvl w:ilvl="3" w:tplc="210AF08A">
      <w:start w:val="1"/>
      <w:numFmt w:val="bullet"/>
      <w:lvlText w:val="●"/>
      <w:lvlJc w:val="left"/>
      <w:pPr>
        <w:ind w:left="2880" w:hanging="360"/>
      </w:pPr>
    </w:lvl>
    <w:lvl w:ilvl="4" w:tplc="970C1C76">
      <w:start w:val="1"/>
      <w:numFmt w:val="bullet"/>
      <w:lvlText w:val="○"/>
      <w:lvlJc w:val="left"/>
      <w:pPr>
        <w:ind w:left="3600" w:hanging="360"/>
      </w:pPr>
    </w:lvl>
    <w:lvl w:ilvl="5" w:tplc="2494B10E">
      <w:start w:val="1"/>
      <w:numFmt w:val="bullet"/>
      <w:lvlText w:val="■"/>
      <w:lvlJc w:val="left"/>
      <w:pPr>
        <w:ind w:left="4320" w:hanging="360"/>
      </w:pPr>
    </w:lvl>
    <w:lvl w:ilvl="6" w:tplc="D2208DFC">
      <w:start w:val="1"/>
      <w:numFmt w:val="bullet"/>
      <w:lvlText w:val="●"/>
      <w:lvlJc w:val="left"/>
      <w:pPr>
        <w:ind w:left="5040" w:hanging="360"/>
      </w:pPr>
    </w:lvl>
    <w:lvl w:ilvl="7" w:tplc="90AC8C5E">
      <w:start w:val="1"/>
      <w:numFmt w:val="bullet"/>
      <w:lvlText w:val="●"/>
      <w:lvlJc w:val="left"/>
      <w:pPr>
        <w:ind w:left="5760" w:hanging="360"/>
      </w:pPr>
    </w:lvl>
    <w:lvl w:ilvl="8" w:tplc="71149E54">
      <w:start w:val="1"/>
      <w:numFmt w:val="bullet"/>
      <w:lvlText w:val="●"/>
      <w:lvlJc w:val="left"/>
      <w:pPr>
        <w:ind w:left="6480" w:hanging="360"/>
      </w:pPr>
    </w:lvl>
  </w:abstractNum>
  <w:num w:numId="1" w16cid:durableId="1378118301">
    <w:abstractNumId w:val="1"/>
    <w:lvlOverride w:ilvl="0">
      <w:startOverride w:val="1"/>
    </w:lvlOverride>
  </w:num>
  <w:num w:numId="2" w16cid:durableId="156645115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121D9"/>
    <w:rsid w:val="001F4389"/>
    <w:rsid w:val="002400FB"/>
    <w:rsid w:val="003708ED"/>
    <w:rsid w:val="003C240F"/>
    <w:rsid w:val="00542BA2"/>
    <w:rsid w:val="007121D9"/>
    <w:rsid w:val="007851FD"/>
    <w:rsid w:val="007D0CAD"/>
    <w:rsid w:val="008108CB"/>
    <w:rsid w:val="008B5302"/>
    <w:rsid w:val="009E4FE8"/>
    <w:rsid w:val="00A15AD6"/>
    <w:rsid w:val="00C352A4"/>
    <w:rsid w:val="00EF56E8"/>
    <w:rsid w:val="00FF2C27"/>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053970"/>
  <w15:docId w15:val="{1E5E8981-2067-452D-8FCA-272E485E20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keepNext/>
      <w:spacing w:before="300" w:after="120"/>
      <w:outlineLvl w:val="0"/>
    </w:pPr>
    <w:rPr>
      <w:b/>
      <w:bCs/>
      <w:color w:val="1F3864"/>
      <w:sz w:val="28"/>
      <w:szCs w:val="28"/>
    </w:rPr>
  </w:style>
  <w:style w:type="paragraph" w:styleId="Heading2">
    <w:name w:val="heading 2"/>
    <w:uiPriority w:val="9"/>
    <w:unhideWhenUsed/>
    <w:qFormat/>
    <w:pPr>
      <w:keepNext/>
      <w:spacing w:before="200" w:after="100"/>
      <w:outlineLvl w:val="1"/>
    </w:pPr>
    <w:rPr>
      <w:b/>
      <w:bCs/>
      <w:color w:val="2F5496"/>
      <w:sz w:val="24"/>
      <w:szCs w:val="24"/>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1F4389"/>
    <w:pPr>
      <w:tabs>
        <w:tab w:val="center" w:pos="4680"/>
        <w:tab w:val="right" w:pos="9360"/>
      </w:tabs>
    </w:pPr>
  </w:style>
  <w:style w:type="character" w:customStyle="1" w:styleId="HeaderChar">
    <w:name w:val="Header Char"/>
    <w:basedOn w:val="DefaultParagraphFont"/>
    <w:link w:val="Header"/>
    <w:uiPriority w:val="99"/>
    <w:rsid w:val="001F4389"/>
  </w:style>
  <w:style w:type="paragraph" w:styleId="Footer">
    <w:name w:val="footer"/>
    <w:basedOn w:val="Normal"/>
    <w:link w:val="FooterChar"/>
    <w:uiPriority w:val="99"/>
    <w:unhideWhenUsed/>
    <w:rsid w:val="001F4389"/>
    <w:pPr>
      <w:tabs>
        <w:tab w:val="center" w:pos="4680"/>
        <w:tab w:val="right" w:pos="9360"/>
      </w:tabs>
    </w:pPr>
  </w:style>
  <w:style w:type="character" w:customStyle="1" w:styleId="FooterChar">
    <w:name w:val="Footer Char"/>
    <w:basedOn w:val="DefaultParagraphFont"/>
    <w:link w:val="Footer"/>
    <w:uiPriority w:val="99"/>
    <w:rsid w:val="001F4389"/>
  </w:style>
  <w:style w:type="paragraph" w:styleId="TOCHeading">
    <w:name w:val="TOC Heading"/>
    <w:basedOn w:val="Heading1"/>
    <w:next w:val="Normal"/>
    <w:uiPriority w:val="39"/>
    <w:unhideWhenUsed/>
    <w:qFormat/>
    <w:rsid w:val="007D0CAD"/>
    <w:pPr>
      <w:keepLines/>
      <w:spacing w:before="240" w:after="0" w:line="259" w:lineRule="auto"/>
      <w:outlineLvl w:val="9"/>
    </w:pPr>
    <w:rPr>
      <w:rFonts w:asciiTheme="majorHAnsi" w:eastAsiaTheme="majorEastAsia" w:hAnsiTheme="majorHAnsi" w:cstheme="majorBidi"/>
      <w:b w:val="0"/>
      <w:bCs w:val="0"/>
      <w:color w:val="0F4761" w:themeColor="accent1" w:themeShade="BF"/>
      <w:sz w:val="32"/>
      <w:szCs w:val="32"/>
    </w:rPr>
  </w:style>
  <w:style w:type="paragraph" w:styleId="TOC2">
    <w:name w:val="toc 2"/>
    <w:basedOn w:val="Normal"/>
    <w:next w:val="Normal"/>
    <w:autoRedefine/>
    <w:uiPriority w:val="39"/>
    <w:unhideWhenUsed/>
    <w:rsid w:val="007D0CAD"/>
    <w:pPr>
      <w:spacing w:after="100" w:line="259" w:lineRule="auto"/>
      <w:ind w:left="220"/>
    </w:pPr>
    <w:rPr>
      <w:rFonts w:asciiTheme="minorHAnsi" w:eastAsiaTheme="minorEastAsia" w:hAnsiTheme="minorHAnsi"/>
    </w:rPr>
  </w:style>
  <w:style w:type="paragraph" w:styleId="TOC1">
    <w:name w:val="toc 1"/>
    <w:basedOn w:val="Normal"/>
    <w:next w:val="Normal"/>
    <w:autoRedefine/>
    <w:uiPriority w:val="39"/>
    <w:unhideWhenUsed/>
    <w:rsid w:val="007D0CAD"/>
    <w:pPr>
      <w:spacing w:after="100" w:line="259" w:lineRule="auto"/>
    </w:pPr>
    <w:rPr>
      <w:rFonts w:asciiTheme="minorHAnsi" w:eastAsiaTheme="minorEastAsia" w:hAnsiTheme="minorHAnsi"/>
    </w:rPr>
  </w:style>
  <w:style w:type="paragraph" w:styleId="TOC3">
    <w:name w:val="toc 3"/>
    <w:basedOn w:val="Normal"/>
    <w:next w:val="Normal"/>
    <w:autoRedefine/>
    <w:uiPriority w:val="39"/>
    <w:unhideWhenUsed/>
    <w:rsid w:val="007D0CAD"/>
    <w:pPr>
      <w:spacing w:after="100" w:line="259" w:lineRule="auto"/>
      <w:ind w:left="440"/>
    </w:pPr>
    <w:rPr>
      <w:rFonts w:asciiTheme="minorHAnsi" w:eastAsiaTheme="minorEastAsia" w:hAnsiTheme="minorHAns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82901611">
      <w:bodyDiv w:val="1"/>
      <w:marLeft w:val="0"/>
      <w:marRight w:val="0"/>
      <w:marTop w:val="0"/>
      <w:marBottom w:val="0"/>
      <w:divBdr>
        <w:top w:val="none" w:sz="0" w:space="0" w:color="auto"/>
        <w:left w:val="none" w:sz="0" w:space="0" w:color="auto"/>
        <w:bottom w:val="none" w:sz="0" w:space="0" w:color="auto"/>
        <w:right w:val="none" w:sz="0" w:space="0" w:color="auto"/>
      </w:divBdr>
    </w:div>
    <w:div w:id="862212586">
      <w:bodyDiv w:val="1"/>
      <w:marLeft w:val="0"/>
      <w:marRight w:val="0"/>
      <w:marTop w:val="0"/>
      <w:marBottom w:val="0"/>
      <w:divBdr>
        <w:top w:val="none" w:sz="0" w:space="0" w:color="auto"/>
        <w:left w:val="none" w:sz="0" w:space="0" w:color="auto"/>
        <w:bottom w:val="none" w:sz="0" w:space="0" w:color="auto"/>
        <w:right w:val="none" w:sz="0" w:space="0" w:color="auto"/>
      </w:divBdr>
    </w:div>
    <w:div w:id="995693401">
      <w:bodyDiv w:val="1"/>
      <w:marLeft w:val="0"/>
      <w:marRight w:val="0"/>
      <w:marTop w:val="0"/>
      <w:marBottom w:val="0"/>
      <w:divBdr>
        <w:top w:val="none" w:sz="0" w:space="0" w:color="auto"/>
        <w:left w:val="none" w:sz="0" w:space="0" w:color="auto"/>
        <w:bottom w:val="none" w:sz="0" w:space="0" w:color="auto"/>
        <w:right w:val="none" w:sz="0" w:space="0" w:color="auto"/>
      </w:divBdr>
    </w:div>
    <w:div w:id="1138574673">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header" Target="head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sv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svg"/><Relationship Id="rId14" Type="http://schemas.openxmlformats.org/officeDocument/2006/relationships/image" Target="media/image7.png"/><Relationship Id="rId2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512DB-D407-449C-A97F-53057169645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11</Pages>
  <Words>2596</Words>
  <Characters>14803</Characters>
  <Application>Microsoft Office Word</Application>
  <DocSecurity>0</DocSecurity>
  <Lines>123</Lines>
  <Paragraphs>34</Paragraphs>
  <ScaleCrop>false</ScaleCrop>
  <HeadingPairs>
    <vt:vector size="2" baseType="variant">
      <vt:variant>
        <vt:lpstr>Title</vt:lpstr>
      </vt:variant>
      <vt:variant>
        <vt:i4>1</vt:i4>
      </vt:variant>
    </vt:vector>
  </HeadingPairs>
  <TitlesOfParts>
    <vt:vector size="1" baseType="lpstr">
      <vt:lpstr>Digital Communications Project Part 1: Single-Carrier System over AWGN</vt:lpstr>
    </vt:vector>
  </TitlesOfParts>
  <Company/>
  <LinksUpToDate>false</LinksUpToDate>
  <CharactersWithSpaces>17365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Digital Communications Project Part 1: Single-Carrier System over AWGN</dc:title>
  <dc:creator>Mohamed Aboualy</dc:creator>
  <cp:lastModifiedBy>Mohamed Aboualy</cp:lastModifiedBy>
  <cp:revision>2</cp:revision>
  <cp:lastPrinted>2026-10-22T19:31:00Z</cp:lastPrinted>
  <dcterms:created xsi:type="dcterms:W3CDTF">2026-10-23T11:18:00Z</dcterms:created>
  <dcterms:modified xsi:type="dcterms:W3CDTF">2026-10-23T11:18:00Z</dcterms:modified>
</cp:coreProperties>
</file>