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RV32I</w:t>
      </w:r>
    </w:p>
    <w:p>
      <w:r>
        <w:drawing>
          <wp:inline distT="0" distB="0" distL="114300" distR="114300">
            <wp:extent cx="5267325" cy="2975610"/>
            <wp:effectExtent l="0" t="0" r="952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83794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此处分类倾向于分为，算术运算指令、逻辑运算指令、比较运算指令、移位运算指令、访存指令、分支与跳转指令。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其中lui与auipc不属于算术预算指令，并且在运行中也不涉及任何ALU的运算功能。访存指令需要用到ALU的加法功能来计算内存的读写地址。分支指令运用ALU的比较功能来判断跳转。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设计，考虑为PC+imme设置独立加法器，原因1：分支指令判断大小时占用ALU加减法器（大小判断是通过减法完成的），如果用ALU完成PC+imme的运算会出现硬件资源冲突。原因2：方便五级流水线在译码阶段获得PC+imme的值完成jal指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595630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3040" cy="187896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3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2ZTgyMDQyMmI1N2Q4Y2U5NThjOGZhYzQ5ZDQzYmYifQ=="/>
  </w:docVars>
  <w:rsids>
    <w:rsidRoot w:val="00000000"/>
    <w:rsid w:val="33A37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</Words>
  <Characters>4</Characters>
  <Lines>0</Lines>
  <Paragraphs>0</Paragraphs>
  <TotalTime>50</TotalTime>
  <ScaleCrop>false</ScaleCrop>
  <LinksUpToDate>false</LinksUpToDate>
  <CharactersWithSpaces>4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2022-07-21T01:33:09Z</dcterms:created>
  <dc:creator>16154</dc:creator>
  <cp:lastModifiedBy>The Weak </cp:lastModifiedBy>
  <dcterms:modified xsi:type="dcterms:W3CDTF">2022-07-21T02:31:54Z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B04BA90A8DFE41C4831B437BC70A4293</vt:lpwstr>
  </property>
</Properties>
</file>