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BA13E">
      <w:pPr>
        <w:pStyle w:val="13"/>
      </w:pPr>
      <w:r>
        <w:t>车队新建</w:t>
      </w:r>
    </w:p>
    <w:p w14:paraId="4230A992">
      <w:pPr>
        <w:pStyle w:val="11"/>
        <w:rPr>
          <w:b/>
        </w:rPr>
      </w:pPr>
      <w:r>
        <w:rPr>
          <w:b/>
        </w:rPr>
        <w:t>车队新建视频操作步骤：</w:t>
      </w:r>
    </w:p>
    <w:p w14:paraId="1F2E7574">
      <w:pPr>
        <w:pStyle w:val="11"/>
      </w:pPr>
      <w:r>
        <w:fldChar w:fldCharType="begin"/>
      </w:r>
      <w:r>
        <w:instrText xml:space="preserve"> HYPERLINK "新车队创建视频.mp4" </w:instrText>
      </w:r>
      <w:r>
        <w:fldChar w:fldCharType="separate"/>
      </w:r>
      <w:r>
        <w:rPr>
          <w:rStyle w:val="16"/>
        </w:rPr>
        <w:t>新车队创建视频.mp4</w:t>
      </w:r>
      <w:r>
        <w:fldChar w:fldCharType="end"/>
      </w:r>
      <w:bookmarkStart w:id="0" w:name="_GoBack"/>
      <w:bookmarkEnd w:id="0"/>
    </w:p>
    <w:p w14:paraId="003F3A99">
      <w:pPr>
        <w:pStyle w:val="11"/>
      </w:pPr>
      <w:r>
        <w:t>车队对照以前的集团，不需要先新增会员再去创建集团，集团充电计划等繁琐的步骤，现在创建车队的板块就一个，按引导步骤走即可。</w:t>
      </w:r>
    </w:p>
    <w:p w14:paraId="6BA489CC">
      <w:pPr>
        <w:pStyle w:val="11"/>
        <w:rPr>
          <w:b/>
        </w:rPr>
      </w:pPr>
      <w:r>
        <w:rPr>
          <w:b/>
        </w:rPr>
        <w:t>步骤：会员中心-车队管理-车队列表-新增</w:t>
      </w:r>
    </w:p>
    <w:p w14:paraId="175A6442">
      <w:pPr>
        <w:pBdr>
          <w:bottom w:val="none" w:color="auto" w:sz="0" w:space="0"/>
        </w:pBdr>
        <w:spacing w:line="240" w:lineRule="auto"/>
      </w:pPr>
      <w:r>
        <w:drawing>
          <wp:inline distT="0" distB="0" distL="0" distR="0">
            <wp:extent cx="5760085" cy="165544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070D">
      <w:pPr>
        <w:spacing w:line="240" w:lineRule="auto"/>
      </w:pPr>
      <w:r>
        <w:drawing>
          <wp:inline distT="0" distB="0" distL="0" distR="0">
            <wp:extent cx="5760085" cy="255714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3094">
      <w:pPr>
        <w:pStyle w:val="11"/>
        <w:rPr>
          <w:b/>
          <w:color w:val="FF0000"/>
        </w:rPr>
      </w:pPr>
      <w:r>
        <w:rPr>
          <w:b/>
          <w:color w:val="FF0000"/>
        </w:rPr>
        <w:t>注意：</w:t>
      </w:r>
    </w:p>
    <w:p w14:paraId="60AA8391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此页面带</w:t>
      </w:r>
      <w:r>
        <w:rPr>
          <w:color w:val="FF0000"/>
        </w:rPr>
        <w:t>*</w:t>
      </w:r>
      <w:r>
        <w:t>为必填项。所有问号标志都可以查看选项注释。</w:t>
      </w:r>
    </w:p>
    <w:p w14:paraId="5BFCBEA4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账户名与初始密码是指给此车队建立的登录平台的账号。可以用这个账号登录以下小程序，手机上可看车队的充电数据和余额。</w:t>
      </w:r>
    </w:p>
    <w:p w14:paraId="2412C897">
      <w:pPr>
        <w:spacing w:line="240" w:lineRule="auto"/>
        <w:ind w:left="336"/>
        <w:rPr>
          <w:sz w:val="24"/>
        </w:rPr>
      </w:pPr>
      <w:r>
        <w:rPr>
          <w:sz w:val="24"/>
        </w:rPr>
        <w:drawing>
          <wp:inline distT="0" distB="0" distL="0" distR="0">
            <wp:extent cx="1533525" cy="153352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84B2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告警金额若不设置系统默认1000，可以设置低于或高于1000。车队余额低于或等于告警金额，会发送邮件到通知邮箱进行提醒，需要配置通知邮箱信息。</w:t>
      </w:r>
    </w:p>
    <w:p w14:paraId="10CB7B9A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充电冻结指车队每台车启动充电时预先冻结车队钱包的金额。建议车队多台车同时补电情况下开启，根据车辆电池大小设置冻结金额，一般建议200以上。</w:t>
      </w:r>
    </w:p>
    <w:p w14:paraId="0E504176">
      <w:pPr>
        <w:pStyle w:val="11"/>
        <w:numPr>
          <w:ilvl w:val="0"/>
          <w:numId w:val="1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自动充值指车队后台余额低于设定金额就自动充值设定的金额，建议内部自有车队开启，以免出现余额不足无法充电的情况。</w:t>
      </w:r>
    </w:p>
    <w:p w14:paraId="187C3A63">
      <w:pPr>
        <w:pStyle w:val="11"/>
        <w:rPr>
          <w:b/>
        </w:rPr>
      </w:pPr>
      <w:r>
        <w:rPr>
          <w:b/>
        </w:rPr>
        <w:t>点击【下一步】到车队定价配置：</w:t>
      </w:r>
    </w:p>
    <w:p w14:paraId="7F853D56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760085" cy="278130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0E4D">
      <w:pPr>
        <w:pStyle w:val="11"/>
        <w:numPr>
          <w:ilvl w:val="0"/>
          <w:numId w:val="2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可选择车队定价应用范围：全部场站/部分场站。</w:t>
      </w:r>
    </w:p>
    <w:p w14:paraId="19AECC03">
      <w:pPr>
        <w:pStyle w:val="11"/>
        <w:numPr>
          <w:ilvl w:val="0"/>
          <w:numId w:val="2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选择【全部场站】</w:t>
      </w:r>
      <w:r>
        <w:rPr>
          <w:b/>
          <w:color w:val="FF0000"/>
        </w:rPr>
        <w:t>默认后续新增场站车队自动应用定价</w:t>
      </w:r>
    </w:p>
    <w:p w14:paraId="6C68535F">
      <w:pPr>
        <w:pStyle w:val="11"/>
        <w:numPr>
          <w:ilvl w:val="0"/>
          <w:numId w:val="3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【单独定价】指车队单独绑定的价格，场站价格变化不影响车队价格。若已有对应定价，点击【计费策略】进行选择即可。若没有则需要点击【新增计费】，新建一个对应的价格与车队绑定。</w:t>
      </w:r>
    </w:p>
    <w:p w14:paraId="5D403001">
      <w:pPr>
        <w:pStyle w:val="11"/>
        <w:numPr>
          <w:ilvl w:val="0"/>
          <w:numId w:val="3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【服务费一口价】指车队的电费价格跟随各场站，服务费可以单独设置一个24h统一价格。</w:t>
      </w:r>
    </w:p>
    <w:p w14:paraId="3982FEBE">
      <w:pPr>
        <w:pStyle w:val="11"/>
        <w:numPr>
          <w:ilvl w:val="0"/>
          <w:numId w:val="3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【服务费调价】指车队电费价格跟随各场站，车队服务费在各场站服务费基础上进行增减。</w:t>
      </w:r>
    </w:p>
    <w:p w14:paraId="48491E0B">
      <w:pPr>
        <w:pStyle w:val="11"/>
        <w:numPr>
          <w:ilvl w:val="0"/>
          <w:numId w:val="2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选择【部分场站】</w:t>
      </w:r>
    </w:p>
    <w:p w14:paraId="4448D277">
      <w:pPr>
        <w:spacing w:line="240" w:lineRule="auto"/>
        <w:ind w:left="0"/>
        <w:rPr>
          <w:sz w:val="24"/>
        </w:rPr>
      </w:pPr>
      <w:r>
        <w:rPr>
          <w:sz w:val="24"/>
        </w:rPr>
        <w:drawing>
          <wp:inline distT="0" distB="0" distL="0" distR="0">
            <wp:extent cx="5760085" cy="275082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46BE">
      <w:pPr>
        <w:pStyle w:val="11"/>
        <w:numPr>
          <w:ilvl w:val="0"/>
          <w:numId w:val="4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选择场站栏可以多选充电站。</w:t>
      </w:r>
      <w:r>
        <w:rPr>
          <w:b/>
          <w:color w:val="FF0000"/>
        </w:rPr>
        <w:t>未选中场站车队无法充电。</w:t>
      </w:r>
    </w:p>
    <w:p w14:paraId="36CB8D5A">
      <w:pPr>
        <w:pStyle w:val="11"/>
        <w:numPr>
          <w:ilvl w:val="0"/>
          <w:numId w:val="4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点击【增加定价规则】可以新增定价设置栏，存在空白定价栏不能到下一步。</w:t>
      </w:r>
    </w:p>
    <w:p w14:paraId="21C00F66">
      <w:pPr>
        <w:pStyle w:val="11"/>
        <w:rPr>
          <w:color w:val="FF0000"/>
        </w:rPr>
      </w:pPr>
      <w:r>
        <w:rPr>
          <w:color w:val="FF0000"/>
        </w:rPr>
        <w:t>以下步骤都可以跳过后期再配置：</w:t>
      </w:r>
    </w:p>
    <w:p w14:paraId="01A7AD04">
      <w:pPr>
        <w:pStyle w:val="11"/>
      </w:pPr>
      <w:r>
        <w:t>点击确认后自动跳转到车队资源录入（先不配置就点击右上角X）</w:t>
      </w:r>
    </w:p>
    <w:p w14:paraId="097E7EDB">
      <w:pPr>
        <w:spacing w:line="240" w:lineRule="auto"/>
      </w:pPr>
      <w:r>
        <w:drawing>
          <wp:inline distT="0" distB="0" distL="0" distR="0">
            <wp:extent cx="5760085" cy="3928110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7E6">
      <w:pPr>
        <w:pStyle w:val="11"/>
        <w:rPr>
          <w:b/>
          <w:color w:val="FF0000"/>
        </w:rPr>
      </w:pPr>
      <w:r>
        <w:rPr>
          <w:b/>
          <w:color w:val="FF0000"/>
        </w:rPr>
        <w:t>注意：</w:t>
      </w:r>
    </w:p>
    <w:p w14:paraId="468ED6EC">
      <w:pPr>
        <w:pStyle w:val="11"/>
        <w:numPr>
          <w:ilvl w:val="0"/>
          <w:numId w:val="5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手机号输入不能超过11位。【批量导入】可以下载模板，进行司机批量新增。</w:t>
      </w:r>
    </w:p>
    <w:p w14:paraId="7E72087D">
      <w:pPr>
        <w:pStyle w:val="11"/>
        <w:numPr>
          <w:ilvl w:val="0"/>
          <w:numId w:val="5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【扫码充电】是否开启是指对应手机号绑定的微信、支付宝，扫码充电是否支持车队余额进行结算。</w:t>
      </w:r>
    </w:p>
    <w:p w14:paraId="518AB45F">
      <w:pPr>
        <w:pStyle w:val="11"/>
        <w:numPr>
          <w:ilvl w:val="0"/>
          <w:numId w:val="5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333333"/>
          <w:bdr w:val="none" w:sz="0" w:space="0"/>
        </w:rPr>
      </w:pPr>
      <w:r>
        <w:t>有几位司机需要录入就新增几栏，有空白栏无法到下一步。</w:t>
      </w:r>
    </w:p>
    <w:p w14:paraId="67AD35E3">
      <w:pPr>
        <w:pStyle w:val="11"/>
        <w:rPr>
          <w:b/>
          <w:color w:val="000000"/>
        </w:rPr>
      </w:pPr>
      <w:r>
        <w:rPr>
          <w:b/>
          <w:color w:val="000000"/>
        </w:rPr>
        <w:t>点击下一步自动跳转到车辆管理（若无需要可以跳过）</w:t>
      </w:r>
    </w:p>
    <w:p w14:paraId="5DF6F846">
      <w:pPr>
        <w:pStyle w:val="11"/>
        <w:spacing w:line="240" w:lineRule="auto"/>
        <w:rPr>
          <w:b/>
          <w:color w:val="FF0000"/>
        </w:rPr>
      </w:pPr>
      <w:r>
        <w:rPr>
          <w:b/>
          <w:color w:val="000000"/>
        </w:rPr>
        <w:drawing>
          <wp:inline distT="0" distB="0" distL="0" distR="0">
            <wp:extent cx="5760085" cy="3933190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escrip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  <w:color w:val="FF0000"/>
        </w:rPr>
        <w:t>注意：</w:t>
      </w:r>
    </w:p>
    <w:p w14:paraId="30F1C756">
      <w:pPr>
        <w:pStyle w:val="11"/>
        <w:numPr>
          <w:ilvl w:val="0"/>
          <w:numId w:val="6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右上角【批量导入】可以下载模板填入信息进行批量VIN码新增。</w:t>
      </w:r>
    </w:p>
    <w:p w14:paraId="036DF18B">
      <w:pPr>
        <w:pStyle w:val="11"/>
        <w:numPr>
          <w:ilvl w:val="0"/>
          <w:numId w:val="6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VIN码自动校验格式输入是否输入有误，车牌号需在此对应录入。</w:t>
      </w:r>
    </w:p>
    <w:p w14:paraId="5A27DB54">
      <w:pPr>
        <w:pStyle w:val="11"/>
        <w:numPr>
          <w:ilvl w:val="0"/>
          <w:numId w:val="6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配置后对应车辆可以使用VIN码充电。</w:t>
      </w:r>
    </w:p>
    <w:p w14:paraId="51250A9C">
      <w:pPr>
        <w:pStyle w:val="11"/>
        <w:numPr>
          <w:ilvl w:val="0"/>
          <w:numId w:val="6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可以一个手机号一个司机绑定多个VIN码。</w:t>
      </w:r>
    </w:p>
    <w:p w14:paraId="4C6489B9">
      <w:pPr>
        <w:pStyle w:val="11"/>
        <w:rPr>
          <w:b/>
          <w:color w:val="000000"/>
        </w:rPr>
      </w:pPr>
      <w:r>
        <w:rPr>
          <w:b/>
          <w:color w:val="000000"/>
        </w:rPr>
        <w:t>点击下一步自动跳转实体卡管理（若无需要可以跳过）</w:t>
      </w:r>
    </w:p>
    <w:p w14:paraId="379CA458">
      <w:pPr>
        <w:spacing w:line="240" w:lineRule="auto"/>
        <w:ind w:left="0"/>
        <w:rPr>
          <w:b/>
          <w:color w:val="000000"/>
          <w:sz w:val="24"/>
          <w:shd w:val="clear" w:color="auto" w:fill="auto"/>
        </w:rPr>
      </w:pPr>
      <w:r>
        <w:rPr>
          <w:b/>
          <w:color w:val="000000"/>
          <w:sz w:val="24"/>
          <w:shd w:val="clear" w:color="auto" w:fill="auto"/>
        </w:rPr>
        <w:drawing>
          <wp:inline distT="0" distB="0" distL="0" distR="0">
            <wp:extent cx="5760085" cy="3910965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escrip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BA6">
      <w:pPr>
        <w:pStyle w:val="11"/>
        <w:rPr>
          <w:b/>
          <w:color w:val="FF0000"/>
        </w:rPr>
      </w:pPr>
      <w:r>
        <w:rPr>
          <w:b/>
          <w:color w:val="FF0000"/>
        </w:rPr>
        <w:t>注意：</w:t>
      </w:r>
    </w:p>
    <w:p w14:paraId="4E3EC5AE">
      <w:pPr>
        <w:pStyle w:val="11"/>
        <w:numPr>
          <w:ilvl w:val="0"/>
          <w:numId w:val="7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物理卡号前面加8个0。</w:t>
      </w:r>
    </w:p>
    <w:p w14:paraId="750892C6">
      <w:pPr>
        <w:pStyle w:val="11"/>
        <w:numPr>
          <w:ilvl w:val="0"/>
          <w:numId w:val="7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要实现一卡一车就把一卡多刷关闭，车牌号也在此对应输入。</w:t>
      </w:r>
    </w:p>
    <w:p w14:paraId="5A1B38BB">
      <w:pPr>
        <w:pStyle w:val="11"/>
        <w:numPr>
          <w:ilvl w:val="0"/>
          <w:numId w:val="7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右上角【批量导入】可以下载模板填入信息进行批量实体卡新增。</w:t>
      </w:r>
    </w:p>
    <w:p w14:paraId="6B49C96C">
      <w:pPr>
        <w:pStyle w:val="11"/>
        <w:numPr>
          <w:ilvl w:val="0"/>
          <w:numId w:val="7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可以一个手机号一个司机绑定多个实体卡。</w:t>
      </w:r>
    </w:p>
    <w:p w14:paraId="5C545F30">
      <w:pPr>
        <w:pStyle w:val="11"/>
        <w:numPr>
          <w:ilvl w:val="0"/>
          <w:numId w:val="7"/>
        </w:numPr>
        <w:topLinePunct w:val="0"/>
        <w:ind w:left="0" w:leftChars="0" w:firstLine="480" w:firstLineChars="0"/>
        <w:rPr>
          <w:rFonts w:hint="eastAsia" w:ascii="宋体" w:hAnsi="宋体" w:eastAsia="宋体" w:cs="宋体"/>
          <w:b w:val="0"/>
          <w:color w:val="000000"/>
          <w:bdr w:val="none" w:sz="0" w:space="0"/>
        </w:rPr>
      </w:pPr>
      <w:r>
        <w:rPr>
          <w:b w:val="0"/>
          <w:color w:val="000000"/>
        </w:rPr>
        <w:t>录入实体卡后检查充电桩是否开启了平台计费。</w:t>
      </w:r>
    </w:p>
    <w:p w14:paraId="0039E8E0">
      <w:pPr>
        <w:ind w:left="0"/>
        <w:rPr>
          <w:b/>
          <w:color w:val="000000"/>
          <w:sz w:val="24"/>
          <w:shd w:val="clear" w:color="auto" w:fill="auto"/>
        </w:rPr>
      </w:pPr>
    </w:p>
    <w:p w14:paraId="48769C2D">
      <w:pPr>
        <w:ind w:left="0"/>
        <w:rPr>
          <w:b/>
          <w:color w:val="000000"/>
          <w:sz w:val="24"/>
          <w:shd w:val="clear" w:color="auto" w:fill="auto"/>
        </w:rPr>
      </w:pPr>
    </w:p>
    <w:p w14:paraId="04495BC2">
      <w:pPr>
        <w:ind w:left="0"/>
        <w:rPr>
          <w:sz w:val="24"/>
        </w:rPr>
      </w:pPr>
    </w:p>
    <w:p w14:paraId="604E4C99">
      <w:pPr>
        <w:ind w:left="336"/>
        <w:rPr>
          <w:b/>
          <w:color w:val="000000"/>
          <w:sz w:val="24"/>
          <w:shd w:val="clear" w:color="auto" w:fill="auto"/>
        </w:rPr>
      </w:pPr>
    </w:p>
    <w:p w14:paraId="09EA6779">
      <w:pPr>
        <w:ind w:left="0"/>
        <w:rPr>
          <w:sz w:val="24"/>
        </w:rPr>
      </w:pPr>
    </w:p>
    <w:p w14:paraId="1F7EE0ED">
      <w:pPr>
        <w:rPr>
          <w:sz w:val="24"/>
        </w:rPr>
      </w:pPr>
    </w:p>
    <w:p w14:paraId="04193435">
      <w:pPr>
        <w:ind w:left="0"/>
        <w:rPr>
          <w:sz w:val="24"/>
        </w:rPr>
      </w:pPr>
    </w:p>
    <w:p w14:paraId="38781978">
      <w:pPr>
        <w:ind w:left="336"/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汉仪中宋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大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6C2E9"/>
    <w:multiLevelType w:val="singleLevel"/>
    <w:tmpl w:val="84D6C2E9"/>
    <w:lvl w:ilvl="0" w:tentative="0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</w:abstractNum>
  <w:abstractNum w:abstractNumId="1">
    <w:nsid w:val="9629EFF7"/>
    <w:multiLevelType w:val="singleLevel"/>
    <w:tmpl w:val="9629EFF7"/>
    <w:lvl w:ilvl="0" w:tentative="0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</w:abstractNum>
  <w:abstractNum w:abstractNumId="2">
    <w:nsid w:val="FDC7CF52"/>
    <w:multiLevelType w:val="singleLevel"/>
    <w:tmpl w:val="FDC7CF52"/>
    <w:lvl w:ilvl="0" w:tentative="0">
      <w:start w:val="1"/>
      <w:numFmt w:val="decimal"/>
      <w:suff w:val="nothing"/>
      <w:lvlText w:val="（%1）"/>
      <w:lvlJc w:val="left"/>
      <w:pPr>
        <w:ind w:left="0" w:firstLine="480"/>
      </w:pPr>
      <w:rPr>
        <w:rFonts w:hint="default"/>
      </w:rPr>
    </w:lvl>
  </w:abstractNum>
  <w:abstractNum w:abstractNumId="3">
    <w:nsid w:val="112AA2D1"/>
    <w:multiLevelType w:val="singleLevel"/>
    <w:tmpl w:val="112AA2D1"/>
    <w:lvl w:ilvl="0" w:tentative="0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</w:abstractNum>
  <w:abstractNum w:abstractNumId="4">
    <w:nsid w:val="283BBC5A"/>
    <w:multiLevelType w:val="singleLevel"/>
    <w:tmpl w:val="283BBC5A"/>
    <w:lvl w:ilvl="0" w:tentative="0">
      <w:start w:val="1"/>
      <w:numFmt w:val="decimal"/>
      <w:suff w:val="nothing"/>
      <w:lvlText w:val="（%1）"/>
      <w:lvlJc w:val="left"/>
      <w:pPr>
        <w:ind w:left="0" w:firstLine="480"/>
      </w:pPr>
      <w:rPr>
        <w:rFonts w:hint="default"/>
      </w:rPr>
    </w:lvl>
  </w:abstractNum>
  <w:abstractNum w:abstractNumId="5">
    <w:nsid w:val="5AFDDB38"/>
    <w:multiLevelType w:val="singleLevel"/>
    <w:tmpl w:val="5AFDDB38"/>
    <w:lvl w:ilvl="0" w:tentative="0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</w:abstractNum>
  <w:abstractNum w:abstractNumId="6">
    <w:nsid w:val="74CB8E37"/>
    <w:multiLevelType w:val="singleLevel"/>
    <w:tmpl w:val="74CB8E37"/>
    <w:lvl w:ilvl="0" w:tentative="0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27250211"/>
    <w:rsid w:val="6E0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next w:val="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semiHidden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next w:val="1"/>
    <w:qFormat/>
    <w:uiPriority w:val="9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1090</Words>
  <Characters>1114</Characters>
  <TotalTime>2</TotalTime>
  <ScaleCrop>false</ScaleCrop>
  <LinksUpToDate>false</LinksUpToDate>
  <CharactersWithSpaces>1114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2025-10-29T13:48:00Z</dcterms:created>
  <dc:creator>JN-BG</dc:creator>
  <cp:lastModifiedBy>googolplex</cp:lastModifiedBy>
  <dcterms:modified xsi:type="dcterms:W3CDTF">2025-10-29T05:56:45Z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eyJoZGlkIjoiODkzZTgwNzQ0NzRhMTk1OTg1N2NjZjlmYzdmNTQyYzgiLCJ1c2VySWQiOiI2NTY3MTE2OTAifQ==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97703A0024ED4119B77ECF3678B8E9FE_12</vt:lpwstr>
  </property>
</Properties>
</file>