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État d'avancement du traitement des vulnérabilités</w:t>
      </w:r>
    </w:p>
    <w:p>
      <w:r>
        <w:t>Dans le cadre du traitement des vulnérabilités identifiées sur notre infrastructure, nous avons engagé plusieurs actions correctives. Le tableau ci-dessous présente l’état d’avancement des différentes tâches techniques, en précisant les serveurs concernés ainsi que le statut actuel de chaque action. Ce document sera mis à jour régulièrement en fonction de l’évolution des travaux.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Action</w:t>
            </w:r>
          </w:p>
        </w:tc>
        <w:tc>
          <w:tcPr>
            <w:tcW w:type="dxa" w:w="2160"/>
          </w:tcPr>
          <w:p>
            <w:r>
              <w:t>Détail</w:t>
            </w:r>
          </w:p>
        </w:tc>
        <w:tc>
          <w:tcPr>
            <w:tcW w:type="dxa" w:w="2160"/>
          </w:tcPr>
          <w:p>
            <w:r>
              <w:t>Serveurs concernés</w:t>
            </w:r>
          </w:p>
        </w:tc>
        <w:tc>
          <w:tcPr>
            <w:tcW w:type="dxa" w:w="2160"/>
          </w:tcPr>
          <w:p>
            <w:r>
              <w:t>Statut</w:t>
            </w:r>
          </w:p>
        </w:tc>
      </w:tr>
      <w:tr>
        <w:tc>
          <w:tcPr>
            <w:tcW w:type="dxa" w:w="2160"/>
          </w:tcPr>
          <w:p>
            <w:r>
              <w:t>Mise à jour Java</w:t>
            </w:r>
          </w:p>
        </w:tc>
        <w:tc>
          <w:tcPr>
            <w:tcW w:type="dxa" w:w="2160"/>
          </w:tcPr>
          <w:p>
            <w:r>
              <w:t>Passage de Java 8 à Java 11</w:t>
            </w:r>
          </w:p>
        </w:tc>
        <w:tc>
          <w:tcPr>
            <w:tcW w:type="dxa" w:w="2160"/>
          </w:tcPr>
          <w:p>
            <w:r>
              <w:t>209, 109, 309, 409</w:t>
            </w:r>
          </w:p>
        </w:tc>
        <w:tc>
          <w:tcPr>
            <w:tcW w:type="dxa" w:w="2160"/>
          </w:tcPr>
          <w:p>
            <w:r>
              <w:t>Réalisé</w:t>
            </w:r>
          </w:p>
        </w:tc>
      </w:tr>
      <w:tr>
        <w:tc>
          <w:tcPr>
            <w:tcW w:type="dxa" w:w="2160"/>
          </w:tcPr>
          <w:p>
            <w:r>
              <w:t>Mise à jour Apache Tomcat</w:t>
            </w:r>
          </w:p>
        </w:tc>
        <w:tc>
          <w:tcPr>
            <w:tcW w:type="dxa" w:w="2160"/>
          </w:tcPr>
          <w:p>
            <w:r>
              <w:t>De la version 9.0.72 à 9.0.102 (Mars 2025)</w:t>
            </w:r>
          </w:p>
        </w:tc>
        <w:tc>
          <w:tcPr>
            <w:tcW w:type="dxa" w:w="2160"/>
          </w:tcPr>
          <w:p>
            <w:r>
              <w:t>109, 209, 409</w:t>
            </w:r>
          </w:p>
        </w:tc>
        <w:tc>
          <w:tcPr>
            <w:tcW w:type="dxa" w:w="2160"/>
          </w:tcPr>
          <w:p>
            <w:r>
              <w:t>Réalisé</w:t>
            </w:r>
          </w:p>
        </w:tc>
      </w:tr>
      <w:tr>
        <w:tc>
          <w:tcPr>
            <w:tcW w:type="dxa" w:w="2160"/>
          </w:tcPr>
          <w:p>
            <w:r>
              <w:t>Nettoyage des anciennes versions</w:t>
            </w:r>
          </w:p>
        </w:tc>
        <w:tc>
          <w:tcPr>
            <w:tcW w:type="dxa" w:w="2160"/>
          </w:tcPr>
          <w:p>
            <w:r>
              <w:t>Externalisation des versions obsolètes avec Mehdi</w:t>
            </w:r>
          </w:p>
        </w:tc>
        <w:tc>
          <w:tcPr>
            <w:tcW w:type="dxa" w:w="2160"/>
          </w:tcPr>
          <w:p>
            <w:r>
              <w:t>Tous les serveurs</w:t>
            </w:r>
          </w:p>
        </w:tc>
        <w:tc>
          <w:tcPr>
            <w:tcW w:type="dxa" w:w="2160"/>
          </w:tcPr>
          <w:p>
            <w:r>
              <w:t>En cours</w:t>
            </w:r>
          </w:p>
        </w:tc>
      </w:tr>
      <w:tr>
        <w:tc>
          <w:tcPr>
            <w:tcW w:type="dxa" w:w="2160"/>
          </w:tcPr>
          <w:p>
            <w:r>
              <w:t>Migration base de données</w:t>
            </w:r>
          </w:p>
        </w:tc>
        <w:tc>
          <w:tcPr>
            <w:tcW w:type="dxa" w:w="2160"/>
          </w:tcPr>
          <w:p>
            <w:r>
              <w:t>Passage de la version 19c à 21c.3.0.0 pour combler les vulnérabilités</w:t>
            </w:r>
          </w:p>
        </w:tc>
        <w:tc>
          <w:tcPr>
            <w:tcW w:type="dxa" w:w="2160"/>
          </w:tcPr>
          <w:p>
            <w:r>
              <w:t>[à compléter]</w:t>
            </w:r>
          </w:p>
        </w:tc>
        <w:tc>
          <w:tcPr>
            <w:tcW w:type="dxa" w:w="2160"/>
          </w:tcPr>
          <w:p>
            <w:r>
              <w:t>En cours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