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2F6B54"/>
          <w:spacing w:val="16"/>
          <w:sz w:val="15"/>
          <w:szCs w:val="15"/>
        </w:rPr>
        <w:t xml:space="preserve">EMFULENI REVENUE RECONCILIATION  ·  PROJECT PLANNING</w:t>
      </w:r>
    </w:p>
    <w:p>
      <w:pPr>
        <w:spacing w:after="40"/>
      </w:pPr>
      <w:r>
        <w:rPr>
          <w:rFonts w:ascii="Arial" w:cs="Arial" w:eastAsia="Arial" w:hAnsi="Arial"/>
          <w:b/>
          <w:bCs/>
          <w:color w:val="1A1814"/>
          <w:sz w:val="32"/>
          <w:szCs w:val="32"/>
        </w:rPr>
        <w:t xml:space="preserve">Phase 1 — What the First-Phase Solution Is</w:t>
      </w:r>
    </w:p>
    <w:p>
      <w:pPr>
        <w:pBdr>
          <w:bottom w:val="single" w:color="1A1814" w:sz="12" w:space="2"/>
        </w:pBdr>
        <w:spacing w:after="60"/>
      </w:pPr>
      <w:r>
        <w:rPr>
          <w:rFonts w:ascii="Arial" w:cs="Arial" w:eastAsia="Arial" w:hAnsi="Arial"/>
          <w:i/>
          <w:iCs/>
          <w:color w:val="4A463E"/>
          <w:sz w:val="19"/>
          <w:szCs w:val="19"/>
        </w:rPr>
        <w:t xml:space="preserve">A reconciliation-and-accuracy layer for Emfuleni’s Finance Cluster — scope, contents, and entry path.</w:t>
      </w:r>
    </w:p>
    <w:p>
      <w:pPr>
        <w:spacing w:after="110" w:before="40"/>
      </w:pPr>
      <w:r>
        <w:rPr>
          <w:rFonts w:ascii="Arial" w:cs="Arial" w:eastAsia="Arial" w:hAnsi="Arial"/>
          <w:color w:val="8A6D24"/>
          <w:spacing w:val="6"/>
          <w:sz w:val="16"/>
          <w:szCs w:val="16"/>
        </w:rPr>
        <w:t xml:space="preserve">Internal planning summary  ·  Drawn from the Emfuleni IDP 2026/27 analysis  ·  May 2026</w:t>
      </w:r>
    </w:p>
    <w:p>
      <w:pPr>
        <w:spacing w:after="22" w:before="52"/>
      </w:pPr>
      <w:r>
        <w:rPr>
          <w:rFonts w:ascii="Arial" w:cs="Arial" w:eastAsia="Arial" w:hAnsi="Arial"/>
          <w:b/>
          <w:bCs/>
          <w:color w:val="2F6B54"/>
          <w:spacing w:val="14"/>
          <w:sz w:val="16"/>
          <w:szCs w:val="16"/>
        </w:rPr>
        <w:t xml:space="preserve">01  ·  THE SOLUTION, IN ONE PARAGRAPH</w:t>
      </w:r>
    </w:p>
    <w:p>
      <w:pPr>
        <w:pBdr>
          <w:bottom w:val="single" w:color="CDC7B5" w:sz="6" w:space="2"/>
        </w:pBdr>
        <w:spacing w:after="44" w:before="12"/>
      </w:pPr>
      <w:r>
        <w:rPr>
          <w:rFonts w:ascii="Arial" w:cs="Arial" w:eastAsia="Arial" w:hAnsi="Arial"/>
          <w:b/>
          <w:bCs/>
          <w:color w:val="1A1814"/>
          <w:sz w:val="24"/>
          <w:szCs w:val="24"/>
        </w:rPr>
        <w:t xml:space="preserve">What we are building</w:t>
      </w:r>
    </w:p>
    <w:p>
      <w:pPr>
        <w:spacing w:after="34" w:line="228"/>
      </w:pPr>
      <w:r>
        <w:rPr>
          <w:rFonts w:ascii="Arial" w:cs="Arial" w:eastAsia="Arial" w:hAnsi="Arial"/>
          <w:color w:val="4A463E"/>
          <w:sz w:val="19"/>
          <w:szCs w:val="19"/>
        </w:rPr>
        <w:t xml:space="preserve">Emfuleni’s billing engine is mSCOA-compliant and functional — it is not broken and we are </w:t>
      </w:r>
      <w:r>
        <w:rPr>
          <w:rFonts w:ascii="Arial" w:cs="Arial" w:eastAsia="Arial" w:hAnsi="Arial"/>
          <w:b/>
          <w:bCs/>
          <w:color w:val="1A1814"/>
          <w:sz w:val="19"/>
          <w:szCs w:val="19"/>
        </w:rPr>
        <w:t xml:space="preserve">not replacing it</w:t>
      </w:r>
      <w:r>
        <w:rPr>
          <w:rFonts w:ascii="Arial" w:cs="Arial" w:eastAsia="Arial" w:hAnsi="Arial"/>
          <w:color w:val="4A463E"/>
          <w:sz w:val="19"/>
          <w:szCs w:val="19"/>
        </w:rPr>
        <w:t xml:space="preserve">. It bills inaccurately because it is out of sync with the property registers. The Phase 1 solution is an </w:t>
      </w:r>
      <w:r>
        <w:rPr>
          <w:rFonts w:ascii="Arial" w:cs="Arial" w:eastAsia="Arial" w:hAnsi="Arial"/>
          <w:b/>
          <w:bCs/>
          <w:color w:val="1A1814"/>
          <w:sz w:val="19"/>
          <w:szCs w:val="19"/>
        </w:rPr>
        <w:t xml:space="preserve">accuracy-and-reconciliation layer that sits beside the billing engine</w:t>
      </w:r>
      <w:r>
        <w:rPr>
          <w:rFonts w:ascii="Arial" w:cs="Arial" w:eastAsia="Arial" w:hAnsi="Arial"/>
          <w:color w:val="4A463E"/>
          <w:sz w:val="19"/>
          <w:szCs w:val="19"/>
        </w:rPr>
        <w:t xml:space="preserve">: it cross-reads four property registers, detects where they disagree, attaches a rand value and a statutory ground to each discrepancy, and routes it for correction. The customer is the </w:t>
      </w:r>
      <w:r>
        <w:rPr>
          <w:rFonts w:ascii="Arial" w:cs="Arial" w:eastAsia="Arial" w:hAnsi="Arial"/>
          <w:b/>
          <w:bCs/>
          <w:color w:val="1A1814"/>
          <w:sz w:val="19"/>
          <w:szCs w:val="19"/>
        </w:rPr>
        <w:t xml:space="preserve">Finance Cluster</w:t>
      </w:r>
      <w:r>
        <w:rPr>
          <w:rFonts w:ascii="Arial" w:cs="Arial" w:eastAsia="Arial" w:hAnsi="Arial"/>
          <w:color w:val="4A463E"/>
          <w:sz w:val="19"/>
          <w:szCs w:val="19"/>
        </w:rPr>
        <w:t xml:space="preserve"> — not the Vaal Central Water Utility — and the SPV transition on 1 July 2026 enlarges this problem rather than removing it.</w:t>
      </w:r>
    </w:p>
    <w:p>
      <w:pPr>
        <w:spacing w:after="22" w:before="52"/>
      </w:pPr>
      <w:r>
        <w:rPr>
          <w:rFonts w:ascii="Arial" w:cs="Arial" w:eastAsia="Arial" w:hAnsi="Arial"/>
          <w:b/>
          <w:bCs/>
          <w:color w:val="2F6B54"/>
          <w:spacing w:val="14"/>
          <w:sz w:val="16"/>
          <w:szCs w:val="16"/>
        </w:rPr>
        <w:t xml:space="preserve">02  ·  PHASE 1 SCOPE — DELIBERATELY NARROW</w:t>
      </w:r>
    </w:p>
    <w:p>
      <w:pPr>
        <w:pBdr>
          <w:bottom w:val="single" w:color="CDC7B5" w:sz="6" w:space="2"/>
        </w:pBdr>
        <w:spacing w:after="44" w:before="12"/>
      </w:pPr>
      <w:r>
        <w:rPr>
          <w:rFonts w:ascii="Arial" w:cs="Arial" w:eastAsia="Arial" w:hAnsi="Arial"/>
          <w:b/>
          <w:bCs/>
          <w:color w:val="1A1814"/>
          <w:sz w:val="24"/>
          <w:szCs w:val="24"/>
        </w:rPr>
        <w:t xml:space="preserve">The wedge: a reconciliation engine plus a light correction workflow</w:t>
      </w:r>
    </w:p>
    <w:p>
      <w:pPr>
        <w:spacing w:after="38" w:line="228"/>
      </w:pPr>
      <w:r>
        <w:rPr>
          <w:rFonts w:ascii="Arial" w:cs="Arial" w:eastAsia="Arial" w:hAnsi="Arial"/>
          <w:color w:val="4A463E"/>
          <w:sz w:val="19"/>
          <w:szCs w:val="19"/>
        </w:rPr>
        <w:t xml:space="preserve">Two components only. The </w:t>
      </w:r>
      <w:r>
        <w:rPr>
          <w:rFonts w:ascii="Arial" w:cs="Arial" w:eastAsia="Arial" w:hAnsi="Arial"/>
          <w:b/>
          <w:bCs/>
          <w:color w:val="1A1814"/>
          <w:sz w:val="19"/>
          <w:szCs w:val="19"/>
        </w:rPr>
        <w:t xml:space="preserve">reconciliation engine</w:t>
      </w:r>
      <w:r>
        <w:rPr>
          <w:rFonts w:ascii="Arial" w:cs="Arial" w:eastAsia="Arial" w:hAnsi="Arial"/>
          <w:color w:val="4A463E"/>
          <w:sz w:val="19"/>
          <w:szCs w:val="19"/>
        </w:rPr>
        <w:t xml:space="preserve"> finds the discrepancies; a </w:t>
      </w:r>
      <w:r>
        <w:rPr>
          <w:rFonts w:ascii="Arial" w:cs="Arial" w:eastAsia="Arial" w:hAnsi="Arial"/>
          <w:b/>
          <w:bCs/>
          <w:color w:val="1A1814"/>
          <w:sz w:val="19"/>
          <w:szCs w:val="19"/>
        </w:rPr>
        <w:t xml:space="preserve">lightweight correction workflow</w:t>
      </w:r>
      <w:r>
        <w:rPr>
          <w:rFonts w:ascii="Arial" w:cs="Arial" w:eastAsia="Arial" w:hAnsi="Arial"/>
          <w:color w:val="4A463E"/>
          <w:sz w:val="19"/>
          <w:szCs w:val="19"/>
        </w:rPr>
        <w:t xml:space="preserve"> is how a clerk actions them. One produces evidence, the other produces resolution. Everything else — resident portal, WhatsApp, USSD, payments, field app — is Phase 2 or later and is excluded here. Build only what this phase requires.</w:t>
      </w:r>
    </w:p>
    <w:p>
      <w:pPr>
        <w:spacing w:after="22" w:before="52"/>
      </w:pPr>
      <w:r>
        <w:rPr>
          <w:rFonts w:ascii="Arial" w:cs="Arial" w:eastAsia="Arial" w:hAnsi="Arial"/>
          <w:b/>
          <w:bCs/>
          <w:color w:val="2F6B54"/>
          <w:spacing w:val="14"/>
          <w:sz w:val="16"/>
          <w:szCs w:val="16"/>
        </w:rPr>
        <w:t xml:space="preserve">03  ·  LOAD-BEARING CONTENTS OF PHASE 1</w:t>
      </w:r>
    </w:p>
    <w:p>
      <w:pPr>
        <w:pBdr>
          <w:bottom w:val="single" w:color="CDC7B5" w:sz="6" w:space="2"/>
        </w:pBdr>
        <w:spacing w:after="44" w:before="12"/>
      </w:pPr>
      <w:r>
        <w:rPr>
          <w:rFonts w:ascii="Arial" w:cs="Arial" w:eastAsia="Arial" w:hAnsi="Arial"/>
          <w:b/>
          <w:bCs/>
          <w:color w:val="1A1814"/>
          <w:sz w:val="24"/>
          <w:szCs w:val="24"/>
        </w:rPr>
        <w:t xml:space="preserve">Every element below is essential, not optional</w:t>
      </w:r>
    </w:p>
    <w:p>
      <w:pPr>
        <w:spacing w:after="18" w:line="228"/>
      </w:pPr>
      <w:r>
        <w:rPr>
          <w:rFonts w:ascii="Arial" w:cs="Arial" w:eastAsia="Arial" w:hAnsi="Arial"/>
          <w:b/>
          <w:bCs/>
          <w:color w:val="1A1814"/>
          <w:sz w:val="19"/>
          <w:szCs w:val="19"/>
        </w:rPr>
        <w:t xml:space="preserve">The reconciliation engine.</w:t>
      </w:r>
    </w:p>
    <w:p>
      <w:pPr>
        <w:pStyle w:val="ListParagraph"/>
        <w:numPr>
          <w:ilvl w:val="0"/>
          <w:numId w:val="2"/>
        </w:numPr>
        <w:spacing w:after="16" w:line="222"/>
      </w:pPr>
      <w:r>
        <w:rPr>
          <w:rFonts w:ascii="Arial" w:cs="Arial" w:eastAsia="Arial" w:hAnsi="Arial"/>
          <w:color w:val="4A463E"/>
          <w:sz w:val="19"/>
          <w:szCs w:val="19"/>
        </w:rPr>
        <w:t xml:space="preserve">Ingests four registers and matches records by property, using the cadastral </w:t>
      </w:r>
      <w:r>
        <w:rPr>
          <w:rFonts w:ascii="Arial" w:cs="Arial" w:eastAsia="Arial" w:hAnsi="Arial"/>
          <w:b/>
          <w:bCs/>
          <w:color w:val="1A1814"/>
          <w:sz w:val="19"/>
          <w:szCs w:val="19"/>
        </w:rPr>
        <w:t xml:space="preserve">Land Parcel Identifier</w:t>
      </w:r>
      <w:r>
        <w:rPr>
          <w:rFonts w:ascii="Arial" w:cs="Arial" w:eastAsia="Arial" w:hAnsi="Arial"/>
          <w:color w:val="4A463E"/>
          <w:sz w:val="19"/>
          <w:szCs w:val="19"/>
        </w:rPr>
        <w:t xml:space="preserve"> as the join key.</w:t>
      </w:r>
    </w:p>
    <w:p>
      <w:pPr>
        <w:pStyle w:val="ListParagraph"/>
        <w:numPr>
          <w:ilvl w:val="0"/>
          <w:numId w:val="2"/>
        </w:numPr>
        <w:spacing w:after="16" w:line="222"/>
      </w:pPr>
      <w:r>
        <w:rPr>
          <w:rFonts w:ascii="Arial" w:cs="Arial" w:eastAsia="Arial" w:hAnsi="Arial"/>
          <w:color w:val="4A463E"/>
          <w:sz w:val="19"/>
          <w:szCs w:val="19"/>
        </w:rPr>
        <w:t xml:space="preserve">Flags each discrepancy by type, conflicting values, rand impact, and statutory ground (MPRA, Municipal Systems Act).</w:t>
      </w:r>
    </w:p>
    <w:p>
      <w:pPr>
        <w:spacing w:after="18" w:line="228"/>
      </w:pPr>
      <w:r>
        <w:rPr>
          <w:rFonts w:ascii="Arial" w:cs="Arial" w:eastAsia="Arial" w:hAnsi="Arial"/>
          <w:b/>
          <w:bCs/>
          <w:color w:val="1A1814"/>
          <w:sz w:val="19"/>
          <w:szCs w:val="19"/>
        </w:rPr>
        <w:t xml:space="preserve">The five discrepancy archetypes it must detect — these define “done”:</w:t>
      </w:r>
    </w:p>
    <w:p>
      <w:pPr>
        <w:pStyle w:val="ListParagraph"/>
        <w:numPr>
          <w:ilvl w:val="0"/>
          <w:numId w:val="2"/>
        </w:numPr>
        <w:spacing w:after="16" w:line="222"/>
      </w:pPr>
      <w:r>
        <w:rPr>
          <w:rFonts w:ascii="Arial" w:cs="Arial" w:eastAsia="Arial" w:hAnsi="Arial"/>
          <w:color w:val="4A463E"/>
          <w:sz w:val="19"/>
          <w:szCs w:val="19"/>
        </w:rPr>
        <w:t xml:space="preserve">Property on the valuation roll but </w:t>
      </w:r>
      <w:r>
        <w:rPr>
          <w:rFonts w:ascii="Arial" w:cs="Arial" w:eastAsia="Arial" w:hAnsi="Arial"/>
          <w:b/>
          <w:bCs/>
          <w:color w:val="1A1814"/>
          <w:sz w:val="19"/>
          <w:szCs w:val="19"/>
        </w:rPr>
        <w:t xml:space="preserve">absent from billing</w:t>
      </w:r>
      <w:r>
        <w:rPr>
          <w:rFonts w:ascii="Arial" w:cs="Arial" w:eastAsia="Arial" w:hAnsi="Arial"/>
          <w:color w:val="4A463E"/>
          <w:sz w:val="19"/>
          <w:szCs w:val="19"/>
        </w:rPr>
        <w:t xml:space="preserve"> — pure lost revenue.</w:t>
      </w:r>
    </w:p>
    <w:p>
      <w:pPr>
        <w:pStyle w:val="ListParagraph"/>
        <w:numPr>
          <w:ilvl w:val="0"/>
          <w:numId w:val="2"/>
        </w:numPr>
        <w:spacing w:after="16" w:line="222"/>
      </w:pPr>
      <w:r>
        <w:rPr>
          <w:rFonts w:ascii="Arial" w:cs="Arial" w:eastAsia="Arial" w:hAnsi="Arial"/>
          <w:color w:val="4A463E"/>
          <w:sz w:val="19"/>
          <w:szCs w:val="19"/>
        </w:rPr>
        <w:t xml:space="preserve">Tariff misclassification — billed residential, valued or used as business.</w:t>
      </w:r>
    </w:p>
    <w:p>
      <w:pPr>
        <w:pStyle w:val="ListParagraph"/>
        <w:numPr>
          <w:ilvl w:val="0"/>
          <w:numId w:val="2"/>
        </w:numPr>
        <w:spacing w:after="16" w:line="222"/>
      </w:pPr>
      <w:r>
        <w:rPr>
          <w:rFonts w:ascii="Arial" w:cs="Arial" w:eastAsia="Arial" w:hAnsi="Arial"/>
          <w:color w:val="4A463E"/>
          <w:sz w:val="19"/>
          <w:szCs w:val="19"/>
        </w:rPr>
        <w:t xml:space="preserve">Meter reading contradicting billed consumption, or an estimate past the six-month legal cap.</w:t>
      </w:r>
    </w:p>
    <w:p>
      <w:pPr>
        <w:pStyle w:val="ListParagraph"/>
        <w:numPr>
          <w:ilvl w:val="0"/>
          <w:numId w:val="2"/>
        </w:numPr>
        <w:spacing w:after="16" w:line="222"/>
      </w:pPr>
      <w:r>
        <w:rPr>
          <w:rFonts w:ascii="Arial" w:cs="Arial" w:eastAsia="Arial" w:hAnsi="Arial"/>
          <w:color w:val="4A463E"/>
          <w:sz w:val="19"/>
          <w:szCs w:val="19"/>
        </w:rPr>
        <w:t xml:space="preserve">Account billed to a stale or wrong owner — arrears stranded on a non-owner.</w:t>
      </w:r>
    </w:p>
    <w:p>
      <w:pPr>
        <w:pStyle w:val="ListParagraph"/>
        <w:numPr>
          <w:ilvl w:val="0"/>
          <w:numId w:val="2"/>
        </w:numPr>
        <w:spacing w:after="16" w:line="222"/>
      </w:pPr>
      <w:r>
        <w:rPr>
          <w:rFonts w:ascii="Arial" w:cs="Arial" w:eastAsia="Arial" w:hAnsi="Arial"/>
          <w:color w:val="4A463E"/>
          <w:sz w:val="19"/>
          <w:szCs w:val="19"/>
        </w:rPr>
        <w:t xml:space="preserve">Duplicate or orphaned account — revenue-neutral but a debtor-book and audit fix.</w:t>
      </w:r>
    </w:p>
    <w:p>
      <w:pPr>
        <w:spacing w:after="18" w:line="228"/>
      </w:pPr>
      <w:r>
        <w:rPr>
          <w:rFonts w:ascii="Arial" w:cs="Arial" w:eastAsia="Arial" w:hAnsi="Arial"/>
          <w:b/>
          <w:bCs/>
          <w:color w:val="1A1814"/>
          <w:sz w:val="19"/>
          <w:szCs w:val="19"/>
        </w:rPr>
        <w:t xml:space="preserve">Data ingestion assumption.</w:t>
      </w:r>
    </w:p>
    <w:p>
      <w:pPr>
        <w:pStyle w:val="ListParagraph"/>
        <w:numPr>
          <w:ilvl w:val="0"/>
          <w:numId w:val="2"/>
        </w:numPr>
        <w:spacing w:after="16" w:line="222"/>
      </w:pPr>
      <w:r>
        <w:rPr>
          <w:rFonts w:ascii="Arial" w:cs="Arial" w:eastAsia="Arial" w:hAnsi="Arial"/>
          <w:color w:val="4A463E"/>
          <w:sz w:val="19"/>
          <w:szCs w:val="19"/>
        </w:rPr>
        <w:t xml:space="preserve">Monthly file extracts (CSV) over SFTP — not a live API. Design for messy, partial, format-drifting inputs.</w:t>
      </w:r>
    </w:p>
    <w:p>
      <w:pPr>
        <w:spacing w:after="18" w:line="228"/>
      </w:pPr>
      <w:r>
        <w:rPr>
          <w:rFonts w:ascii="Arial" w:cs="Arial" w:eastAsia="Arial" w:hAnsi="Arial"/>
          <w:b/>
          <w:bCs/>
          <w:color w:val="1A1814"/>
          <w:sz w:val="19"/>
          <w:szCs w:val="19"/>
        </w:rPr>
        <w:t xml:space="preserve">The CFO-facing dashboard.</w:t>
      </w:r>
    </w:p>
    <w:p>
      <w:pPr>
        <w:pStyle w:val="ListParagraph"/>
        <w:numPr>
          <w:ilvl w:val="0"/>
          <w:numId w:val="2"/>
        </w:numPr>
        <w:spacing w:after="16" w:line="222"/>
      </w:pPr>
      <w:r>
        <w:rPr>
          <w:rFonts w:ascii="Arial" w:cs="Arial" w:eastAsia="Arial" w:hAnsi="Arial"/>
          <w:color w:val="4A463E"/>
          <w:sz w:val="19"/>
          <w:szCs w:val="19"/>
        </w:rPr>
        <w:t xml:space="preserve">Speaks only in rands, properties, and recoverable revenue — never schemas, joins, or match scores.</w:t>
      </w:r>
    </w:p>
    <w:p>
      <w:pPr>
        <w:pStyle w:val="ListParagraph"/>
        <w:numPr>
          <w:ilvl w:val="0"/>
          <w:numId w:val="2"/>
        </w:numPr>
        <w:spacing w:after="16" w:line="222"/>
      </w:pPr>
      <w:r>
        <w:rPr>
          <w:rFonts w:ascii="Arial" w:cs="Arial" w:eastAsia="Arial" w:hAnsi="Arial"/>
          <w:color w:val="4A463E"/>
          <w:sz w:val="19"/>
          <w:szCs w:val="19"/>
        </w:rPr>
        <w:t xml:space="preserve">Opens on an aggregate recoverable-revenue headline; drills into any property to show conflicting sources side by side, the correction, and the statutory basis. Self-explanatory, no walkthrough.</w:t>
      </w:r>
    </w:p>
    <w:p>
      <w:pPr>
        <w:spacing w:after="18" w:line="228"/>
      </w:pPr>
      <w:r>
        <w:rPr>
          <w:rFonts w:ascii="Arial" w:cs="Arial" w:eastAsia="Arial" w:hAnsi="Arial"/>
          <w:b/>
          <w:bCs/>
          <w:color w:val="1A1814"/>
          <w:sz w:val="19"/>
          <w:szCs w:val="19"/>
        </w:rPr>
        <w:t xml:space="preserve">The proof-of-concept, built on self-sourced data.</w:t>
      </w:r>
    </w:p>
    <w:p>
      <w:pPr>
        <w:pStyle w:val="ListParagraph"/>
        <w:numPr>
          <w:ilvl w:val="0"/>
          <w:numId w:val="2"/>
        </w:numPr>
        <w:spacing w:after="16" w:line="222"/>
      </w:pPr>
      <w:r>
        <w:rPr>
          <w:rFonts w:ascii="Arial" w:cs="Arial" w:eastAsia="Arial" w:hAnsi="Arial"/>
          <w:color w:val="4A463E"/>
          <w:sz w:val="19"/>
          <w:szCs w:val="19"/>
        </w:rPr>
        <w:t xml:space="preserve">Three of the four registers are obtainable now without the municipality — valuation roll (public), cadastre (open service), Deeds Office (paid). Build the demo on these for one or two test suburbs, with synthetic billing data standing in for the one locked source.</w:t>
      </w:r>
    </w:p>
    <w:p>
      <w:pPr>
        <w:spacing w:after="22" w:before="52"/>
      </w:pPr>
      <w:r>
        <w:rPr>
          <w:rFonts w:ascii="Arial" w:cs="Arial" w:eastAsia="Arial" w:hAnsi="Arial"/>
          <w:b/>
          <w:bCs/>
          <w:color w:val="2F6B54"/>
          <w:spacing w:val="14"/>
          <w:sz w:val="16"/>
          <w:szCs w:val="16"/>
        </w:rPr>
        <w:t xml:space="preserve">04  ·  COMMERCIAL MODEL AND ENTRY PATH</w:t>
      </w:r>
    </w:p>
    <w:p>
      <w:pPr>
        <w:pBdr>
          <w:bottom w:val="single" w:color="CDC7B5" w:sz="6" w:space="2"/>
        </w:pBdr>
        <w:spacing w:after="44" w:before="12"/>
      </w:pPr>
      <w:r>
        <w:rPr>
          <w:rFonts w:ascii="Arial" w:cs="Arial" w:eastAsia="Arial" w:hAnsi="Arial"/>
          <w:b/>
          <w:bCs/>
          <w:color w:val="1A1814"/>
          <w:sz w:val="24"/>
          <w:szCs w:val="24"/>
        </w:rPr>
        <w:t xml:space="preserve">How it gets paid for, and how we get in</w:t>
      </w:r>
    </w:p>
    <w:p>
      <w:pPr>
        <w:pStyle w:val="ListParagraph"/>
        <w:numPr>
          <w:ilvl w:val="0"/>
          <w:numId w:val="2"/>
        </w:numPr>
        <w:spacing w:after="16" w:line="222"/>
      </w:pPr>
      <w:r>
        <w:rPr>
          <w:rFonts w:ascii="Arial" w:cs="Arial" w:eastAsia="Arial" w:hAnsi="Arial"/>
          <w:b/>
          <w:bCs/>
          <w:color w:val="1A1814"/>
          <w:sz w:val="19"/>
          <w:szCs w:val="19"/>
        </w:rPr>
        <w:t xml:space="preserve">Lead commercial model: </w:t>
      </w:r>
      <w:r>
        <w:rPr>
          <w:rFonts w:ascii="Arial" w:cs="Arial" w:eastAsia="Arial" w:hAnsi="Arial"/>
          <w:color w:val="4A463E"/>
          <w:sz w:val="19"/>
          <w:szCs w:val="19"/>
        </w:rPr>
        <w:t xml:space="preserve">outcome-based — a share of incremental collection above an agreed baseline. Aligns with the IDP’s stated priority and bypasses the “no budget” objection. Fees and licensing come later.</w:t>
      </w:r>
    </w:p>
    <w:p>
      <w:pPr>
        <w:pStyle w:val="ListParagraph"/>
        <w:numPr>
          <w:ilvl w:val="0"/>
          <w:numId w:val="2"/>
        </w:numPr>
        <w:spacing w:after="16" w:line="222"/>
      </w:pPr>
      <w:r>
        <w:rPr>
          <w:rFonts w:ascii="Arial" w:cs="Arial" w:eastAsia="Arial" w:hAnsi="Arial"/>
          <w:b/>
          <w:bCs/>
          <w:color w:val="1A1814"/>
          <w:sz w:val="19"/>
          <w:szCs w:val="19"/>
        </w:rPr>
        <w:t xml:space="preserve">Entry path: </w:t>
      </w:r>
      <w:r>
        <w:rPr>
          <w:rFonts w:ascii="Arial" w:cs="Arial" w:eastAsia="Arial" w:hAnsi="Arial"/>
          <w:color w:val="4A463E"/>
          <w:sz w:val="19"/>
          <w:szCs w:val="19"/>
        </w:rPr>
        <w:t xml:space="preserve">a warm introduction to the CFO via the former-municipal-accountant contact; a need articulated and endorsed by the CFO; then the normal tender process. SALGA and CoGTA are lower-stress parallel routes.</w:t>
      </w:r>
    </w:p>
    <w:p>
      <w:pPr>
        <w:pStyle w:val="ListParagraph"/>
        <w:numPr>
          <w:ilvl w:val="0"/>
          <w:numId w:val="2"/>
        </w:numPr>
        <w:spacing w:after="16" w:line="222"/>
      </w:pPr>
      <w:r>
        <w:rPr>
          <w:rFonts w:ascii="Arial" w:cs="Arial" w:eastAsia="Arial" w:hAnsi="Arial"/>
          <w:b/>
          <w:bCs/>
          <w:color w:val="1A1814"/>
          <w:sz w:val="19"/>
          <w:szCs w:val="19"/>
        </w:rPr>
        <w:t xml:space="preserve">The ask is a pilot, not a sale — </w:t>
      </w:r>
      <w:r>
        <w:rPr>
          <w:rFonts w:ascii="Arial" w:cs="Arial" w:eastAsia="Arial" w:hAnsi="Arial"/>
          <w:color w:val="4A463E"/>
          <w:sz w:val="19"/>
          <w:szCs w:val="19"/>
        </w:rPr>
        <w:t xml:space="preserve">small fixed scope, roughly six months, agreed success metrics, low upfront cost. It has a faster procurement path and produces the reference customer.</w:t>
      </w:r>
    </w:p>
    <w:p>
      <w:pPr>
        <w:spacing w:after="22" w:before="52"/>
      </w:pPr>
      <w:r>
        <w:rPr>
          <w:rFonts w:ascii="Arial" w:cs="Arial" w:eastAsia="Arial" w:hAnsi="Arial"/>
          <w:b/>
          <w:bCs/>
          <w:color w:val="2F6B54"/>
          <w:spacing w:val="14"/>
          <w:sz w:val="16"/>
          <w:szCs w:val="16"/>
        </w:rPr>
        <w:t xml:space="preserve">05  ·  CONFIRM BEFORE BUILDING · HOLD THROUGHOUT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100"/>
        <w:gridCol w:w="6780"/>
      </w:tblGrid>
      <w:tr>
        <w:tc>
          <w:tcPr>
            <w:tcW w:type="dxa" w:w="3100"/>
            <w:tcBorders>
              <w:top w:val="single" w:color="CDC7B5" w:sz="2"/>
              <w:left w:val="single" w:color="CDC7B5" w:sz="2"/>
              <w:bottom w:val="single" w:color="CDC7B5" w:sz="2"/>
              <w:right w:val="single" w:color="CDC7B5" w:sz="2"/>
            </w:tcBorders>
            <w:shd w:fill="EDEADC" w:val="clear"/>
            <w:tcMar>
              <w:top w:type="dxa" w:w="40"/>
              <w:left w:type="dxa" w:w="120"/>
              <w:bottom w:type="dxa" w:w="40"/>
              <w:right w:type="dxa" w:w="120"/>
            </w:tcMar>
          </w:tcPr>
          <w:p>
            <w:r>
              <w:rPr>
                <w:rFonts w:ascii="Arial" w:cs="Arial" w:eastAsia="Arial" w:hAnsi="Arial"/>
                <w:b/>
                <w:bCs/>
                <w:color w:val="1D3F33"/>
                <w:sz w:val="18"/>
                <w:szCs w:val="18"/>
              </w:rPr>
              <w:t xml:space="preserve">Gating dependencies</w:t>
            </w:r>
          </w:p>
        </w:tc>
        <w:tc>
          <w:tcPr>
            <w:tcW w:type="dxa" w:w="6780"/>
            <w:tcBorders>
              <w:top w:val="single" w:color="CDC7B5" w:sz="2"/>
              <w:left w:val="single" w:color="CDC7B5" w:sz="2"/>
              <w:bottom w:val="single" w:color="CDC7B5" w:sz="2"/>
              <w:right w:val="single" w:color="CDC7B5" w:sz="2"/>
            </w:tcBorders>
            <w:shd w:fill="FBF9F2" w:val="clear"/>
            <w:tcMar>
              <w:top w:type="dxa" w:w="40"/>
              <w:left w:type="dxa" w:w="120"/>
              <w:bottom w:type="dxa" w:w="40"/>
              <w:right w:type="dxa" w:w="120"/>
            </w:tcMar>
          </w:tcPr>
          <w:p>
            <w:r>
              <w:rPr>
                <w:rFonts w:ascii="Arial" w:cs="Arial" w:eastAsia="Arial" w:hAnsi="Arial"/>
                <w:color w:val="4A463E"/>
                <w:sz w:val="18"/>
                <w:szCs w:val="18"/>
              </w:rPr>
              <w:t xml:space="preserve">Secure the CFO / Revenue sponsor (act on the warm intro now). Confirm the existing billing-system vendor, the scope of the May 2026 “Billing Viewer”, and the SPV Shareholder Agreement’s billing clause — before writing production code.</w:t>
            </w:r>
          </w:p>
        </w:tc>
      </w:tr>
      <w:tr>
        <w:tc>
          <w:tcPr>
            <w:tcW w:type="dxa" w:w="3100"/>
            <w:tcBorders>
              <w:top w:val="single" w:color="CDC7B5" w:sz="2"/>
              <w:left w:val="single" w:color="CDC7B5" w:sz="2"/>
              <w:bottom w:val="single" w:color="CDC7B5" w:sz="2"/>
              <w:right w:val="single" w:color="CDC7B5" w:sz="2"/>
            </w:tcBorders>
            <w:shd w:fill="EDEADC" w:val="clear"/>
            <w:tcMar>
              <w:top w:type="dxa" w:w="40"/>
              <w:left w:type="dxa" w:w="120"/>
              <w:bottom w:type="dxa" w:w="40"/>
              <w:right w:type="dxa" w:w="120"/>
            </w:tcMar>
          </w:tcPr>
          <w:p>
            <w:r>
              <w:rPr>
                <w:rFonts w:ascii="Arial" w:cs="Arial" w:eastAsia="Arial" w:hAnsi="Arial"/>
                <w:b/>
                <w:bCs/>
                <w:color w:val="1D3F33"/>
                <w:sz w:val="18"/>
                <w:szCs w:val="18"/>
              </w:rPr>
              <w:t xml:space="preserve">Discipline to hold</w:t>
            </w:r>
          </w:p>
        </w:tc>
        <w:tc>
          <w:tcPr>
            <w:tcW w:type="dxa" w:w="6780"/>
            <w:tcBorders>
              <w:top w:val="single" w:color="CDC7B5" w:sz="2"/>
              <w:left w:val="single" w:color="CDC7B5" w:sz="2"/>
              <w:bottom w:val="single" w:color="CDC7B5" w:sz="2"/>
              <w:right w:val="single" w:color="CDC7B5" w:sz="2"/>
            </w:tcBorders>
            <w:shd w:fill="FBF9F2" w:val="clear"/>
            <w:tcMar>
              <w:top w:type="dxa" w:w="40"/>
              <w:left w:type="dxa" w:w="120"/>
              <w:bottom w:type="dxa" w:w="40"/>
              <w:right w:type="dxa" w:w="120"/>
            </w:tcMar>
          </w:tcPr>
          <w:p>
            <w:r>
              <w:rPr>
                <w:rFonts w:ascii="Arial" w:cs="Arial" w:eastAsia="Arial" w:hAnsi="Arial"/>
                <w:color w:val="4A463E"/>
                <w:sz w:val="18"/>
                <w:szCs w:val="18"/>
              </w:rPr>
              <w:t xml:space="preserve">Do not extrapolate a citywide rand figure from a small sample — restraint reads as credible. The defensible citywide figure comes only once the pilot runs on real billing data. Document every meeting; keep commercial terms in writing; disclose conflicts of interest.</w:t>
            </w:r>
          </w:p>
        </w:tc>
      </w:tr>
    </w:tbl>
    <w:p>
      <w:pPr>
        <w:pBdr>
          <w:bottom w:val="single" w:color="1A1814" w:sz="8" w:space="2"/>
        </w:pBdr>
        <w:spacing w:after="0" w:before="60"/>
      </w:pPr>
      <w:r>
        <w:rPr>
          <w:sz w:val="4"/>
          <w:szCs w:val="4"/>
        </w:rPr>
        <w:t xml:space="preserve"> </w:t>
      </w:r>
    </w:p>
    <w:p>
      <w:pPr>
        <w:spacing w:before="60"/>
      </w:pPr>
      <w:r>
        <w:rPr>
          <w:rFonts w:ascii="Arial" w:cs="Arial" w:eastAsia="Arial" w:hAnsi="Arial"/>
          <w:i/>
          <w:iCs/>
          <w:color w:val="1A1814"/>
          <w:sz w:val="18"/>
          <w:szCs w:val="18"/>
        </w:rPr>
        <w:t xml:space="preserve">Bottom line — Phase 1 is a narrow reconciliation engine plus a light correction workflow, demoed as a CFO-facing dashboard, sold as an outcome-based pilot. The full multi-surface platform is the staged roadmap behind it.</w:t>
      </w:r>
    </w:p>
    <w:sectPr>
      <w:pgSz w:w="12240" w:h="15840" w:orient="portrait"/>
      <w:pgMar w:top="540" w:right="1160" w:bottom="46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2F6B5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2026-05-23T09:45:39.847Z</dcterms:created>
  <dcterms:modified xsi:type="dcterms:W3CDTF">2026-05-23T09:45:39.847Z</dcterms:modified>
</cp:coreProperties>
</file>

<file path=docProps/custom.xml><?xml version="1.0" encoding="utf-8"?>
<Properties xmlns="http://schemas.openxmlformats.org/officeDocument/2006/custom-properties" xmlns:vt="http://schemas.openxmlformats.org/officeDocument/2006/docPropsVTypes"/>
</file>