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4F8A" w:val="clear"/>
            <w:tcMar>
              <w:top w:type="dxa" w:w="80"/>
              <w:left w:type="dxa" w:w="140"/>
              <w:bottom w:type="dxa" w:w="80"/>
              <w:right w:type="dxa" w:w="140"/>
            </w:tcMar>
            <w:vAlign w:val="top"/>
          </w:tcPr>
          <w:p>
            <w:pPr>
              <w:spacing w:after="160" w:before="0"/>
              <w:jc w:val="center"/>
            </w:pPr>
            <w:r>
              <w:rPr>
                <w:rFonts w:ascii="Arial" w:cs="Arial" w:eastAsia="Arial" w:hAnsi="Arial"/>
                <w:b/>
                <w:bCs/>
                <w:color w:val="FFFFFF"/>
                <w:sz w:val="20"/>
                <w:szCs w:val="20"/>
              </w:rPr>
              <w:t xml:space="preserve">INTERNAL PROBLEM STATEMENT DOCUMENT</w:t>
            </w:r>
          </w:p>
          <w:p>
            <w:pPr>
              <w:spacing w:after="80" w:before="0"/>
              <w:jc w:val="center"/>
            </w:pPr>
            <w:r>
              <w:rPr>
                <w:rFonts w:ascii="Arial" w:cs="Arial" w:eastAsia="Arial" w:hAnsi="Arial"/>
                <w:b/>
                <w:bCs/>
                <w:color w:val="FFFFFF"/>
                <w:sz w:val="52"/>
                <w:szCs w:val="52"/>
              </w:rPr>
              <w:t xml:space="preserve">Emfuleni Local Municipality</w:t>
            </w:r>
          </w:p>
          <w:p>
            <w:pPr>
              <w:spacing w:after="240" w:before="0"/>
              <w:jc w:val="center"/>
            </w:pPr>
            <w:r>
              <w:rPr>
                <w:rFonts w:ascii="Arial" w:cs="Arial" w:eastAsia="Arial" w:hAnsi="Arial"/>
                <w:b w:val="false"/>
                <w:bCs w:val="false"/>
                <w:color w:val="D6E4F0"/>
                <w:sz w:val="44"/>
                <w:szCs w:val="44"/>
              </w:rPr>
              <w:t xml:space="preserve">Water Service &amp; Billing Crisis</w:t>
            </w:r>
          </w:p>
          <w:p>
            <w:pPr>
              <w:spacing w:after="320" w:before="0"/>
              <w:jc w:val="center"/>
            </w:pPr>
            <w:r>
              <w:rPr>
                <w:rFonts w:ascii="Arial" w:cs="Arial" w:eastAsia="Arial" w:hAnsi="Arial"/>
                <w:i/>
                <w:iCs/>
                <w:color w:val="B3CFEA"/>
                <w:sz w:val="24"/>
                <w:szCs w:val="24"/>
              </w:rPr>
              <w:t xml:space="preserve">Understanding the problem before we build the solution</w:t>
            </w:r>
          </w:p>
          <w:p>
            <w:pPr>
              <w:spacing w:after="0" w:before="0"/>
              <w:jc w:val="center"/>
            </w:pPr>
            <w:r>
              <w:rPr>
                <w:rFonts w:ascii="Arial" w:cs="Arial" w:eastAsia="Arial" w:hAnsi="Arial"/>
                <w:color w:val="B3CFEA"/>
                <w:sz w:val="20"/>
                <w:szCs w:val="20"/>
              </w:rPr>
              <w:t xml:space="preserve">Version 1.0  |  May 2026  |  For internal team use only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vAlign w:val="top"/>
          </w:tcPr>
          <w:p>
            <w:pPr>
              <w:spacing w:after="100" w:before="0"/>
              <w:jc w:val="left"/>
            </w:pPr>
            <w:r>
              <w:rPr>
                <w:rFonts w:ascii="Arial" w:cs="Arial" w:eastAsia="Arial" w:hAnsi="Arial"/>
                <w:b/>
                <w:bCs/>
                <w:color w:val="1B4F8A"/>
                <w:sz w:val="24"/>
                <w:szCs w:val="24"/>
              </w:rPr>
              <w:t xml:space="preserve">Purpose of this document</w:t>
            </w:r>
          </w:p>
          <w:p>
            <w:pPr>
              <w:pStyle w:val="ListParagraph"/>
              <w:numPr>
                <w:ilvl w:val="0"/>
                <w:numId w:val="2"/>
              </w:numPr>
              <w:spacing w:after="60" w:before="40"/>
            </w:pPr>
            <w:r>
              <w:rPr>
                <w:rFonts w:ascii="Arial" w:cs="Arial" w:eastAsia="Arial" w:hAnsi="Arial"/>
                <w:color w:val="1A1A1A"/>
                <w:sz w:val="22"/>
                <w:szCs w:val="22"/>
              </w:rPr>
              <w:t xml:space="preserve">This document is the shared foundation for our team — business and developers alike — before we write a single line of code or a single slide.</w:t>
            </w:r>
          </w:p>
          <w:p>
            <w:pPr>
              <w:pStyle w:val="ListParagraph"/>
              <w:numPr>
                <w:ilvl w:val="0"/>
                <w:numId w:val="2"/>
              </w:numPr>
              <w:spacing w:after="60" w:before="40"/>
            </w:pPr>
            <w:r>
              <w:rPr>
                <w:rFonts w:ascii="Arial" w:cs="Arial" w:eastAsia="Arial" w:hAnsi="Arial"/>
                <w:color w:val="1A1A1A"/>
                <w:sz w:val="22"/>
                <w:szCs w:val="22"/>
              </w:rPr>
              <w:t xml:space="preserve">It defines the real-world problem we are entering, where it occurs, why it persists, and what it is costing the municipality and its residents.</w:t>
            </w:r>
          </w:p>
          <w:p>
            <w:pPr>
              <w:pStyle w:val="ListParagraph"/>
              <w:numPr>
                <w:ilvl w:val="0"/>
                <w:numId w:val="2"/>
              </w:numPr>
              <w:spacing w:after="60" w:before="40"/>
            </w:pPr>
            <w:r>
              <w:rPr>
                <w:rFonts w:ascii="Arial" w:cs="Arial" w:eastAsia="Arial" w:hAnsi="Arial"/>
                <w:color w:val="1A1A1A"/>
                <w:sz w:val="22"/>
                <w:szCs w:val="22"/>
              </w:rPr>
              <w:t xml:space="preserve">Everything in the solution spec and the pitch deck that follows derives from this document. If you read nothing else, read this.</w:t>
            </w:r>
          </w:p>
        </w:tc>
      </w:tr>
    </w:tbl>
    <w:p>
      <w:r>
        <w:rPr>
          <w:sz w:val="22"/>
          <w:szCs w:val="22"/>
        </w:rPr>
        <w:t xml:space="preserve"/>
      </w:r>
    </w:p>
    <w:p>
      <w:pPr>
        <w:pStyle w:val="Heading1"/>
        <w:pBdr>
          <w:bottom w:val="single" w:color="2E75B6" w:sz="8" w:space="4"/>
        </w:pBdr>
        <w:spacing w:after="160" w:before="360"/>
      </w:pPr>
      <w:r>
        <w:rPr>
          <w:rFonts w:ascii="Arial" w:cs="Arial" w:eastAsia="Arial" w:hAnsi="Arial"/>
          <w:b/>
          <w:bCs/>
          <w:color w:val="1B4F8A"/>
          <w:sz w:val="36"/>
          <w:szCs w:val="36"/>
        </w:rPr>
        <w:t xml:space="preserve">1.  Context — Who and where</w:t>
      </w:r>
    </w:p>
    <w:p>
      <w:pPr>
        <w:pStyle w:val="Heading2"/>
        <w:spacing w:after="120" w:before="320"/>
      </w:pPr>
      <w:r>
        <w:rPr>
          <w:rFonts w:ascii="Arial" w:cs="Arial" w:eastAsia="Arial" w:hAnsi="Arial"/>
          <w:b/>
          <w:bCs/>
          <w:color w:val="2E75B6"/>
          <w:sz w:val="28"/>
          <w:szCs w:val="28"/>
        </w:rPr>
        <w:t xml:space="preserve">1.1  The municipality</w:t>
      </w:r>
    </w:p>
    <w:p>
      <w:pPr>
        <w:spacing w:after="120" w:before="60"/>
        <w:jc w:val="left"/>
      </w:pPr>
      <w:r>
        <w:rPr>
          <w:rFonts w:ascii="Arial" w:cs="Arial" w:eastAsia="Arial" w:hAnsi="Arial"/>
          <w:color w:val="1A1A1A"/>
          <w:sz w:val="22"/>
          <w:szCs w:val="22"/>
        </w:rPr>
        <w:t xml:space="preserve">Emfuleni Local Municipality covers Vereeniging, Vanderbijlpark, Sebokeng, Evaton, Sharpeville, Boipatong, and Bophelong in the southern part of Gauteng. It is the population centre of the Sedibeng District.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At a glance</w:t>
            </w:r>
          </w:p>
        </w:tc>
        <w:tc>
          <w:tcPr>
            <w:tcW w:type="dxa" w:w="716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Emfuleni by the numbers</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945,650</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Total population (Census 2022) — 79% of the entire Sedibeng District, on 23% of the land area</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297,910</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Total households — grown from 220,131 in 2011</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40%</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Unemployment rate — among the highest in Gauteng</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R9.6bn</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2025/26 draft municipal budget</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~75%</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Revenue collection rate — against a target of 80%+</w:t>
            </w:r>
          </w:p>
        </w:tc>
      </w:tr>
      <w:tr>
        <w:tc>
          <w:tcPr>
            <w:tcW w:type="dxa" w:w="220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b/>
                <w:bCs/>
                <w:color w:val="1B4F8A"/>
                <w:sz w:val="36"/>
                <w:szCs w:val="36"/>
              </w:rPr>
              <w:t xml:space="preserve">0.62–0.64</w:t>
            </w:r>
          </w:p>
        </w:tc>
        <w:tc>
          <w:tcPr>
            <w:tcW w:type="dxa" w:w="71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0" w:before="0"/>
              <w:jc w:val="left"/>
            </w:pPr>
            <w:r>
              <w:rPr>
                <w:rFonts w:ascii="Arial" w:cs="Arial" w:eastAsia="Arial" w:hAnsi="Arial"/>
                <w:color w:val="555555"/>
                <w:sz w:val="22"/>
                <w:szCs w:val="22"/>
              </w:rPr>
              <w:t xml:space="preserve">Gini coefficient — unchanged for a decade; severe persistent inequality</w:t>
            </w:r>
          </w:p>
        </w:tc>
      </w:tr>
    </w:tbl>
    <w:p>
      <w:r>
        <w:rPr>
          <w:sz w:val="22"/>
          <w:szCs w:val="22"/>
        </w:rPr>
        <w:t xml:space="preserve"/>
      </w:r>
    </w:p>
    <w:p>
      <w:pPr>
        <w:pStyle w:val="Heading2"/>
        <w:spacing w:after="120" w:before="320"/>
      </w:pPr>
      <w:r>
        <w:rPr>
          <w:rFonts w:ascii="Arial" w:cs="Arial" w:eastAsia="Arial" w:hAnsi="Arial"/>
          <w:b/>
          <w:bCs/>
          <w:color w:val="2E75B6"/>
          <w:sz w:val="28"/>
          <w:szCs w:val="28"/>
        </w:rPr>
        <w:t xml:space="preserve">1.2  The financial reality</w:t>
      </w:r>
    </w:p>
    <w:p>
      <w:pPr>
        <w:spacing w:after="120" w:before="60"/>
        <w:jc w:val="left"/>
      </w:pPr>
      <w:r>
        <w:rPr>
          <w:rFonts w:ascii="Arial" w:cs="Arial" w:eastAsia="Arial" w:hAnsi="Arial"/>
          <w:color w:val="1A1A1A"/>
          <w:sz w:val="22"/>
          <w:szCs w:val="22"/>
        </w:rPr>
        <w:t xml:space="preserve">Emfuleni is operating under a Financial Recovery Plan (FRP), approved by National Treasury and the Gauteng MEC for Finance in December 2024. This is not a routine planning document — it is a formal acknowledgement that the municipality is in financial distress.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22"/>
                <w:szCs w:val="22"/>
              </w:rPr>
              <w:t xml:space="preserve">Qualified audits</w:t>
            </w:r>
          </w:p>
        </w:tc>
        <w:tc>
          <w:tcPr>
            <w:tcW w:type="dxa" w:w="312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22"/>
                <w:szCs w:val="22"/>
              </w:rPr>
              <w:t xml:space="preserve">Unfunded budget</w:t>
            </w:r>
          </w:p>
        </w:tc>
        <w:tc>
          <w:tcPr>
            <w:tcW w:type="dxa" w:w="312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22"/>
                <w:szCs w:val="22"/>
              </w:rPr>
              <w:t xml:space="preserve">Debt write-off</w:t>
            </w:r>
          </w:p>
        </w:tc>
      </w:tr>
      <w:tr>
        <w:tc>
          <w:tcPr>
            <w:tcW w:type="dxa" w:w="3120"/>
            <w:tcBorders>
              <w:top w:val="single" w:color="D5D8DC" w:sz="1"/>
              <w:left w:val="single" w:color="D5D8DC" w:sz="1"/>
              <w:bottom w:val="single" w:color="D5D8DC" w:sz="1"/>
              <w:right w:val="single" w:color="D5D8DC" w:sz="1"/>
            </w:tcBorders>
            <w:shd w:fill="FDEDEC"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7 of the last 8 financial years received qualified audit opinions from the Auditor-General. Only 2020/21 was unqualified.</w:t>
            </w:r>
          </w:p>
        </w:tc>
        <w:tc>
          <w:tcPr>
            <w:tcW w:type="dxa" w:w="3120"/>
            <w:tcBorders>
              <w:top w:val="single" w:color="D5D8DC" w:sz="1"/>
              <w:left w:val="single" w:color="D5D8DC" w:sz="1"/>
              <w:bottom w:val="single" w:color="D5D8DC" w:sz="1"/>
              <w:right w:val="single" w:color="D5D8DC" w:sz="1"/>
            </w:tcBorders>
            <w:shd w:fill="FDEDEC"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Total expenditure consistently exceeds realistic revenue. The municipality cannot fully fund its own budget without grants.</w:t>
            </w:r>
          </w:p>
        </w:tc>
        <w:tc>
          <w:tcPr>
            <w:tcW w:type="dxa" w:w="3120"/>
            <w:tcBorders>
              <w:top w:val="single" w:color="D5D8DC" w:sz="1"/>
              <w:left w:val="single" w:color="D5D8DC" w:sz="1"/>
              <w:bottom w:val="single" w:color="D5D8DC" w:sz="1"/>
              <w:right w:val="single" w:color="D5D8DC" w:sz="1"/>
            </w:tcBorders>
            <w:shd w:fill="FDEDEC"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National Treasury approved a write-off of R1.97 billion in ring-fenced bulk electricity debt — a debt-relief measure, not a solved problem.</w:t>
            </w:r>
          </w:p>
        </w:tc>
      </w:tr>
    </w:tbl>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2.  The water problem — What is actually broken</w:t>
      </w:r>
    </w:p>
    <w:p>
      <w:pPr>
        <w:spacing w:after="120" w:before="60"/>
        <w:jc w:val="left"/>
      </w:pPr>
      <w:r>
        <w:rPr>
          <w:rFonts w:ascii="Arial" w:cs="Arial" w:eastAsia="Arial" w:hAnsi="Arial"/>
          <w:color w:val="1A1A1A"/>
          <w:sz w:val="22"/>
          <w:szCs w:val="22"/>
        </w:rPr>
        <w:t xml:space="preserve">Water is Emfuleni's most acute service-delivery crisis. The problem is not a single failure — it is a system of failures occurring simultaneously at multiple points in the water chain. Understanding each site is essential before we can position a solution.</w:t>
      </w:r>
    </w:p>
    <w:p>
      <w:r>
        <w:rPr>
          <w:sz w:val="22"/>
          <w:szCs w:val="22"/>
        </w:rPr>
        <w:t xml:space="preserve"/>
      </w:r>
    </w:p>
    <w:p>
      <w:pPr>
        <w:pStyle w:val="Heading2"/>
        <w:spacing w:after="120" w:before="320"/>
      </w:pPr>
      <w:r>
        <w:rPr>
          <w:rFonts w:ascii="Arial" w:cs="Arial" w:eastAsia="Arial" w:hAnsi="Arial"/>
          <w:b/>
          <w:bCs/>
          <w:color w:val="2E75B6"/>
          <w:sz w:val="28"/>
          <w:szCs w:val="28"/>
        </w:rPr>
        <w:t xml:space="preserve">2.1  The four sites of physical failure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Site</w:t>
            </w:r>
          </w:p>
        </w:tc>
        <w:tc>
          <w:tcPr>
            <w:tcW w:type="dxa" w:w="696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is broken and where</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Distribution network</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Aged, corroded pipes across Sebokeng, Evaton, Boipatong, Sharpeville, and Bophelong. Frequent burst mains, undetected leaks, and illegal connections tapping unmetered water. This is where the majority of the 56% water loss occurs — between the treatment works and the household tap.</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Pump stations</w:t>
            </w:r>
          </w:p>
        </w:tc>
        <w:tc>
          <w:tcPr>
            <w:tcW w:type="dxa" w:w="69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45 pump stations across the network. Before national intervention (Section 63), only a handful were operational. Non-functional pump stations create zero pressure in entire zones — whole communities lose supply unpredictably and intermittently. 41 of 45 have now been restored, but network pressure remains fragile.</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Wastewater treatment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Three plants: Leeuwkuil (36Ml/d), Rietspruit (36Ml/d), and Sebokeng (150Ml/d). All are at or beyond their design capacity. Raw sewage overflows into streets, homes, and the Vaal River — especially in Sebokeng and Evaton. Upgrade contracts are in progress (Rietspruit: 4-year contract; Sebokeng: still in procurement).</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Sewer reticulation</w:t>
            </w:r>
          </w:p>
        </w:tc>
        <w:tc>
          <w:tcPr>
            <w:tcW w:type="dxa" w:w="69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Underground sewer pipes collapsing and blocking across multiple wards. Foreign objects dumped into sewer lines accelerate blockages. Over 50 collapsed pipelines were replaced under Section 63, but the maintenance backlog far exceeds what has been addressed.</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Metering &amp; billing points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Faulty, broken, and non-functional meters mean consumption is estimated rather than measured. Estimated readings accumulate for months — sometimes exceeding the 6-month statutory limit — producing bills residents dispute and refuse to pay. This is where the physical water problem becomes a financial problem.</w:t>
            </w:r>
          </w:p>
        </w:tc>
      </w:tr>
      <w:tr>
        <w:tc>
          <w:tcPr>
            <w:tcW w:type="dxa" w:w="24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The water department itself</w:t>
            </w:r>
          </w:p>
        </w:tc>
        <w:tc>
          <w:tcPr>
            <w:tcW w:type="dxa" w:w="69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color w:val="1A1A1A"/>
                <w:sz w:val="21"/>
                <w:szCs w:val="21"/>
              </w:rPr>
              <w:t xml:space="preserve">Metsi-a-Lekoa, the municipal water department, had a 70% vacancy rate before national intervention. Critical technical roles — engineers, process controllers, artisans — were simply absent. No strategic maintenance planning occurred. Crews could only respond when systems had already failed. This is not an operational failure; it is an institutional one.</w:t>
            </w:r>
          </w:p>
        </w:tc>
      </w:tr>
    </w:tbl>
    <w:p>
      <w:r>
        <w:rPr>
          <w:sz w:val="22"/>
          <w:szCs w:val="22"/>
        </w:rPr>
        <w:t xml:space="preserve"/>
      </w:r>
    </w:p>
    <w:p>
      <w:r>
        <w:rPr>
          <w:sz w:val="22"/>
          <w:szCs w:val="22"/>
        </w:rPr>
        <w:t xml:space="preserve"/>
      </w:r>
    </w:p>
    <w:p>
      <w:pPr>
        <w:pStyle w:val="Heading2"/>
        <w:spacing w:after="120" w:before="320"/>
      </w:pPr>
      <w:r>
        <w:rPr>
          <w:rFonts w:ascii="Arial" w:cs="Arial" w:eastAsia="Arial" w:hAnsi="Arial"/>
          <w:b/>
          <w:bCs/>
          <w:color w:val="2E75B6"/>
          <w:sz w:val="28"/>
          <w:szCs w:val="28"/>
        </w:rPr>
        <w:t xml:space="preserve">2.2  The non-revenue water problem in plain language</w:t>
      </w:r>
    </w:p>
    <w:p>
      <w:pPr>
        <w:spacing w:after="120" w:before="60"/>
        <w:jc w:val="left"/>
      </w:pPr>
      <w:r>
        <w:rPr>
          <w:rFonts w:ascii="Arial" w:cs="Arial" w:eastAsia="Arial" w:hAnsi="Arial"/>
          <w:color w:val="1A1A1A"/>
          <w:sz w:val="22"/>
          <w:szCs w:val="22"/>
        </w:rPr>
        <w:t xml:space="preserve">Non-revenue water (NRW) is water that the municipality treats, pumps, and pays for — but never bills anyone for. It disappears before reaching a paying customer. Emfuleni's NRW rate is 56%. This is not a technical statistic. It means:</w:t>
      </w:r>
    </w:p>
    <w:p>
      <w:pPr>
        <w:pStyle w:val="ListParagraph"/>
        <w:numPr>
          <w:ilvl w:val="0"/>
          <w:numId w:val="2"/>
        </w:numPr>
        <w:spacing w:after="80" w:before="40"/>
      </w:pPr>
      <w:r>
        <w:rPr>
          <w:rFonts w:ascii="Arial" w:cs="Arial" w:eastAsia="Arial" w:hAnsi="Arial"/>
          <w:color w:val="1A1A1A"/>
          <w:sz w:val="22"/>
          <w:szCs w:val="22"/>
        </w:rPr>
        <w:t xml:space="preserve">For every 100 litres of water treated and pumped, 56 litres are lost to leaks, illegal connections, or faulty metering.</w:t>
      </w:r>
    </w:p>
    <w:p>
      <w:pPr>
        <w:pStyle w:val="ListParagraph"/>
        <w:numPr>
          <w:ilvl w:val="0"/>
          <w:numId w:val="2"/>
        </w:numPr>
        <w:spacing w:after="80" w:before="40"/>
      </w:pPr>
      <w:r>
        <w:rPr>
          <w:rFonts w:ascii="Arial" w:cs="Arial" w:eastAsia="Arial" w:hAnsi="Arial"/>
          <w:color w:val="1A1A1A"/>
          <w:sz w:val="22"/>
          <w:szCs w:val="22"/>
        </w:rPr>
        <w:t xml:space="preserve">Only 44 litres generate a bill — and of those, around 75% are actually paid.</w:t>
      </w:r>
    </w:p>
    <w:p>
      <w:pPr>
        <w:pStyle w:val="ListParagraph"/>
        <w:numPr>
          <w:ilvl w:val="0"/>
          <w:numId w:val="2"/>
        </w:numPr>
        <w:spacing w:after="80" w:before="40"/>
      </w:pPr>
      <w:r>
        <w:rPr>
          <w:rFonts w:ascii="Arial" w:cs="Arial" w:eastAsia="Arial" w:hAnsi="Arial"/>
          <w:color w:val="1A1A1A"/>
          <w:sz w:val="22"/>
          <w:szCs w:val="22"/>
        </w:rPr>
        <w:t xml:space="preserve">The municipality is effectively funding a service it barely delivers, and collecting on only a fraction of what it does deliver.</w:t>
      </w:r>
    </w:p>
    <w:p>
      <w:pPr>
        <w:pStyle w:val="ListParagraph"/>
        <w:numPr>
          <w:ilvl w:val="0"/>
          <w:numId w:val="2"/>
        </w:numPr>
        <w:spacing w:after="80" w:before="40"/>
      </w:pPr>
      <w:r>
        <w:rPr>
          <w:rFonts w:ascii="Arial" w:cs="Arial" w:eastAsia="Arial" w:hAnsi="Arial"/>
          <w:color w:val="1A1A1A"/>
          <w:sz w:val="22"/>
          <w:szCs w:val="22"/>
        </w:rPr>
        <w:t xml:space="preserve">The historical NRW rate was as high as 77%. It has improved to 56% — but 56% remains catastrophic by any benchmark.</w:t>
      </w:r>
    </w:p>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3.  The billing problem — Where the water crisis becomes a revenue crisis</w:t>
      </w:r>
    </w:p>
    <w:p>
      <w:pPr>
        <w:spacing w:after="120" w:before="60"/>
        <w:jc w:val="left"/>
      </w:pPr>
      <w:r>
        <w:rPr>
          <w:rFonts w:ascii="Arial" w:cs="Arial" w:eastAsia="Arial" w:hAnsi="Arial"/>
          <w:color w:val="1A1A1A"/>
          <w:sz w:val="22"/>
          <w:szCs w:val="22"/>
        </w:rPr>
        <w:t xml:space="preserve">The physical water crisis and the billing crisis are two separate — but tightly coupled — problems. Understanding their relationship is essential, because our opportunity sits at the intersection of both.</w:t>
      </w:r>
    </w:p>
    <w:p>
      <w:r>
        <w:rPr>
          <w:sz w:val="22"/>
          <w:szCs w:val="22"/>
        </w:rPr>
        <w:t xml:space="preserve"/>
      </w:r>
    </w:p>
    <w:p>
      <w:pPr>
        <w:pStyle w:val="Heading2"/>
        <w:spacing w:after="120" w:before="320"/>
      </w:pPr>
      <w:r>
        <w:rPr>
          <w:rFonts w:ascii="Arial" w:cs="Arial" w:eastAsia="Arial" w:hAnsi="Arial"/>
          <w:b/>
          <w:bCs/>
          <w:color w:val="2E75B6"/>
          <w:sz w:val="28"/>
          <w:szCs w:val="28"/>
        </w:rPr>
        <w:t xml:space="preserve">3.1  What the IDP says about billing — in its own words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6F3" w:val="clear"/>
            <w:tcMar>
              <w:top w:type="dxa" w:w="80"/>
              <w:left w:type="dxa" w:w="140"/>
              <w:bottom w:type="dxa" w:w="80"/>
              <w:right w:type="dxa" w:w="140"/>
            </w:tcMar>
            <w:vAlign w:val="top"/>
          </w:tcPr>
          <w:p>
            <w:pPr>
              <w:spacing w:after="100" w:before="0"/>
              <w:jc w:val="left"/>
            </w:pPr>
            <w:r>
              <w:rPr>
                <w:rFonts w:ascii="Arial" w:cs="Arial" w:eastAsia="Arial" w:hAnsi="Arial"/>
                <w:b/>
                <w:bCs/>
                <w:color w:val="1D7874"/>
                <w:sz w:val="24"/>
                <w:szCs w:val="24"/>
              </w:rPr>
              <w:t xml:space="preserve">Direct quotes from the Emfuleni IDP 2026/2027</w:t>
            </w:r>
          </w:p>
          <w:p>
            <w:pPr>
              <w:pStyle w:val="ListParagraph"/>
              <w:numPr>
                <w:ilvl w:val="0"/>
                <w:numId w:val="2"/>
              </w:numPr>
              <w:spacing w:after="60" w:before="40"/>
            </w:pPr>
            <w:r>
              <w:rPr>
                <w:rFonts w:ascii="Arial" w:cs="Arial" w:eastAsia="Arial" w:hAnsi="Arial"/>
                <w:color w:val="1A1A1A"/>
                <w:sz w:val="22"/>
                <w:szCs w:val="22"/>
              </w:rPr>
              <w:t xml:space="preserve">"Billing system challenges: Historical billing inaccuracies and interim billing practices have affected consumer confidence and revenue collection." — Listed as a top organisational weakness in the SWOT.</w:t>
            </w:r>
          </w:p>
          <w:p>
            <w:pPr>
              <w:pStyle w:val="ListParagraph"/>
              <w:numPr>
                <w:ilvl w:val="0"/>
                <w:numId w:val="2"/>
              </w:numPr>
              <w:spacing w:after="60" w:before="40"/>
            </w:pPr>
            <w:r>
              <w:rPr>
                <w:rFonts w:ascii="Arial" w:cs="Arial" w:eastAsia="Arial" w:hAnsi="Arial"/>
                <w:color w:val="1A1A1A"/>
                <w:sz w:val="22"/>
                <w:szCs w:val="22"/>
              </w:rPr>
              <w:t xml:space="preserve">"The billing system must be updated to ensure that all consumers are billed accurately." — Revenue Management chapter mandate.</w:t>
            </w:r>
          </w:p>
          <w:p>
            <w:pPr>
              <w:pStyle w:val="ListParagraph"/>
              <w:numPr>
                <w:ilvl w:val="0"/>
                <w:numId w:val="2"/>
              </w:numPr>
              <w:spacing w:after="60" w:before="40"/>
            </w:pPr>
            <w:r>
              <w:rPr>
                <w:rFonts w:ascii="Arial" w:cs="Arial" w:eastAsia="Arial" w:hAnsi="Arial"/>
                <w:color w:val="1A1A1A"/>
                <w:sz w:val="22"/>
                <w:szCs w:val="22"/>
              </w:rPr>
              <w:t xml:space="preserve">"Digital transformation: Implementation of improved municipal systems for billing, reporting, and service delivery management." — Listed as a key strategic opportunity.</w:t>
            </w:r>
          </w:p>
          <w:p>
            <w:pPr>
              <w:pStyle w:val="ListParagraph"/>
              <w:numPr>
                <w:ilvl w:val="0"/>
                <w:numId w:val="2"/>
              </w:numPr>
              <w:spacing w:after="60" w:before="40"/>
            </w:pPr>
            <w:r>
              <w:rPr>
                <w:rFonts w:ascii="Arial" w:cs="Arial" w:eastAsia="Arial" w:hAnsi="Arial"/>
                <w:color w:val="1A1A1A"/>
                <w:sz w:val="22"/>
                <w:szCs w:val="22"/>
              </w:rPr>
              <w:t xml:space="preserve">"Addressing the low collection rate remains our foremost priority to achieve long-term sustainability." — Executive Mayor's foreword.</w:t>
            </w:r>
          </w:p>
          <w:p>
            <w:pPr>
              <w:pStyle w:val="ListParagraph"/>
              <w:numPr>
                <w:ilvl w:val="0"/>
                <w:numId w:val="2"/>
              </w:numPr>
              <w:spacing w:after="60" w:before="40"/>
            </w:pPr>
            <w:r>
              <w:rPr>
                <w:rFonts w:ascii="Arial" w:cs="Arial" w:eastAsia="Arial" w:hAnsi="Arial"/>
                <w:color w:val="1A1A1A"/>
                <w:sz w:val="22"/>
                <w:szCs w:val="22"/>
              </w:rPr>
              <w:t xml:space="preserve">"Ensuring all consumers are billed accurately and that interim billing exceeding six months is eradicated." — Listed as a governance commitment.</w:t>
            </w:r>
          </w:p>
        </w:tc>
      </w:tr>
    </w:tbl>
    <w:p>
      <w:r>
        <w:rPr>
          <w:sz w:val="22"/>
          <w:szCs w:val="22"/>
        </w:rPr>
        <w:t xml:space="preserve"/>
      </w:r>
    </w:p>
    <w:p>
      <w:pPr>
        <w:spacing w:after="120" w:before="60"/>
        <w:jc w:val="left"/>
      </w:pPr>
      <w:r>
        <w:rPr>
          <w:rFonts w:ascii="Arial" w:cs="Arial" w:eastAsia="Arial" w:hAnsi="Arial"/>
          <w:color w:val="1A1A1A"/>
          <w:sz w:val="22"/>
          <w:szCs w:val="22"/>
        </w:rPr>
        <w:t xml:space="preserve">These are not our words. These are Emfuleni's own diagnosis — written into their formal five-year planning document. We are not identifying a problem for them. We are responding to a problem they have already named.</w:t>
      </w:r>
    </w:p>
    <w:p>
      <w:r>
        <w:rPr>
          <w:sz w:val="22"/>
          <w:szCs w:val="22"/>
        </w:rPr>
        <w:t xml:space="preserve"/>
      </w:r>
    </w:p>
    <w:p>
      <w:pPr>
        <w:pStyle w:val="Heading2"/>
        <w:spacing w:after="120" w:before="320"/>
      </w:pPr>
      <w:r>
        <w:rPr>
          <w:rFonts w:ascii="Arial" w:cs="Arial" w:eastAsia="Arial" w:hAnsi="Arial"/>
          <w:b/>
          <w:bCs/>
          <w:color w:val="2E75B6"/>
          <w:sz w:val="28"/>
          <w:szCs w:val="28"/>
        </w:rPr>
        <w:t xml:space="preserve">3.2  The billing process — how it is supposed to work vs. how it actually works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D7874"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How it should work</w:t>
            </w:r>
          </w:p>
        </w:tc>
        <w:tc>
          <w:tcPr>
            <w:tcW w:type="dxa" w:w="468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How it actually works</w:t>
            </w:r>
          </w:p>
        </w:tc>
      </w:tr>
      <w:tr>
        <w:tc>
          <w:tcPr>
            <w:tcW w:type="dxa" w:w="4680"/>
            <w:tcBorders>
              <w:top w:val="single" w:color="D5D8DC" w:sz="1"/>
              <w:left w:val="single" w:color="D5D8DC" w:sz="1"/>
              <w:bottom w:val="single" w:color="D5D8DC" w:sz="1"/>
              <w:right w:val="single" w:color="D5D8DC" w:sz="1"/>
            </w:tcBorders>
            <w:shd w:fill="E8F6F3" w:val="clear"/>
            <w:tcMar>
              <w:top w:type="dxa" w:w="80"/>
              <w:left w:type="dxa" w:w="140"/>
              <w:bottom w:type="dxa" w:w="80"/>
              <w:right w:type="dxa" w:w="140"/>
            </w:tcMar>
            <w:vAlign w:val="top"/>
          </w:tcPr>
          <w:p>
            <w:pPr>
              <w:spacing w:after="40" w:before="40"/>
              <w:jc w:val="left"/>
            </w:pPr>
            <w:r>
              <w:rPr>
                <w:rFonts w:ascii="Arial" w:cs="Arial" w:eastAsia="Arial" w:hAnsi="Arial"/>
                <w:sz w:val="21"/>
                <w:szCs w:val="21"/>
              </w:rPr>
              <w:t xml:space="preserve">1. Meter read monthly (actual reading)</w:t>
            </w:r>
          </w:p>
          <w:p>
            <w:pPr>
              <w:spacing w:after="40" w:before="40"/>
              <w:jc w:val="left"/>
            </w:pPr>
            <w:r>
              <w:rPr>
                <w:rFonts w:ascii="Arial" w:cs="Arial" w:eastAsia="Arial" w:hAnsi="Arial"/>
                <w:sz w:val="21"/>
                <w:szCs w:val="21"/>
              </w:rPr>
              <w:t xml:space="preserve">2. Consumption calculated from delta</w:t>
            </w:r>
          </w:p>
          <w:p>
            <w:pPr>
              <w:spacing w:after="40" w:before="40"/>
              <w:jc w:val="left"/>
            </w:pPr>
            <w:r>
              <w:rPr>
                <w:rFonts w:ascii="Arial" w:cs="Arial" w:eastAsia="Arial" w:hAnsi="Arial"/>
                <w:sz w:val="21"/>
                <w:szCs w:val="21"/>
              </w:rPr>
              <w:t xml:space="preserve">3. Correct tariff applied to consumption</w:t>
            </w:r>
          </w:p>
          <w:p>
            <w:pPr>
              <w:spacing w:after="40" w:before="40"/>
              <w:jc w:val="left"/>
            </w:pPr>
            <w:r>
              <w:rPr>
                <w:rFonts w:ascii="Arial" w:cs="Arial" w:eastAsia="Arial" w:hAnsi="Arial"/>
                <w:sz w:val="21"/>
                <w:szCs w:val="21"/>
              </w:rPr>
              <w:t xml:space="preserve">4. Accurate invoice generated and delivered</w:t>
            </w:r>
          </w:p>
          <w:p>
            <w:pPr>
              <w:spacing w:after="40" w:before="40"/>
              <w:jc w:val="left"/>
            </w:pPr>
            <w:r>
              <w:rPr>
                <w:rFonts w:ascii="Arial" w:cs="Arial" w:eastAsia="Arial" w:hAnsi="Arial"/>
                <w:sz w:val="21"/>
                <w:szCs w:val="21"/>
              </w:rPr>
              <w:t xml:space="preserve">5. Resident pays based on actual usage</w:t>
            </w:r>
          </w:p>
          <w:p>
            <w:pPr>
              <w:spacing w:after="40" w:before="40"/>
              <w:jc w:val="left"/>
            </w:pPr>
            <w:r>
              <w:rPr>
                <w:rFonts w:ascii="Arial" w:cs="Arial" w:eastAsia="Arial" w:hAnsi="Arial"/>
                <w:sz w:val="21"/>
                <w:szCs w:val="21"/>
              </w:rPr>
              <w:t xml:space="preserve">6. Revenue reconciled against bulk supply</w:t>
            </w:r>
          </w:p>
          <w:p>
            <w:pPr>
              <w:spacing w:after="40" w:before="40"/>
              <w:jc w:val="left"/>
            </w:pPr>
            <w:r>
              <w:rPr>
                <w:rFonts w:ascii="Arial" w:cs="Arial" w:eastAsia="Arial" w:hAnsi="Arial"/>
                <w:sz w:val="21"/>
                <w:szCs w:val="21"/>
              </w:rPr>
              <w:t xml:space="preserve">7. Collection rate targets are met</w:t>
            </w:r>
          </w:p>
        </w:tc>
        <w:tc>
          <w:tcPr>
            <w:tcW w:type="dxa" w:w="4680"/>
            <w:tcBorders>
              <w:top w:val="single" w:color="D5D8DC" w:sz="1"/>
              <w:left w:val="single" w:color="D5D8DC" w:sz="1"/>
              <w:bottom w:val="single" w:color="D5D8DC" w:sz="1"/>
              <w:right w:val="single" w:color="D5D8DC" w:sz="1"/>
            </w:tcBorders>
            <w:shd w:fill="FDEDEC" w:val="clear"/>
            <w:tcMar>
              <w:top w:type="dxa" w:w="80"/>
              <w:left w:type="dxa" w:w="140"/>
              <w:bottom w:type="dxa" w:w="80"/>
              <w:right w:type="dxa" w:w="140"/>
            </w:tcMar>
            <w:vAlign w:val="top"/>
          </w:tcPr>
          <w:p>
            <w:pPr>
              <w:spacing w:after="40" w:before="40"/>
              <w:jc w:val="left"/>
            </w:pPr>
            <w:r>
              <w:rPr>
                <w:rFonts w:ascii="Arial" w:cs="Arial" w:eastAsia="Arial" w:hAnsi="Arial"/>
                <w:sz w:val="21"/>
                <w:szCs w:val="21"/>
              </w:rPr>
              <w:t xml:space="preserve">Meters broken, missing, or inaccessible — no actual reading possible</w:t>
            </w:r>
          </w:p>
          <w:p>
            <w:pPr>
              <w:spacing w:after="40" w:before="40"/>
              <w:jc w:val="left"/>
            </w:pPr>
            <w:r>
              <w:rPr>
                <w:rFonts w:ascii="Arial" w:cs="Arial" w:eastAsia="Arial" w:hAnsi="Arial"/>
                <w:sz w:val="21"/>
                <w:szCs w:val="21"/>
              </w:rPr>
              <w:t xml:space="preserve">Estimated reading substituted — often wildly inaccurate</w:t>
            </w:r>
          </w:p>
          <w:p>
            <w:pPr>
              <w:spacing w:after="40" w:before="40"/>
              <w:jc w:val="left"/>
            </w:pPr>
            <w:r>
              <w:rPr>
                <w:rFonts w:ascii="Arial" w:cs="Arial" w:eastAsia="Arial" w:hAnsi="Arial"/>
                <w:sz w:val="21"/>
                <w:szCs w:val="21"/>
              </w:rPr>
              <w:t xml:space="preserve">Estimates accumulate for months, sometimes exceeding the 6-month statutory cap</w:t>
            </w:r>
          </w:p>
          <w:p>
            <w:pPr>
              <w:spacing w:after="40" w:before="40"/>
              <w:jc w:val="left"/>
            </w:pPr>
            <w:r>
              <w:rPr>
                <w:rFonts w:ascii="Arial" w:cs="Arial" w:eastAsia="Arial" w:hAnsi="Arial"/>
                <w:sz w:val="21"/>
                <w:szCs w:val="21"/>
              </w:rPr>
              <w:t xml:space="preserve">Inaccurate bill delivered — or not delivered at all</w:t>
            </w:r>
          </w:p>
          <w:p>
            <w:pPr>
              <w:spacing w:after="40" w:before="40"/>
              <w:jc w:val="left"/>
            </w:pPr>
            <w:r>
              <w:rPr>
                <w:rFonts w:ascii="Arial" w:cs="Arial" w:eastAsia="Arial" w:hAnsi="Arial"/>
                <w:sz w:val="21"/>
                <w:szCs w:val="21"/>
              </w:rPr>
              <w:t xml:space="preserve">Resident disputes the bill or simply does not pay</w:t>
            </w:r>
          </w:p>
          <w:p>
            <w:pPr>
              <w:spacing w:after="40" w:before="40"/>
              <w:jc w:val="left"/>
            </w:pPr>
            <w:r>
              <w:rPr>
                <w:rFonts w:ascii="Arial" w:cs="Arial" w:eastAsia="Arial" w:hAnsi="Arial"/>
                <w:sz w:val="21"/>
                <w:szCs w:val="21"/>
              </w:rPr>
              <w:t xml:space="preserve">Bulk supply (Rand Water) vs. retail billing unreconciled — loss invisible</w:t>
            </w:r>
          </w:p>
          <w:p>
            <w:pPr>
              <w:spacing w:after="40" w:before="40"/>
              <w:jc w:val="left"/>
            </w:pPr>
            <w:r>
              <w:rPr>
                <w:rFonts w:ascii="Arial" w:cs="Arial" w:eastAsia="Arial" w:hAnsi="Arial"/>
                <w:sz w:val="21"/>
                <w:szCs w:val="21"/>
              </w:rPr>
              <w:t xml:space="preserve">Collection rate sits at ~75%, well below what is needed to fund operations</w:t>
            </w:r>
          </w:p>
        </w:tc>
      </w:tr>
    </w:tbl>
    <w:p>
      <w:r>
        <w:rPr>
          <w:sz w:val="22"/>
          <w:szCs w:val="22"/>
        </w:rPr>
        <w:t xml:space="preserve"/>
      </w:r>
    </w:p>
    <w:p>
      <w:pPr>
        <w:pStyle w:val="Heading2"/>
        <w:spacing w:after="120" w:before="320"/>
      </w:pPr>
      <w:r>
        <w:rPr>
          <w:rFonts w:ascii="Arial" w:cs="Arial" w:eastAsia="Arial" w:hAnsi="Arial"/>
          <w:b/>
          <w:bCs/>
          <w:color w:val="2E75B6"/>
          <w:sz w:val="28"/>
          <w:szCs w:val="28"/>
        </w:rPr>
        <w:t xml:space="preserve">3.3  The reconciliation gap</w:t>
      </w:r>
    </w:p>
    <w:p>
      <w:pPr>
        <w:spacing w:after="120" w:before="60"/>
        <w:jc w:val="left"/>
      </w:pPr>
      <w:r>
        <w:rPr>
          <w:rFonts w:ascii="Arial" w:cs="Arial" w:eastAsia="Arial" w:hAnsi="Arial"/>
          <w:color w:val="1A1A1A"/>
          <w:sz w:val="22"/>
          <w:szCs w:val="22"/>
        </w:rPr>
        <w:t xml:space="preserve">The IDP explicitly mandates monthly reconciliation between four data sources that are currently disconnected:</w:t>
      </w:r>
    </w:p>
    <w:p>
      <w:pPr>
        <w:pStyle w:val="ListParagraph"/>
        <w:numPr>
          <w:ilvl w:val="0"/>
          <w:numId w:val="2"/>
        </w:numPr>
        <w:spacing w:after="80" w:before="40"/>
      </w:pPr>
      <w:r>
        <w:rPr>
          <w:rFonts w:ascii="Arial" w:cs="Arial" w:eastAsia="Arial" w:hAnsi="Arial"/>
          <w:color w:val="1A1A1A"/>
          <w:sz w:val="22"/>
          <w:szCs w:val="22"/>
        </w:rPr>
        <w:t xml:space="preserve">The Valuation Roll (which properties exist and who owns them)</w:t>
      </w:r>
    </w:p>
    <w:p>
      <w:pPr>
        <w:pStyle w:val="ListParagraph"/>
        <w:numPr>
          <w:ilvl w:val="0"/>
          <w:numId w:val="2"/>
        </w:numPr>
        <w:spacing w:after="80" w:before="40"/>
      </w:pPr>
      <w:r>
        <w:rPr>
          <w:rFonts w:ascii="Arial" w:cs="Arial" w:eastAsia="Arial" w:hAnsi="Arial"/>
          <w:color w:val="1A1A1A"/>
          <w:sz w:val="22"/>
          <w:szCs w:val="22"/>
        </w:rPr>
        <w:t xml:space="preserve">The Surveyor-General register (formal property boundaries and classifications)</w:t>
      </w:r>
    </w:p>
    <w:p>
      <w:pPr>
        <w:pStyle w:val="ListParagraph"/>
        <w:numPr>
          <w:ilvl w:val="0"/>
          <w:numId w:val="2"/>
        </w:numPr>
        <w:spacing w:after="80" w:before="40"/>
      </w:pPr>
      <w:r>
        <w:rPr>
          <w:rFonts w:ascii="Arial" w:cs="Arial" w:eastAsia="Arial" w:hAnsi="Arial"/>
          <w:color w:val="1A1A1A"/>
          <w:sz w:val="22"/>
          <w:szCs w:val="22"/>
        </w:rPr>
        <w:t xml:space="preserve">The Deeds Office records (ownership and transfer history)</w:t>
      </w:r>
    </w:p>
    <w:p>
      <w:pPr>
        <w:pStyle w:val="ListParagraph"/>
        <w:numPr>
          <w:ilvl w:val="0"/>
          <w:numId w:val="2"/>
        </w:numPr>
        <w:spacing w:after="80" w:before="40"/>
      </w:pPr>
      <w:r>
        <w:rPr>
          <w:rFonts w:ascii="Arial" w:cs="Arial" w:eastAsia="Arial" w:hAnsi="Arial"/>
          <w:color w:val="1A1A1A"/>
          <w:sz w:val="22"/>
          <w:szCs w:val="22"/>
        </w:rPr>
        <w:t xml:space="preserve">The municipal Billing System (what accounts are active and what they are being billed)</w:t>
      </w:r>
    </w:p>
    <w:p>
      <w:r>
        <w:rPr>
          <w:sz w:val="22"/>
          <w:szCs w:val="22"/>
        </w:rPr>
        <w:t xml:space="preserve"/>
      </w:r>
    </w:p>
    <w:p>
      <w:pPr>
        <w:spacing w:after="120" w:before="60"/>
        <w:jc w:val="left"/>
      </w:pPr>
      <w:r>
        <w:rPr>
          <w:rFonts w:ascii="Arial" w:cs="Arial" w:eastAsia="Arial" w:hAnsi="Arial"/>
          <w:color w:val="1A1A1A"/>
          <w:sz w:val="22"/>
          <w:szCs w:val="22"/>
        </w:rPr>
        <w:t xml:space="preserve">These four sources are not in sync. Properties exist in the Deeds Office but are absent from the billing system. Properties are billed to incorrect owners. Vacant land is not billed. New connections are not captured. The result: a significant but unmeasured portion of the potential revenue base is simply invisible to the billing system.</w:t>
      </w:r>
    </w:p>
    <w:p>
      <w:r>
        <w:rPr>
          <w:sz w:val="22"/>
          <w:szCs w:val="22"/>
        </w:rPr>
        <w:t xml:space="preserve"/>
      </w:r>
    </w:p>
    <w:p>
      <w:pPr>
        <w:spacing w:after="120" w:before="60"/>
        <w:jc w:val="left"/>
      </w:pPr>
      <w:r>
        <w:rPr>
          <w:rFonts w:ascii="Arial" w:cs="Arial" w:eastAsia="Arial" w:hAnsi="Arial"/>
          <w:color w:val="1A1A1A"/>
          <w:sz w:val="22"/>
          <w:szCs w:val="22"/>
        </w:rPr>
        <w:t xml:space="preserve">As of July 2026, the SPV transition adds a fifth data source: the VCWU bulk supply meters (the volume Rand Water delivers to Emfuleni at the bulk meter). This must be reconciled against retail consumption billed to residents. Without that reconciliation, the 56% non-revenue water figure cannot be broken down into its components (genuine leaks vs. unmetered connections vs. billing errors), and neither the municipality nor the SPV can manage their respective obligations.</w:t>
      </w:r>
    </w:p>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4.  The vicious cycle — Why the problem is self-reinforcing</w:t>
      </w:r>
    </w:p>
    <w:p>
      <w:pPr>
        <w:spacing w:after="120" w:before="60"/>
        <w:jc w:val="left"/>
      </w:pPr>
      <w:r>
        <w:rPr>
          <w:rFonts w:ascii="Arial" w:cs="Arial" w:eastAsia="Arial" w:hAnsi="Arial"/>
          <w:color w:val="1A1A1A"/>
          <w:sz w:val="22"/>
          <w:szCs w:val="22"/>
        </w:rPr>
        <w:t xml:space="preserve">The water infrastructure crisis and the billing/revenue crisis are not two independent problems. They feed each other in a closed loop. Understanding this cycle is the key strategic insight — because breaking any link in the chain produces a positive cascade, not just a point improvement.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32"/>
                <w:szCs w:val="32"/>
              </w:rPr>
              <w:t xml:space="preserve">1</w:t>
            </w:r>
          </w:p>
        </w:tc>
        <w:tc>
          <w:tcPr>
            <w:tcW w:type="dxa" w:w="8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0"/>
              <w:jc w:val="left"/>
            </w:pPr>
            <w:r>
              <w:rPr>
                <w:rFonts w:ascii="Arial" w:cs="Arial" w:eastAsia="Arial" w:hAnsi="Arial"/>
                <w:b/>
                <w:bCs/>
                <w:color w:val="C0392B"/>
                <w:sz w:val="24"/>
                <w:szCs w:val="24"/>
              </w:rPr>
              <w:t xml:space="preserve">Infrastructure failure → water loss</w:t>
            </w:r>
          </w:p>
          <w:p>
            <w:pPr>
              <w:spacing w:after="0" w:before="0"/>
              <w:jc w:val="left"/>
            </w:pPr>
            <w:r>
              <w:rPr>
                <w:rFonts w:ascii="Arial" w:cs="Arial" w:eastAsia="Arial" w:hAnsi="Arial"/>
                <w:color w:val="1A1A1A"/>
                <w:sz w:val="21"/>
                <w:szCs w:val="21"/>
              </w:rPr>
              <w:t xml:space="preserve">Aged pipes burst. Pump stations fail. Illegal connections are tapped. Meters break. 56% of treated water never reaches a paying, metered customer.</w:t>
            </w:r>
          </w:p>
        </w:tc>
      </w:tr>
      <w:tr>
        <w:tc>
          <w:tcPr>
            <w:tcW w:type="dxa" w:w="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4"/>
                <w:szCs w:val="24"/>
              </w:rPr>
              <w:t xml:space="preserve">↓</w:t>
            </w:r>
          </w:p>
        </w:tc>
        <w:tc>
          <w:tcPr>
            <w:tcW w:type="dxa" w:w="85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left"/>
            </w:pPr>
            <w:r>
              <w:rPr>
                <w:sz w:val="20"/>
                <w:szCs w:val="20"/>
              </w:rPr>
              <w:t xml:space="preserve"/>
            </w:r>
          </w:p>
        </w:tc>
      </w:tr>
      <w:tr>
        <w:tc>
          <w:tcPr>
            <w:tcW w:type="dxa" w:w="800"/>
            <w:tcBorders>
              <w:top w:val="single" w:color="D5D8DC" w:sz="1"/>
              <w:left w:val="single" w:color="D5D8DC" w:sz="1"/>
              <w:bottom w:val="single" w:color="D5D8DC" w:sz="1"/>
              <w:right w:val="single" w:color="D5D8DC" w:sz="1"/>
            </w:tcBorders>
            <w:shd w:fill="D68910"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32"/>
                <w:szCs w:val="32"/>
              </w:rPr>
              <w:t xml:space="preserve">2</w:t>
            </w:r>
          </w:p>
        </w:tc>
        <w:tc>
          <w:tcPr>
            <w:tcW w:type="dxa" w:w="8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0"/>
              <w:jc w:val="left"/>
            </w:pPr>
            <w:r>
              <w:rPr>
                <w:rFonts w:ascii="Arial" w:cs="Arial" w:eastAsia="Arial" w:hAnsi="Arial"/>
                <w:b/>
                <w:bCs/>
                <w:color w:val="D68910"/>
                <w:sz w:val="24"/>
                <w:szCs w:val="24"/>
              </w:rPr>
              <w:t xml:space="preserve">Unmetered water → unbillable consumption</w:t>
            </w:r>
          </w:p>
          <w:p>
            <w:pPr>
              <w:spacing w:after="0" w:before="0"/>
              <w:jc w:val="left"/>
            </w:pPr>
            <w:r>
              <w:rPr>
                <w:rFonts w:ascii="Arial" w:cs="Arial" w:eastAsia="Arial" w:hAnsi="Arial"/>
                <w:color w:val="1A1A1A"/>
                <w:sz w:val="21"/>
                <w:szCs w:val="21"/>
              </w:rPr>
              <w:t xml:space="preserve">Water that leaks, is stolen, or passes through a broken meter generates no invoice. The municipality treats and pumps it at cost — and receives nothing for it.</w:t>
            </w:r>
          </w:p>
        </w:tc>
      </w:tr>
      <w:tr>
        <w:tc>
          <w:tcPr>
            <w:tcW w:type="dxa" w:w="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4"/>
                <w:szCs w:val="24"/>
              </w:rPr>
              <w:t xml:space="preserve">↓</w:t>
            </w:r>
          </w:p>
        </w:tc>
        <w:tc>
          <w:tcPr>
            <w:tcW w:type="dxa" w:w="85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left"/>
            </w:pPr>
            <w:r>
              <w:rPr>
                <w:sz w:val="20"/>
                <w:szCs w:val="20"/>
              </w:rPr>
              <w:t xml:space="preserve"/>
            </w:r>
          </w:p>
        </w:tc>
      </w:tr>
      <w:tr>
        <w:tc>
          <w:tcPr>
            <w:tcW w:type="dxa" w:w="80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32"/>
                <w:szCs w:val="32"/>
              </w:rPr>
              <w:t xml:space="preserve">3</w:t>
            </w:r>
          </w:p>
        </w:tc>
        <w:tc>
          <w:tcPr>
            <w:tcW w:type="dxa" w:w="8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0"/>
              <w:jc w:val="left"/>
            </w:pPr>
            <w:r>
              <w:rPr>
                <w:rFonts w:ascii="Arial" w:cs="Arial" w:eastAsia="Arial" w:hAnsi="Arial"/>
                <w:b/>
                <w:bCs/>
                <w:color w:val="C0392B"/>
                <w:sz w:val="24"/>
                <w:szCs w:val="24"/>
              </w:rPr>
              <w:t xml:space="preserve">Inaccurate bills → non-payment</w:t>
            </w:r>
          </w:p>
          <w:p>
            <w:pPr>
              <w:spacing w:after="0" w:before="0"/>
              <w:jc w:val="left"/>
            </w:pPr>
            <w:r>
              <w:rPr>
                <w:rFonts w:ascii="Arial" w:cs="Arial" w:eastAsia="Arial" w:hAnsi="Arial"/>
                <w:color w:val="1A1A1A"/>
                <w:sz w:val="21"/>
                <w:szCs w:val="21"/>
              </w:rPr>
              <w:t xml:space="preserve">The water that does reach residents is often billed on estimates — wildly inaccurate over time. Residents who distrust their bills, or who receive no reliable service, refuse to pay. Collection rate sits at ~75%.</w:t>
            </w:r>
          </w:p>
        </w:tc>
      </w:tr>
      <w:tr>
        <w:tc>
          <w:tcPr>
            <w:tcW w:type="dxa" w:w="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4"/>
                <w:szCs w:val="24"/>
              </w:rPr>
              <w:t xml:space="preserve">↓</w:t>
            </w:r>
          </w:p>
        </w:tc>
        <w:tc>
          <w:tcPr>
            <w:tcW w:type="dxa" w:w="85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left"/>
            </w:pPr>
            <w:r>
              <w:rPr>
                <w:sz w:val="20"/>
                <w:szCs w:val="20"/>
              </w:rPr>
              <w:t xml:space="preserve"/>
            </w:r>
          </w:p>
        </w:tc>
      </w:tr>
      <w:tr>
        <w:tc>
          <w:tcPr>
            <w:tcW w:type="dxa" w:w="800"/>
            <w:tcBorders>
              <w:top w:val="single" w:color="D5D8DC" w:sz="1"/>
              <w:left w:val="single" w:color="D5D8DC" w:sz="1"/>
              <w:bottom w:val="single" w:color="D5D8DC" w:sz="1"/>
              <w:right w:val="single" w:color="D5D8DC" w:sz="1"/>
            </w:tcBorders>
            <w:shd w:fill="D68910"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32"/>
                <w:szCs w:val="32"/>
              </w:rPr>
              <w:t xml:space="preserve">4</w:t>
            </w:r>
          </w:p>
        </w:tc>
        <w:tc>
          <w:tcPr>
            <w:tcW w:type="dxa" w:w="8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0"/>
              <w:jc w:val="left"/>
            </w:pPr>
            <w:r>
              <w:rPr>
                <w:rFonts w:ascii="Arial" w:cs="Arial" w:eastAsia="Arial" w:hAnsi="Arial"/>
                <w:b/>
                <w:bCs/>
                <w:color w:val="D68910"/>
                <w:sz w:val="24"/>
                <w:szCs w:val="24"/>
              </w:rPr>
              <w:t xml:space="preserve">Low revenue → no maintenance budget</w:t>
            </w:r>
          </w:p>
          <w:p>
            <w:pPr>
              <w:spacing w:after="0" w:before="0"/>
              <w:jc w:val="left"/>
            </w:pPr>
            <w:r>
              <w:rPr>
                <w:rFonts w:ascii="Arial" w:cs="Arial" w:eastAsia="Arial" w:hAnsi="Arial"/>
                <w:color w:val="1A1A1A"/>
                <w:sz w:val="21"/>
                <w:szCs w:val="21"/>
              </w:rPr>
              <w:t xml:space="preserve">With collection below target and an unfunded budget, the Finance Cluster cannot ring-fence maintenance funding. Repair crews lack tools and parts. The 70% vacancy rate in Metsi-a-Lekoa means even funded maintenance cannot be executed.</w:t>
            </w:r>
          </w:p>
        </w:tc>
      </w:tr>
      <w:tr>
        <w:tc>
          <w:tcPr>
            <w:tcW w:type="dxa" w:w="8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4"/>
                <w:szCs w:val="24"/>
              </w:rPr>
              <w:t xml:space="preserve">↓</w:t>
            </w:r>
          </w:p>
        </w:tc>
        <w:tc>
          <w:tcPr>
            <w:tcW w:type="dxa" w:w="856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pPr>
              <w:spacing w:after="0" w:before="0"/>
              <w:jc w:val="left"/>
            </w:pPr>
            <w:r>
              <w:rPr>
                <w:sz w:val="20"/>
                <w:szCs w:val="20"/>
              </w:rPr>
              <w:t xml:space="preserve"/>
            </w:r>
          </w:p>
        </w:tc>
      </w:tr>
      <w:tr>
        <w:tc>
          <w:tcPr>
            <w:tcW w:type="dxa" w:w="80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32"/>
                <w:szCs w:val="32"/>
              </w:rPr>
              <w:t xml:space="preserve">5</w:t>
            </w:r>
          </w:p>
        </w:tc>
        <w:tc>
          <w:tcPr>
            <w:tcW w:type="dxa" w:w="8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0"/>
              <w:jc w:val="left"/>
            </w:pPr>
            <w:r>
              <w:rPr>
                <w:rFonts w:ascii="Arial" w:cs="Arial" w:eastAsia="Arial" w:hAnsi="Arial"/>
                <w:b/>
                <w:bCs/>
                <w:color w:val="C0392B"/>
                <w:sz w:val="24"/>
                <w:szCs w:val="24"/>
              </w:rPr>
              <w:t xml:space="preserve">No maintenance → infrastructure worsens</w:t>
            </w:r>
          </w:p>
          <w:p>
            <w:pPr>
              <w:spacing w:after="0" w:before="0"/>
              <w:jc w:val="left"/>
            </w:pPr>
            <w:r>
              <w:rPr>
                <w:rFonts w:ascii="Arial" w:cs="Arial" w:eastAsia="Arial" w:hAnsi="Arial"/>
                <w:color w:val="1A1A1A"/>
                <w:sz w:val="21"/>
                <w:szCs w:val="21"/>
              </w:rPr>
              <w:t xml:space="preserve">More pipes fail. More meters break. More pump stations go offline. NRW increases. The cycle completes — and resets at a worse baseline than before.</w:t>
            </w:r>
          </w:p>
        </w:tc>
      </w:tr>
      <w:tr>
        <w:tc>
          <w:tcPr>
            <w:tcW w:type="dxa" w:w="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4"/>
                <w:szCs w:val="24"/>
              </w:rPr>
              <w:t xml:space="preserve">↻</w:t>
            </w:r>
          </w:p>
        </w:tc>
        <w:tc>
          <w:tcPr>
            <w:tcW w:type="dxa" w:w="8560"/>
            <w:tcBorders>
              <w:top w:val="single" w:color="D5D8DC" w:sz="1"/>
              <w:left w:val="single" w:color="D5D8DC" w:sz="1"/>
              <w:bottom w:val="single" w:color="D5D8DC" w:sz="1"/>
              <w:right w:val="single" w:color="D5D8DC" w:sz="1"/>
            </w:tcBorders>
            <w:shd w:fill="D6E4F0" w:val="clear"/>
            <w:tcMar>
              <w:top w:type="dxa" w:w="80"/>
              <w:left w:type="dxa" w:w="140"/>
              <w:bottom w:type="dxa" w:w="80"/>
              <w:right w:type="dxa" w:w="140"/>
            </w:tcMar>
            <w:vAlign w:val="top"/>
          </w:tcPr>
          <w:p>
            <w:pPr>
              <w:spacing w:after="80" w:before="80"/>
              <w:jc w:val="left"/>
            </w:pPr>
            <w:r>
              <w:rPr>
                <w:rFonts w:ascii="Arial" w:cs="Arial" w:eastAsia="Arial" w:hAnsi="Arial"/>
                <w:b w:val="false"/>
                <w:bCs w:val="false"/>
                <w:color w:val="1A1A1A"/>
                <w:sz w:val="21"/>
                <w:szCs w:val="21"/>
              </w:rPr>
              <w:t xml:space="preserve">The cycle repeats — each iteration leaves the municipality weaker, the infrastructure more deteriorated, and the revenue gap wider. Without a deliberate intervention to break a link in this chain, the system has no natural recovery mechanism.</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6F3" w:val="clear"/>
            <w:tcMar>
              <w:top w:type="dxa" w:w="80"/>
              <w:left w:type="dxa" w:w="140"/>
              <w:bottom w:type="dxa" w:w="80"/>
              <w:right w:type="dxa" w:w="140"/>
            </w:tcMar>
            <w:vAlign w:val="top"/>
          </w:tcPr>
          <w:p>
            <w:pPr>
              <w:spacing w:after="100" w:before="0"/>
              <w:jc w:val="left"/>
            </w:pPr>
            <w:r>
              <w:rPr>
                <w:rFonts w:ascii="Arial" w:cs="Arial" w:eastAsia="Arial" w:hAnsi="Arial"/>
                <w:b/>
                <w:bCs/>
                <w:color w:val="1D7874"/>
                <w:sz w:val="24"/>
                <w:szCs w:val="24"/>
              </w:rPr>
              <w:t xml:space="preserve">Why revenue-side intervention is the highest-leverage entry point</w:t>
            </w:r>
          </w:p>
          <w:p>
            <w:pPr>
              <w:pStyle w:val="ListParagraph"/>
              <w:numPr>
                <w:ilvl w:val="0"/>
                <w:numId w:val="2"/>
              </w:numPr>
              <w:spacing w:after="60" w:before="40"/>
            </w:pPr>
            <w:r>
              <w:rPr>
                <w:rFonts w:ascii="Arial" w:cs="Arial" w:eastAsia="Arial" w:hAnsi="Arial"/>
                <w:color w:val="1A1A1A"/>
                <w:sz w:val="22"/>
                <w:szCs w:val="22"/>
              </w:rPr>
              <w:t xml:space="preserve">The physical infrastructure (pipes, pump stations, treatment works) is being addressed by the VCWU/SPV from 1 July 2026. That part has an owner and a plan.</w:t>
            </w:r>
          </w:p>
          <w:p>
            <w:pPr>
              <w:pStyle w:val="ListParagraph"/>
              <w:numPr>
                <w:ilvl w:val="0"/>
                <w:numId w:val="2"/>
              </w:numPr>
              <w:spacing w:after="60" w:before="40"/>
            </w:pPr>
            <w:r>
              <w:rPr>
                <w:rFonts w:ascii="Arial" w:cs="Arial" w:eastAsia="Arial" w:hAnsi="Arial"/>
                <w:color w:val="1A1A1A"/>
                <w:sz w:val="22"/>
                <w:szCs w:val="22"/>
              </w:rPr>
              <w:t xml:space="preserve">The revenue-side failure — inaccurate billing, unreconciled data, disputed accounts, non-payment — has no funded solution and no clear owner post-SPV.</w:t>
            </w:r>
          </w:p>
          <w:p>
            <w:pPr>
              <w:pStyle w:val="ListParagraph"/>
              <w:numPr>
                <w:ilvl w:val="0"/>
                <w:numId w:val="2"/>
              </w:numPr>
              <w:spacing w:after="60" w:before="40"/>
            </w:pPr>
            <w:r>
              <w:rPr>
                <w:rFonts w:ascii="Arial" w:cs="Arial" w:eastAsia="Arial" w:hAnsi="Arial"/>
                <w:color w:val="1A1A1A"/>
                <w:sz w:val="22"/>
                <w:szCs w:val="22"/>
              </w:rPr>
              <w:t xml:space="preserve">Fixing step 3 (accurate billing → payment) and step 2 (metered consumption → accurate invoice) directly feeds the municipality's ability to fund step 4 (maintenance budget).</w:t>
            </w:r>
          </w:p>
          <w:p>
            <w:pPr>
              <w:pStyle w:val="ListParagraph"/>
              <w:numPr>
                <w:ilvl w:val="0"/>
                <w:numId w:val="2"/>
              </w:numPr>
              <w:spacing w:after="60" w:before="40"/>
            </w:pPr>
            <w:r>
              <w:rPr>
                <w:rFonts w:ascii="Arial" w:cs="Arial" w:eastAsia="Arial" w:hAnsi="Arial"/>
                <w:color w:val="1A1A1A"/>
                <w:sz w:val="22"/>
                <w:szCs w:val="22"/>
              </w:rPr>
              <w:t xml:space="preserve">A 1% improvement in the collection rate on a R6.687bn revenue base is approximately R66.87m. The ROI on a well-executed billing and reconciliation system is measurable in the IDP's own terms.</w:t>
            </w:r>
          </w:p>
        </w:tc>
      </w:tr>
    </w:tbl>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5.  What the crisis is causing — downstream impacts</w:t>
      </w:r>
    </w:p>
    <w:p>
      <w:pPr>
        <w:pStyle w:val="Heading2"/>
        <w:spacing w:after="120" w:before="320"/>
      </w:pPr>
      <w:r>
        <w:rPr>
          <w:rFonts w:ascii="Arial" w:cs="Arial" w:eastAsia="Arial" w:hAnsi="Arial"/>
          <w:b/>
          <w:bCs/>
          <w:color w:val="2E75B6"/>
          <w:sz w:val="28"/>
          <w:szCs w:val="28"/>
        </w:rPr>
        <w:t xml:space="preserve">5.1  Public health</w:t>
      </w:r>
    </w:p>
    <w:p>
      <w:pPr>
        <w:spacing w:after="120" w:before="60"/>
        <w:jc w:val="left"/>
      </w:pPr>
      <w:r>
        <w:rPr>
          <w:rFonts w:ascii="Arial" w:cs="Arial" w:eastAsia="Arial" w:hAnsi="Arial"/>
          <w:color w:val="1A1A1A"/>
          <w:sz w:val="22"/>
          <w:szCs w:val="22"/>
        </w:rPr>
        <w:t xml:space="preserve">Raw sewage overflows into streets and homes across Sebokeng, Evaton, Boipatong, and surrounding areas. The Vaal River is contaminated by untreated effluent from the overloaded treatment works. Two typhoid cases — and one death — were reported in the Emfuleni area in 2025. The South African Human Rights Commission (SAHRC) has formally investigated the municipality's sanitation failures and issued subpoenas. This is not a service-quality problem. It is a public health emergency.</w:t>
      </w:r>
    </w:p>
    <w:p>
      <w:r>
        <w:rPr>
          <w:sz w:val="22"/>
          <w:szCs w:val="22"/>
        </w:rPr>
        <w:t xml:space="preserve"/>
      </w:r>
    </w:p>
    <w:p>
      <w:pPr>
        <w:pStyle w:val="Heading2"/>
        <w:spacing w:after="120" w:before="320"/>
      </w:pPr>
      <w:r>
        <w:rPr>
          <w:rFonts w:ascii="Arial" w:cs="Arial" w:eastAsia="Arial" w:hAnsi="Arial"/>
          <w:b/>
          <w:bCs/>
          <w:color w:val="2E75B6"/>
          <w:sz w:val="28"/>
          <w:szCs w:val="28"/>
        </w:rPr>
        <w:t xml:space="preserve">5.2  Revenue haemorrhage</w:t>
      </w:r>
    </w:p>
    <w:p>
      <w:pPr>
        <w:spacing w:after="120" w:before="60"/>
        <w:jc w:val="left"/>
      </w:pPr>
      <w:r>
        <w:rPr>
          <w:rFonts w:ascii="Arial" w:cs="Arial" w:eastAsia="Arial" w:hAnsi="Arial"/>
          <w:color w:val="1A1A1A"/>
          <w:sz w:val="22"/>
          <w:szCs w:val="22"/>
        </w:rPr>
        <w:t xml:space="preserve">The municipality treats water it cannot bill for and bills for water it cannot accurately measure. Every megalitre lost is direct revenue foregone. At current NRW rates of 56%, roughly half of the municipality's water production investment generates no return. Combined with the 75% collection rate on what is billed, the effective realised revenue from water services is a fraction of what a functioning system would generate.</w:t>
      </w:r>
    </w:p>
    <w:p>
      <w:r>
        <w:rPr>
          <w:sz w:val="22"/>
          <w:szCs w:val="22"/>
        </w:rPr>
        <w:t xml:space="preserve"/>
      </w:r>
    </w:p>
    <w:p>
      <w:pPr>
        <w:pStyle w:val="Heading2"/>
        <w:spacing w:after="120" w:before="320"/>
      </w:pPr>
      <w:r>
        <w:rPr>
          <w:rFonts w:ascii="Arial" w:cs="Arial" w:eastAsia="Arial" w:hAnsi="Arial"/>
          <w:b/>
          <w:bCs/>
          <w:color w:val="2E75B6"/>
          <w:sz w:val="28"/>
          <w:szCs w:val="28"/>
        </w:rPr>
        <w:t xml:space="preserve">5.3  Audit and governance consequences</w:t>
      </w:r>
    </w:p>
    <w:p>
      <w:pPr>
        <w:spacing w:after="120" w:before="60"/>
        <w:jc w:val="left"/>
      </w:pPr>
      <w:r>
        <w:rPr>
          <w:rFonts w:ascii="Arial" w:cs="Arial" w:eastAsia="Arial" w:hAnsi="Arial"/>
          <w:color w:val="1A1A1A"/>
          <w:sz w:val="22"/>
          <w:szCs w:val="22"/>
        </w:rPr>
        <w:t xml:space="preserve">The Auditor-General has cited water and sanitation infrastructure valuation, non-revenue water reporting, and billing reconciliation failures as recurring findings contributing to qualified audit opinions. Seven consecutive qualified audits (with only one exception) signal to National Treasury, development finance institutions, and potential investors that the municipality cannot be trusted to account for its own resources. This directly limits access to conditional grants and debt financing.</w:t>
      </w:r>
    </w:p>
    <w:p>
      <w:r>
        <w:rPr>
          <w:sz w:val="22"/>
          <w:szCs w:val="22"/>
        </w:rPr>
        <w:t xml:space="preserve"/>
      </w:r>
    </w:p>
    <w:p>
      <w:pPr>
        <w:pStyle w:val="Heading2"/>
        <w:spacing w:after="120" w:before="320"/>
      </w:pPr>
      <w:r>
        <w:rPr>
          <w:rFonts w:ascii="Arial" w:cs="Arial" w:eastAsia="Arial" w:hAnsi="Arial"/>
          <w:b/>
          <w:bCs/>
          <w:color w:val="2E75B6"/>
          <w:sz w:val="28"/>
          <w:szCs w:val="28"/>
        </w:rPr>
        <w:t xml:space="preserve">5.4  The Rand Water debt spiral</w:t>
      </w:r>
    </w:p>
    <w:p>
      <w:pPr>
        <w:spacing w:after="120" w:before="60"/>
        <w:jc w:val="left"/>
      </w:pPr>
      <w:r>
        <w:rPr>
          <w:rFonts w:ascii="Arial" w:cs="Arial" w:eastAsia="Arial" w:hAnsi="Arial"/>
          <w:color w:val="1A1A1A"/>
          <w:sz w:val="22"/>
          <w:szCs w:val="22"/>
        </w:rPr>
        <w:t xml:space="preserve">Emfuleni purchases bulk water from Rand Water. It is supposed to pay Rand Water from the revenue it collects from residents for water services. When collection fails — due to billing inaccuracies, non-payment, and NRW — the Rand Water debt grows. This is the same dynamic that produced the R1.97bn electricity debt that National Treasury had to write off. The same problem is building on the water side. The SPV was partly created to restructure this relationship, but the billing and collection failure that caused the debt remains unresolved.</w:t>
      </w:r>
    </w:p>
    <w:p>
      <w:r>
        <w:rPr>
          <w:sz w:val="22"/>
          <w:szCs w:val="22"/>
        </w:rPr>
        <w:t xml:space="preserve"/>
      </w:r>
    </w:p>
    <w:p>
      <w:pPr>
        <w:pStyle w:val="Heading2"/>
        <w:spacing w:after="120" w:before="320"/>
      </w:pPr>
      <w:r>
        <w:rPr>
          <w:rFonts w:ascii="Arial" w:cs="Arial" w:eastAsia="Arial" w:hAnsi="Arial"/>
          <w:b/>
          <w:bCs/>
          <w:color w:val="2E75B6"/>
          <w:sz w:val="28"/>
          <w:szCs w:val="28"/>
        </w:rPr>
        <w:t xml:space="preserve">5.5  Community trust collapse</w:t>
      </w:r>
    </w:p>
    <w:p>
      <w:pPr>
        <w:spacing w:after="120" w:before="60"/>
        <w:jc w:val="left"/>
      </w:pPr>
      <w:r>
        <w:rPr>
          <w:rFonts w:ascii="Arial" w:cs="Arial" w:eastAsia="Arial" w:hAnsi="Arial"/>
          <w:color w:val="1A1A1A"/>
          <w:sz w:val="22"/>
          <w:szCs w:val="22"/>
        </w:rPr>
        <w:t xml:space="preserve">Residents in Sebokeng, Evaton, and the townships have experienced decades of broken promises: sewage in the streets, no water for days, bills that bear no relationship to actual usage, and dispute processes that go nowhere. Non-payment is not simply a cultural attitude toward municipal services. It is a rational response by communities who have concluded that the system is not working in their favour. Rebuilding willingness to pay requires a demonstrably functional system — accurate bills, responsive queries, visible service improvements — before punitive credit control measures can be effective.</w:t>
      </w:r>
    </w:p>
    <w:p>
      <w:r>
        <w:rPr>
          <w:sz w:val="22"/>
          <w:szCs w:val="22"/>
        </w:rPr>
        <w:t xml:space="preserve"/>
      </w:r>
    </w:p>
    <w:p>
      <w:pPr>
        <w:pStyle w:val="Heading2"/>
        <w:spacing w:after="120" w:before="320"/>
      </w:pPr>
      <w:r>
        <w:rPr>
          <w:rFonts w:ascii="Arial" w:cs="Arial" w:eastAsia="Arial" w:hAnsi="Arial"/>
          <w:b/>
          <w:bCs/>
          <w:color w:val="2E75B6"/>
          <w:sz w:val="28"/>
          <w:szCs w:val="28"/>
        </w:rPr>
        <w:t xml:space="preserve">5.6  Economic investment barrier</w:t>
      </w:r>
    </w:p>
    <w:p>
      <w:pPr>
        <w:spacing w:after="120" w:before="60"/>
        <w:jc w:val="left"/>
      </w:pPr>
      <w:r>
        <w:rPr>
          <w:rFonts w:ascii="Arial" w:cs="Arial" w:eastAsia="Arial" w:hAnsi="Arial"/>
          <w:color w:val="1A1A1A"/>
          <w:sz w:val="22"/>
          <w:szCs w:val="22"/>
        </w:rPr>
        <w:t xml:space="preserve">The IDP's catalytic projects — Vaal River City (R54.6bn projected investment), Vaal Aerotropolis (R29.3bn), and the SEZ developments — all depend on reliable bulk water and sanitation infrastructure. Institutional investors and development finance institutions will not commit capital to developments in a precinct where the existing water system is in systemic crisis. The water and billing problem is not just a service-delivery issue. It is the single most significant barrier to Emfuleni's stated economic growth agenda.</w:t>
      </w:r>
    </w:p>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6.  The SPV transition — What changes on 1 July 2026</w:t>
      </w:r>
    </w:p>
    <w:p>
      <w:pPr>
        <w:spacing w:after="120" w:before="60"/>
        <w:jc w:val="left"/>
      </w:pPr>
      <w:r>
        <w:rPr>
          <w:rFonts w:ascii="Arial" w:cs="Arial" w:eastAsia="Arial" w:hAnsi="Arial"/>
          <w:color w:val="1A1A1A"/>
          <w:sz w:val="22"/>
          <w:szCs w:val="22"/>
        </w:rPr>
        <w:t xml:space="preserve">The most important structural development in the IDP is the formation of the Vaal Central Water Utility (VCWU) — a Special Purpose Vehicle (SPV) formed as a partnership between Emfuleni's Metsi-a-Lekoa department and Rand Water Services. Understanding this transition is critical for understanding where our opportunity sits.</w:t>
      </w:r>
    </w:p>
    <w:p>
      <w:r>
        <w:rPr>
          <w:sz w:val="22"/>
          <w:szCs w:val="22"/>
        </w:rPr>
        <w:t xml:space="preserve"/>
      </w:r>
    </w:p>
    <w:p>
      <w:pPr>
        <w:pStyle w:val="Heading2"/>
        <w:spacing w:after="120" w:before="320"/>
      </w:pPr>
      <w:r>
        <w:rPr>
          <w:rFonts w:ascii="Arial" w:cs="Arial" w:eastAsia="Arial" w:hAnsi="Arial"/>
          <w:b/>
          <w:bCs/>
          <w:color w:val="2E75B6"/>
          <w:sz w:val="28"/>
          <w:szCs w:val="28"/>
        </w:rPr>
        <w:t xml:space="preserve">6.1  What the SPV is and what it takes over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Formally launched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3 September 2025 (Emerald Resort &amp; Casino, Vereeniging)</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Legally constituted as VCWU</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14 November 2025</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Full operations transfer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1 July 2026</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Ownership structure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Partnership between Metsi-a-Lekoa (Emfuleni) and Rand Water Services</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Legal basis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Section 78 of the Municipal Systems Act + Section 63 of the Water Services Act</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it takes over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Water supply systems, sewer networks, wastewater treatment, O&amp;M, future infrastructure upgrades</w:t>
            </w:r>
          </w:p>
        </w:tc>
      </w:tr>
      <w:tr>
        <w:tc>
          <w:tcPr>
            <w:tcW w:type="dxa" w:w="32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it does NOT take over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Billing, revenue collection, accounts management, indigent register, credit control — these remain with the Emfuleni Finance Cluster</w:t>
            </w:r>
          </w:p>
        </w:tc>
      </w:tr>
    </w:tbl>
    <w:p>
      <w:r>
        <w:rPr>
          <w:sz w:val="22"/>
          <w:szCs w:val="22"/>
        </w:rPr>
        <w:t xml:space="preserve"/>
      </w:r>
    </w:p>
    <w:p>
      <w:pPr>
        <w:pStyle w:val="Heading2"/>
        <w:spacing w:after="120" w:before="320"/>
      </w:pPr>
      <w:r>
        <w:rPr>
          <w:rFonts w:ascii="Arial" w:cs="Arial" w:eastAsia="Arial" w:hAnsi="Arial"/>
          <w:b/>
          <w:bCs/>
          <w:color w:val="2E75B6"/>
          <w:sz w:val="28"/>
          <w:szCs w:val="28"/>
        </w:rPr>
        <w:t xml:space="preserve">6.2  What the SPV does NOT change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8910" w:sz="1"/>
              <w:left w:val="single" w:color="D68910" w:sz="1"/>
              <w:bottom w:val="single" w:color="D68910" w:sz="1"/>
              <w:right w:val="single" w:color="D68910" w:sz="1"/>
            </w:tcBorders>
            <w:shd w:fill="FEF9E7" w:val="clear"/>
            <w:tcMar>
              <w:top w:type="dxa" w:w="80"/>
              <w:left w:type="dxa" w:w="140"/>
              <w:bottom w:type="dxa" w:w="80"/>
              <w:right w:type="dxa" w:w="140"/>
            </w:tcMar>
            <w:vAlign w:val="top"/>
          </w:tcPr>
          <w:p>
            <w:pPr>
              <w:spacing w:after="100" w:before="0"/>
              <w:jc w:val="left"/>
            </w:pPr>
            <w:r>
              <w:rPr>
                <w:rFonts w:ascii="Arial" w:cs="Arial" w:eastAsia="Arial" w:hAnsi="Arial"/>
                <w:b/>
                <w:bCs/>
                <w:color w:val="D68910"/>
                <w:sz w:val="24"/>
                <w:szCs w:val="24"/>
              </w:rPr>
              <w:t xml:space="preserve">Critical point for our team to understand</w:t>
            </w:r>
          </w:p>
          <w:p>
            <w:pPr>
              <w:pStyle w:val="ListParagraph"/>
              <w:numPr>
                <w:ilvl w:val="0"/>
                <w:numId w:val="2"/>
              </w:numPr>
              <w:spacing w:after="60" w:before="40"/>
            </w:pPr>
            <w:r>
              <w:rPr>
                <w:rFonts w:ascii="Arial" w:cs="Arial" w:eastAsia="Arial" w:hAnsi="Arial"/>
                <w:color w:val="1A1A1A"/>
                <w:sz w:val="22"/>
                <w:szCs w:val="22"/>
              </w:rPr>
              <w:t xml:space="preserve">Billing sits in the Finance Cluster — not in Metsi-a-Lekoa, and not in the SPV. In the IDP, every billing complaint from every ward routes to the CFO's office, not to the water department.</w:t>
            </w:r>
          </w:p>
          <w:p>
            <w:pPr>
              <w:pStyle w:val="ListParagraph"/>
              <w:numPr>
                <w:ilvl w:val="0"/>
                <w:numId w:val="2"/>
              </w:numPr>
              <w:spacing w:after="60" w:before="40"/>
            </w:pPr>
            <w:r>
              <w:rPr>
                <w:rFonts w:ascii="Arial" w:cs="Arial" w:eastAsia="Arial" w:hAnsi="Arial"/>
                <w:color w:val="1A1A1A"/>
                <w:sz w:val="22"/>
                <w:szCs w:val="22"/>
              </w:rPr>
              <w:t xml:space="preserve">The SPV takes over the pipes, the plants, and the pump stations. It does not take over customer accounts, billing runs, indigent registers, or payment processing.</w:t>
            </w:r>
          </w:p>
          <w:p>
            <w:pPr>
              <w:pStyle w:val="ListParagraph"/>
              <w:numPr>
                <w:ilvl w:val="0"/>
                <w:numId w:val="2"/>
              </w:numPr>
              <w:spacing w:after="60" w:before="40"/>
            </w:pPr>
            <w:r>
              <w:rPr>
                <w:rFonts w:ascii="Arial" w:cs="Arial" w:eastAsia="Arial" w:hAnsi="Arial"/>
                <w:color w:val="1A1A1A"/>
                <w:sz w:val="22"/>
                <w:szCs w:val="22"/>
              </w:rPr>
              <w:t xml:space="preserve">The SPV transition adds a new reconciliation layer: VCWU will charge Emfuleni for bulk water supplied (a wholesale invoice). Emfuleni's Finance Cluster must reconcile that bulk supply against what it has billed and collected from retail customers.</w:t>
            </w:r>
          </w:p>
          <w:p>
            <w:pPr>
              <w:pStyle w:val="ListParagraph"/>
              <w:numPr>
                <w:ilvl w:val="0"/>
                <w:numId w:val="2"/>
              </w:numPr>
              <w:spacing w:after="60" w:before="40"/>
            </w:pPr>
            <w:r>
              <w:rPr>
                <w:rFonts w:ascii="Arial" w:cs="Arial" w:eastAsia="Arial" w:hAnsi="Arial"/>
                <w:color w:val="1A1A1A"/>
                <w:sz w:val="22"/>
                <w:szCs w:val="22"/>
              </w:rPr>
              <w:t xml:space="preserve">The billing problem gets MORE complex after July 2026, not less. The municipality now has to reconcile not just meter readings to bills, but bulk supply to retail consumption — across an entity boundary.</w:t>
            </w:r>
          </w:p>
          <w:p>
            <w:pPr>
              <w:pStyle w:val="ListParagraph"/>
              <w:numPr>
                <w:ilvl w:val="0"/>
                <w:numId w:val="2"/>
              </w:numPr>
              <w:spacing w:after="60" w:before="40"/>
            </w:pPr>
            <w:r>
              <w:rPr>
                <w:rFonts w:ascii="Arial" w:cs="Arial" w:eastAsia="Arial" w:hAnsi="Arial"/>
                <w:color w:val="1A1A1A"/>
                <w:sz w:val="22"/>
                <w:szCs w:val="22"/>
              </w:rPr>
              <w:t xml:space="preserve">Our customer for a billing and reconciliation system is the Emfuleni Finance Cluster — specifically the CFO and the Head of Revenue Management. This does not change with the SPV.</w:t>
            </w:r>
          </w:p>
        </w:tc>
      </w:tr>
    </w:tbl>
    <w:p>
      <w:r>
        <w:rPr>
          <w:sz w:val="22"/>
          <w:szCs w:val="22"/>
        </w:rPr>
        <w:t xml:space="preserve"/>
      </w:r>
    </w:p>
    <w:p>
      <w:r>
        <w:rPr>
          <w:sz w:val="22"/>
          <w:szCs w:val="22"/>
        </w:rPr>
        <w:t xml:space="preserve"/>
      </w:r>
    </w:p>
    <w:p>
      <w:pPr>
        <w:pStyle w:val="Heading1"/>
        <w:pBdr>
          <w:bottom w:val="single" w:color="2E75B6" w:sz="8" w:space="4"/>
        </w:pBdr>
        <w:spacing w:after="160" w:before="360"/>
      </w:pPr>
      <w:r>
        <w:rPr>
          <w:rFonts w:ascii="Arial" w:cs="Arial" w:eastAsia="Arial" w:hAnsi="Arial"/>
          <w:b/>
          <w:bCs/>
          <w:color w:val="1B4F8A"/>
          <w:sz w:val="36"/>
          <w:szCs w:val="36"/>
        </w:rPr>
        <w:t xml:space="preserve">7.  What exists today — the technology landscape</w:t>
      </w:r>
    </w:p>
    <w:p>
      <w:pPr>
        <w:pStyle w:val="Heading2"/>
        <w:spacing w:after="120" w:before="320"/>
      </w:pPr>
      <w:r>
        <w:rPr>
          <w:rFonts w:ascii="Arial" w:cs="Arial" w:eastAsia="Arial" w:hAnsi="Arial"/>
          <w:b/>
          <w:bCs/>
          <w:color w:val="2E75B6"/>
          <w:sz w:val="28"/>
          <w:szCs w:val="28"/>
        </w:rPr>
        <w:t xml:space="preserve">7.1  The existing billing system</w:t>
      </w:r>
    </w:p>
    <w:p>
      <w:pPr>
        <w:spacing w:after="120" w:before="60"/>
        <w:jc w:val="left"/>
      </w:pPr>
      <w:r>
        <w:rPr>
          <w:rFonts w:ascii="Arial" w:cs="Arial" w:eastAsia="Arial" w:hAnsi="Arial"/>
          <w:color w:val="1A1A1A"/>
          <w:sz w:val="22"/>
          <w:szCs w:val="22"/>
        </w:rPr>
        <w:t xml:space="preserve">The IDP does not name the existing billing engine. Based on common municipal deployments in South Africa, it is likely one of: Solar (the most widely deployed mSCOA-compliant system in SA municipalities), Munsoft, Sebata, or a customised SAP deployment. One of our early discovery tasks is to confirm which system is in use, as this determines the integration approach entirely.</w:t>
      </w:r>
    </w:p>
    <w:p>
      <w:r>
        <w:rPr>
          <w:sz w:val="22"/>
          <w:szCs w:val="22"/>
        </w:rPr>
        <w:t xml:space="preserve"/>
      </w:r>
    </w:p>
    <w:p>
      <w:pPr>
        <w:pStyle w:val="Heading2"/>
        <w:spacing w:after="120" w:before="320"/>
      </w:pPr>
      <w:r>
        <w:rPr>
          <w:rFonts w:ascii="Arial" w:cs="Arial" w:eastAsia="Arial" w:hAnsi="Arial"/>
          <w:b/>
          <w:bCs/>
          <w:color w:val="2E75B6"/>
          <w:sz w:val="28"/>
          <w:szCs w:val="28"/>
        </w:rPr>
        <w:t xml:space="preserve">7.2  The Billing Viewer</w:t>
      </w:r>
    </w:p>
    <w:p>
      <w:pPr>
        <w:spacing w:after="120" w:before="60"/>
        <w:jc w:val="left"/>
      </w:pPr>
      <w:r>
        <w:rPr>
          <w:rFonts w:ascii="Arial" w:cs="Arial" w:eastAsia="Arial" w:hAnsi="Arial"/>
          <w:color w:val="1A1A1A"/>
          <w:sz w:val="22"/>
          <w:szCs w:val="22"/>
        </w:rPr>
        <w:t xml:space="preserve">The IDP references a 'Billing Viewer for revenue enhancement' procured by the Planning cluster, with a stated go-live date of May 2026. Based on the IDP description, this appears to be a read-only reporting and visibility layer — not a billing engine, not a reconciliation system, and not a payment platform. It is the kind of tool that shows the CFO a dashboard of collection rates and account statuses. It does not solve the underlying data accuracy or reconciliation problem.</w:t>
      </w:r>
    </w:p>
    <w:p>
      <w:r>
        <w:rPr>
          <w:sz w:val="22"/>
          <w:szCs w:val="22"/>
        </w:rPr>
        <w:t xml:space="preserve"/>
      </w:r>
    </w:p>
    <w:p>
      <w:pPr>
        <w:spacing w:after="120" w:before="60"/>
        <w:jc w:val="left"/>
      </w:pPr>
      <w:r>
        <w:rPr>
          <w:rFonts w:ascii="Arial" w:cs="Arial" w:eastAsia="Arial" w:hAnsi="Arial"/>
          <w:color w:val="1A1A1A"/>
          <w:sz w:val="22"/>
          <w:szCs w:val="22"/>
        </w:rPr>
        <w:t xml:space="preserve">Confirming the exact scope of the Billing Viewer via the eTenders Portal (the public procurement notice will specify what was contracted) is a prerequisite before finalising our positioning. If it is a thin reporting layer, we have ample room to operate above it. If it is more comprehensive, we need to layer alongside or above it without duplicating its functionality.</w:t>
      </w:r>
    </w:p>
    <w:p>
      <w:r>
        <w:rPr>
          <w:sz w:val="22"/>
          <w:szCs w:val="22"/>
        </w:rPr>
        <w:t xml:space="preserve"/>
      </w:r>
    </w:p>
    <w:p>
      <w:pPr>
        <w:pStyle w:val="Heading2"/>
        <w:spacing w:after="120" w:before="320"/>
      </w:pPr>
      <w:r>
        <w:rPr>
          <w:rFonts w:ascii="Arial" w:cs="Arial" w:eastAsia="Arial" w:hAnsi="Arial"/>
          <w:b/>
          <w:bCs/>
          <w:color w:val="2E75B6"/>
          <w:sz w:val="28"/>
          <w:szCs w:val="28"/>
        </w:rPr>
        <w:t xml:space="preserve">7.3  The smart meter programme</w:t>
      </w:r>
    </w:p>
    <w:p>
      <w:pPr>
        <w:spacing w:after="120" w:before="60"/>
        <w:jc w:val="left"/>
      </w:pPr>
      <w:r>
        <w:rPr>
          <w:rFonts w:ascii="Arial" w:cs="Arial" w:eastAsia="Arial" w:hAnsi="Arial"/>
          <w:color w:val="1A1A1A"/>
          <w:sz w:val="22"/>
          <w:szCs w:val="22"/>
        </w:rPr>
        <w:t xml:space="preserve">The IDP repeatedly cites 'expansion of the Smart Meter Programme' as a headline revenue-collection intervention. This is currently focused primarily on electricity, following the Distribution Agency Agreement with Eskom. Water smart metering is less developed, and the IDP commits only to 'monthly reports on faulty and non-functional meters.'</w:t>
      </w:r>
    </w:p>
    <w:p>
      <w:r>
        <w:rPr>
          <w:sz w:val="22"/>
          <w:szCs w:val="22"/>
        </w:rPr>
        <w:t xml:space="preserve"/>
      </w:r>
    </w:p>
    <w:p>
      <w:pPr>
        <w:spacing w:after="120" w:before="60"/>
        <w:jc w:val="left"/>
      </w:pPr>
      <w:r>
        <w:rPr>
          <w:rFonts w:ascii="Arial" w:cs="Arial" w:eastAsia="Arial" w:hAnsi="Arial"/>
          <w:color w:val="1A1A1A"/>
          <w:sz w:val="22"/>
          <w:szCs w:val="22"/>
        </w:rPr>
        <w:t xml:space="preserve">Smart meters generate clean, tamper-evident consumption data — which is exactly the input that a billing system needs to produce accurate invoices. A billing platform that can ingest smart meter data (now for electricity, progressively for water) is positioned on the right side of the technology trajectory, not fighting it.</w:t>
      </w:r>
    </w:p>
    <w:p>
      <w:r>
        <w:rPr>
          <w:sz w:val="22"/>
          <w:szCs w:val="22"/>
        </w:rPr>
        <w:t xml:space="preserve"/>
      </w:r>
    </w:p>
    <w:p>
      <w:r>
        <w:rPr>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B4F8A"/>
          <w:sz w:val="36"/>
          <w:szCs w:val="36"/>
        </w:rPr>
        <w:t xml:space="preserve">8.  Summary for the team</w:t>
      </w:r>
    </w:p>
    <w:p>
      <w:pPr>
        <w:spacing w:after="120" w:before="60"/>
        <w:jc w:val="left"/>
      </w:pPr>
      <w:r>
        <w:rPr>
          <w:rFonts w:ascii="Arial" w:cs="Arial" w:eastAsia="Arial" w:hAnsi="Arial"/>
          <w:color w:val="1A1A1A"/>
          <w:sz w:val="22"/>
          <w:szCs w:val="22"/>
        </w:rPr>
        <w:t xml:space="preserve">Before any discussion of solution architecture, platform choices, or commercial model, every member of the team needs to hold this mental model clearly: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The question</w:t>
            </w:r>
          </w:p>
        </w:tc>
        <w:tc>
          <w:tcPr>
            <w:tcW w:type="dxa" w:w="576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The answer</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is broken?</w:t>
            </w:r>
          </w:p>
        </w:tc>
        <w:tc>
          <w:tcPr>
            <w:tcW w:type="dxa" w:w="5760"/>
            <w:tcBorders>
              <w:top w:val="single" w:color="D5D8DC" w:sz="1"/>
              <w:left w:val="single" w:color="D5D8DC" w:sz="1"/>
              <w:bottom w:val="single" w:color="D5D8DC" w:sz="1"/>
              <w:right w:val="single" w:color="D5D8DC" w:sz="1"/>
            </w:tcBorders>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The water billing chain — from meter reading to invoice generation to payment reconciliation. 56% of water is lost or unmetered. Bills are estimated, disputed, and unpaid. Data sources are disconnected and unreconciled.</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Where does it break?</w:t>
            </w:r>
          </w:p>
        </w:tc>
        <w:tc>
          <w:tcPr>
            <w:tcW w:type="dxa" w:w="57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At the meter (faulty/absent), in the billing system (estimates and mismatches), in the reconciliation process (Valuation Roll, Deeds, Surveyor-General, billing system not synced), and at the payment step (disputes, non-payment, no self-service).</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Why does it persist?</w:t>
            </w:r>
          </w:p>
        </w:tc>
        <w:tc>
          <w:tcPr>
            <w:tcW w:type="dxa" w:w="5760"/>
            <w:tcBorders>
              <w:top w:val="single" w:color="D5D8DC" w:sz="1"/>
              <w:left w:val="single" w:color="D5D8DC" w:sz="1"/>
              <w:bottom w:val="single" w:color="D5D8DC" w:sz="1"/>
              <w:right w:val="single" w:color="D5D8DC" w:sz="1"/>
            </w:tcBorders>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It is a closed loop: infrastructure fails → water is unmetered → bills are inaccurate → residents don't pay → no maintenance budget → infrastructure fails worse. No single actor has broken the loop.</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Who owns the problem?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The Finance Cluster — specifically Revenue Management under the CFO. The SPV takes over water operations; billing and revenue collection remain with the municipality.</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does fixing it unlock?</w:t>
            </w:r>
          </w:p>
        </w:tc>
        <w:tc>
          <w:tcPr>
            <w:tcW w:type="dxa" w:w="5760"/>
            <w:tcBorders>
              <w:top w:val="single" w:color="D5D8DC" w:sz="1"/>
              <w:left w:val="single" w:color="D5D8DC" w:sz="1"/>
              <w:bottom w:val="single" w:color="D5D8DC" w:sz="1"/>
              <w:right w:val="single" w:color="D5D8DC" w:sz="1"/>
            </w:tcBorders>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Each 1% improvement in the collection rate on the R6.687bn revenue base is ~R67m. Accurate billing reduces disputes, reduces debt write-offs, and rebuilds the community's willingness to pay. Better reconciliation enables the municipality to manage its Rand Water bulk supply relationship and survive the SPV transition without a new debt spiral.</w:t>
            </w:r>
          </w:p>
        </w:tc>
      </w:tr>
      <w:tr>
        <w:tc>
          <w:tcPr>
            <w:tcW w:type="dxa" w:w="3600"/>
            <w:tcBorders>
              <w:top w:val="single" w:color="D5D8DC" w:sz="1"/>
              <w:left w:val="single" w:color="D5D8DC" w:sz="1"/>
              <w:bottom w:val="single" w:color="D5D8DC" w:sz="1"/>
              <w:right w:val="single" w:color="D5D8DC" w:sz="1"/>
            </w:tcBorders>
            <w:shd w:fill="2E75B6"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What is our window?</w:t>
            </w:r>
          </w:p>
        </w:tc>
        <w:tc>
          <w:tcPr>
            <w:tcW w:type="dxa" w:w="57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after="60" w:before="60"/>
              <w:jc w:val="left"/>
            </w:pPr>
            <w:r>
              <w:rPr>
                <w:rFonts w:ascii="Arial" w:cs="Arial" w:eastAsia="Arial" w:hAnsi="Arial"/>
                <w:sz w:val="21"/>
                <w:szCs w:val="21"/>
              </w:rPr>
              <w:t xml:space="preserve">The SPV transition on 1 July 2026 creates urgency. The municipality needs the revenue-side problem solved before and alongside the operational handover — not after it. The IDP itself names billing digital transformation as a strategic opportunity. The window is now.</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8910" w:sz="1"/>
              <w:left w:val="single" w:color="D68910" w:sz="1"/>
              <w:bottom w:val="single" w:color="D68910" w:sz="1"/>
              <w:right w:val="single" w:color="D68910" w:sz="1"/>
            </w:tcBorders>
            <w:shd w:fill="FEF9E7" w:val="clear"/>
            <w:tcMar>
              <w:top w:type="dxa" w:w="80"/>
              <w:left w:type="dxa" w:w="140"/>
              <w:bottom w:type="dxa" w:w="80"/>
              <w:right w:type="dxa" w:w="140"/>
            </w:tcMar>
            <w:vAlign w:val="top"/>
          </w:tcPr>
          <w:p>
            <w:pPr>
              <w:spacing w:after="100" w:before="0"/>
              <w:jc w:val="left"/>
            </w:pPr>
            <w:r>
              <w:rPr>
                <w:rFonts w:ascii="Arial" w:cs="Arial" w:eastAsia="Arial" w:hAnsi="Arial"/>
                <w:b/>
                <w:bCs/>
                <w:color w:val="D68910"/>
                <w:sz w:val="24"/>
                <w:szCs w:val="24"/>
              </w:rPr>
              <w:t xml:space="preserve">What this document is NOT saying</w:t>
            </w:r>
          </w:p>
          <w:p>
            <w:pPr>
              <w:pStyle w:val="ListParagraph"/>
              <w:numPr>
                <w:ilvl w:val="0"/>
                <w:numId w:val="2"/>
              </w:numPr>
              <w:spacing w:after="60" w:before="40"/>
            </w:pPr>
            <w:r>
              <w:rPr>
                <w:rFonts w:ascii="Arial" w:cs="Arial" w:eastAsia="Arial" w:hAnsi="Arial"/>
                <w:color w:val="1A1A1A"/>
                <w:sz w:val="22"/>
                <w:szCs w:val="22"/>
              </w:rPr>
              <w:t xml:space="preserve">We are not saying we will fix the pipes. That is the SPV's job.</w:t>
            </w:r>
          </w:p>
          <w:p>
            <w:pPr>
              <w:pStyle w:val="ListParagraph"/>
              <w:numPr>
                <w:ilvl w:val="0"/>
                <w:numId w:val="2"/>
              </w:numPr>
              <w:spacing w:after="60" w:before="40"/>
            </w:pPr>
            <w:r>
              <w:rPr>
                <w:rFonts w:ascii="Arial" w:cs="Arial" w:eastAsia="Arial" w:hAnsi="Arial"/>
                <w:color w:val="1A1A1A"/>
                <w:sz w:val="22"/>
                <w:szCs w:val="22"/>
              </w:rPr>
              <w:t xml:space="preserve">We are not saying we will fix 56% NRW. Reducing physical losses requires infrastructure — not software.</w:t>
            </w:r>
          </w:p>
          <w:p>
            <w:pPr>
              <w:pStyle w:val="ListParagraph"/>
              <w:numPr>
                <w:ilvl w:val="0"/>
                <w:numId w:val="2"/>
              </w:numPr>
              <w:spacing w:after="60" w:before="40"/>
            </w:pPr>
            <w:r>
              <w:rPr>
                <w:rFonts w:ascii="Arial" w:cs="Arial" w:eastAsia="Arial" w:hAnsi="Arial"/>
                <w:color w:val="1A1A1A"/>
                <w:sz w:val="22"/>
                <w:szCs w:val="22"/>
              </w:rPr>
              <w:t xml:space="preserve">We are saying: the revenue-side failure is real, urgent, officially acknowledged, and unsolved. We can build something that addresses steps 2 and 3 of the vicious cycle. That is enough of a problem to justify a serious product.</w:t>
            </w:r>
          </w:p>
        </w:tc>
      </w:tr>
    </w:tbl>
    <w:p>
      <w:r>
        <w:rPr>
          <w:sz w:val="22"/>
          <w:szCs w:val="22"/>
        </w:rPr>
        <w:t xml:space="preserve"/>
      </w:r>
    </w:p>
    <w:p>
      <w:r>
        <w:rPr>
          <w:sz w:val="22"/>
          <w:szCs w:val="22"/>
        </w:rPr>
        <w:t xml:space="preserve"/>
      </w:r>
    </w:p>
    <w:p>
      <w:pPr>
        <w:pStyle w:val="Heading1"/>
        <w:pBdr>
          <w:bottom w:val="single" w:color="2E75B6" w:sz="8" w:space="4"/>
        </w:pBdr>
        <w:spacing w:after="160" w:before="360"/>
      </w:pPr>
      <w:r>
        <w:rPr>
          <w:rFonts w:ascii="Arial" w:cs="Arial" w:eastAsia="Arial" w:hAnsi="Arial"/>
          <w:b/>
          <w:bCs/>
          <w:color w:val="1B4F8A"/>
          <w:sz w:val="36"/>
          <w:szCs w:val="36"/>
        </w:rPr>
        <w:t xml:space="preserve">9.  Next steps — Before we build anything</w:t>
      </w:r>
    </w:p>
    <w:p>
      <w:pPr>
        <w:pStyle w:val="Heading2"/>
        <w:spacing w:after="120" w:before="320"/>
      </w:pPr>
      <w:r>
        <w:rPr>
          <w:rFonts w:ascii="Arial" w:cs="Arial" w:eastAsia="Arial" w:hAnsi="Arial"/>
          <w:b/>
          <w:bCs/>
          <w:color w:val="2E75B6"/>
          <w:sz w:val="28"/>
          <w:szCs w:val="28"/>
        </w:rPr>
        <w:t xml:space="preserve">9.1  Discovery tasks (non-negotiable before the solution spec is finalised)</w:t>
      </w:r>
    </w:p>
    <w:p>
      <w:pPr>
        <w:pStyle w:val="ListParagraph"/>
        <w:numPr>
          <w:ilvl w:val="0"/>
          <w:numId w:val="2"/>
        </w:numPr>
        <w:spacing w:after="80" w:before="40"/>
      </w:pPr>
      <w:r>
        <w:rPr>
          <w:rFonts w:ascii="Arial" w:cs="Arial" w:eastAsia="Arial" w:hAnsi="Arial"/>
          <w:color w:val="1A1A1A"/>
          <w:sz w:val="22"/>
          <w:szCs w:val="22"/>
        </w:rPr>
        <w:t xml:space="preserve">Confirm the existing billing system vendor (Solar, Munsoft, Sebata, SAP, or other) — this determines the integration architecture.</w:t>
      </w:r>
    </w:p>
    <w:p>
      <w:pPr>
        <w:pStyle w:val="ListParagraph"/>
        <w:numPr>
          <w:ilvl w:val="0"/>
          <w:numId w:val="2"/>
        </w:numPr>
        <w:spacing w:after="80" w:before="40"/>
      </w:pPr>
      <w:r>
        <w:rPr>
          <w:rFonts w:ascii="Arial" w:cs="Arial" w:eastAsia="Arial" w:hAnsi="Arial"/>
          <w:color w:val="1A1A1A"/>
          <w:sz w:val="22"/>
          <w:szCs w:val="22"/>
        </w:rPr>
        <w:t xml:space="preserve">Obtain the Billing Viewer procurement notice from eTenders Portal — confirm whether it is a thin reporting layer or a full billing engine.</w:t>
      </w:r>
    </w:p>
    <w:p>
      <w:pPr>
        <w:pStyle w:val="ListParagraph"/>
        <w:numPr>
          <w:ilvl w:val="0"/>
          <w:numId w:val="2"/>
        </w:numPr>
        <w:spacing w:after="80" w:before="40"/>
      </w:pPr>
      <w:r>
        <w:rPr>
          <w:rFonts w:ascii="Arial" w:cs="Arial" w:eastAsia="Arial" w:hAnsi="Arial"/>
          <w:color w:val="1A1A1A"/>
          <w:sz w:val="22"/>
          <w:szCs w:val="22"/>
        </w:rPr>
        <w:t xml:space="preserve">Obtain or request a summary of the SPV Shareholder Agreement — specifically: does the SPV bill residents directly, or does Emfuleni Finance continue to bill and remit to the SPV?</w:t>
      </w:r>
    </w:p>
    <w:p>
      <w:pPr>
        <w:pStyle w:val="ListParagraph"/>
        <w:numPr>
          <w:ilvl w:val="0"/>
          <w:numId w:val="2"/>
        </w:numPr>
        <w:spacing w:after="80" w:before="40"/>
      </w:pPr>
      <w:r>
        <w:rPr>
          <w:rFonts w:ascii="Arial" w:cs="Arial" w:eastAsia="Arial" w:hAnsi="Arial"/>
          <w:color w:val="1A1A1A"/>
          <w:sz w:val="22"/>
          <w:szCs w:val="22"/>
        </w:rPr>
        <w:t xml:space="preserve">Confirm the current smart meter rollout status for water (not just electricity) — are any water districts already on AMI?</w:t>
      </w:r>
    </w:p>
    <w:p>
      <w:pPr>
        <w:pStyle w:val="ListParagraph"/>
        <w:numPr>
          <w:ilvl w:val="0"/>
          <w:numId w:val="2"/>
        </w:numPr>
        <w:spacing w:after="80" w:before="40"/>
      </w:pPr>
      <w:r>
        <w:rPr>
          <w:rFonts w:ascii="Arial" w:cs="Arial" w:eastAsia="Arial" w:hAnsi="Arial"/>
          <w:color w:val="1A1A1A"/>
          <w:sz w:val="22"/>
          <w:szCs w:val="22"/>
        </w:rPr>
        <w:t xml:space="preserve">Identify and request a meeting with the Head of Revenue Management and/or the CFO — through the introduction offered by our former-municipal-accountant contact.</w:t>
      </w:r>
    </w:p>
    <w:p>
      <w:pPr>
        <w:pStyle w:val="Heading2"/>
        <w:spacing w:after="120" w:before="320"/>
      </w:pPr>
      <w:r>
        <w:rPr>
          <w:rFonts w:ascii="Arial" w:cs="Arial" w:eastAsia="Arial" w:hAnsi="Arial"/>
          <w:b/>
          <w:bCs/>
          <w:color w:val="2E75B6"/>
          <w:sz w:val="28"/>
          <w:szCs w:val="28"/>
        </w:rPr>
        <w:t xml:space="preserve">9.2  Immediate action</w:t>
      </w:r>
    </w:p>
    <w:p>
      <w:pPr>
        <w:pStyle w:val="ListParagraph"/>
        <w:numPr>
          <w:ilvl w:val="0"/>
          <w:numId w:val="2"/>
        </w:numPr>
        <w:spacing w:after="80" w:before="40"/>
      </w:pPr>
      <w:r>
        <w:rPr>
          <w:rFonts w:ascii="Arial" w:cs="Arial" w:eastAsia="Arial" w:hAnsi="Arial"/>
          <w:color w:val="1A1A1A"/>
          <w:sz w:val="22"/>
          <w:szCs w:val="22"/>
        </w:rPr>
        <w:t xml:space="preserve">Reply to our contact confirming we want to take up the introduction offer — ask specifically for the CFO or Head of Revenue Management, and state we will have a one-pager ready within two weeks.</w:t>
      </w:r>
    </w:p>
    <w:p>
      <w:pPr>
        <w:pStyle w:val="ListParagraph"/>
        <w:numPr>
          <w:ilvl w:val="0"/>
          <w:numId w:val="2"/>
        </w:numPr>
        <w:spacing w:after="80" w:before="40"/>
      </w:pPr>
      <w:r>
        <w:rPr>
          <w:rFonts w:ascii="Arial" w:cs="Arial" w:eastAsia="Arial" w:hAnsi="Arial"/>
          <w:color w:val="1A1A1A"/>
          <w:sz w:val="22"/>
          <w:szCs w:val="22"/>
        </w:rPr>
        <w:t xml:space="preserve">Draft the concept paper (not a product spec — a needs articulation document in the municipality's own language, aligned to the IDP's stated priorities).</w:t>
      </w:r>
    </w:p>
    <w:p>
      <w:pPr>
        <w:pStyle w:val="ListParagraph"/>
        <w:numPr>
          <w:ilvl w:val="0"/>
          <w:numId w:val="2"/>
        </w:numPr>
        <w:spacing w:after="80" w:before="40"/>
      </w:pPr>
      <w:r>
        <w:rPr>
          <w:rFonts w:ascii="Arial" w:cs="Arial" w:eastAsia="Arial" w:hAnsi="Arial"/>
          <w:color w:val="1A1A1A"/>
          <w:sz w:val="22"/>
          <w:szCs w:val="22"/>
        </w:rPr>
        <w:t xml:space="preserve">Build a Figma prototype showing the three core surfaces: resident bill view and query, clerk dispute queue, and CFO reconciliation dashboard.</w:t>
      </w:r>
    </w:p>
    <w:p>
      <w:r>
        <w:rPr>
          <w:sz w:val="22"/>
          <w:szCs w:val="22"/>
        </w:rPr>
        <w:t xml:space="preserve"/>
      </w:r>
    </w:p>
    <w:p>
      <w:r>
        <w:rPr>
          <w:sz w:val="22"/>
          <w:szCs w:val="22"/>
        </w:rPr>
        <w:t xml:space="preserve"/>
      </w:r>
    </w:p>
    <w:p>
      <w:pPr>
        <w:pStyle w:val="Heading1"/>
        <w:pBdr>
          <w:bottom w:val="single" w:color="2E75B6" w:sz="8" w:space="4"/>
        </w:pBdr>
        <w:spacing w:after="160" w:before="360"/>
      </w:pPr>
      <w:r>
        <w:rPr>
          <w:rFonts w:ascii="Arial" w:cs="Arial" w:eastAsia="Arial" w:hAnsi="Arial"/>
          <w:b/>
          <w:bCs/>
          <w:color w:val="1B4F8A"/>
          <w:sz w:val="36"/>
          <w:szCs w:val="36"/>
        </w:rPr>
        <w:t xml:space="preserve">10.  Reference — Source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Primary source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Emfuleni Local Municipality Draft Integrated Development Plan 2026/2027 (303 pages, reviewed in full)</w:t>
            </w:r>
          </w:p>
        </w:tc>
      </w:tr>
      <w:tr>
        <w:tc>
          <w:tcPr>
            <w:tcW w:type="dxa" w:w="2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Secondary source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Stakeholder conversation with former Emfuleni municipal accountant (May 2026)</w:t>
            </w:r>
          </w:p>
        </w:tc>
      </w:tr>
      <w:tr>
        <w:tc>
          <w:tcPr>
            <w:tcW w:type="dxa" w:w="2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Document prepared by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Internal strategy team</w:t>
            </w:r>
          </w:p>
        </w:tc>
      </w:tr>
      <w:tr>
        <w:tc>
          <w:tcPr>
            <w:tcW w:type="dxa" w:w="2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Version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1.0 — May 2026</w:t>
            </w:r>
          </w:p>
        </w:tc>
      </w:tr>
      <w:tr>
        <w:tc>
          <w:tcPr>
            <w:tcW w:type="dxa" w:w="2800"/>
            <w:tcBorders>
              <w:top w:val="single" w:color="D5D8DC" w:sz="1"/>
              <w:left w:val="single" w:color="D5D8DC" w:sz="1"/>
              <w:bottom w:val="single" w:color="D5D8DC" w:sz="1"/>
              <w:right w:val="single" w:color="D5D8DC"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2"/>
                <w:szCs w:val="22"/>
              </w:rPr>
              <w:t xml:space="preserve">Classification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color w:val="1A1A1A"/>
                <w:sz w:val="22"/>
                <w:szCs w:val="22"/>
              </w:rPr>
              <w:t xml:space="preserve">Confidential — internal use only. Not for external distribution without written approval.</w:t>
            </w:r>
          </w:p>
        </w:tc>
      </w:tr>
    </w:tbl>
    <w:p>
      <w:r>
        <w:rPr>
          <w:sz w:val="22"/>
          <w:szCs w:val="22"/>
        </w:rPr>
        <w:t xml:space="preserve"/>
      </w:r>
    </w:p>
    <w:p>
      <w:r>
        <w:rPr>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D5D8DC" w:sz="1"/>
            <w:left w:val="none" w:color="FFFFFF" w:sz="0"/>
            <w:bottom w:val="none" w:color="FFFFFF" w:sz="0"/>
            <w:right w:val="none" w:color="FFFFFF" w:sz="0"/>
          </w:tcBorders>
          <w:tcMar>
            <w:top w:type="dxa" w:w="80"/>
            <w:left w:type="dxa" w:w="140"/>
            <w:bottom w:type="dxa" w:w="80"/>
            <w:right w:type="dxa" w:w="140"/>
          </w:tcMar>
          <w:vAlign w:val="top"/>
        </w:tcPr>
        <w:p>
          <w:pPr>
            <w:spacing w:after="0" w:before="0"/>
            <w:jc w:val="left"/>
          </w:pPr>
          <w:r>
            <w:rPr>
              <w:rFonts w:ascii="Arial" w:cs="Arial" w:eastAsia="Arial" w:hAnsi="Arial"/>
              <w:i/>
              <w:iCs/>
              <w:color w:val="555555"/>
              <w:sz w:val="18"/>
              <w:szCs w:val="18"/>
            </w:rPr>
            <w:t xml:space="preserve">Version 1.0  |  May 2026  |  Internal — Not for distribution</w:t>
          </w:r>
        </w:p>
      </w:tc>
      <w:tc>
        <w:tcPr>
          <w:tcW w:type="dxa" w:w="3000"/>
          <w:tcBorders>
            <w:top w:val="single" w:color="D5D8DC" w:sz="1"/>
            <w:left w:val="none" w:color="FFFFFF" w:sz="0"/>
            <w:bottom w:val="none" w:color="FFFFFF" w:sz="0"/>
            <w:right w:val="none" w:color="FFFFFF" w:sz="0"/>
          </w:tcBorders>
          <w:tcMar>
            <w:top w:type="dxa" w:w="80"/>
            <w:left w:type="dxa" w:w="140"/>
            <w:bottom w:type="dxa" w:w="80"/>
            <w:right w:type="dxa" w:w="140"/>
          </w:tcMar>
          <w:vAlign w:val="top"/>
        </w:tcPr>
        <w:p>
          <w:pPr>
            <w:spacing w:after="0" w:before="0"/>
            <w:jc w:val="right"/>
          </w:pPr>
          <w:r>
            <w:rPr>
              <w:rFonts w:ascii="Arial" w:cs="Arial" w:eastAsia="Arial" w:hAnsi="Arial"/>
              <w:color w:val="555555"/>
              <w:sz w:val="18"/>
              <w:szCs w:val="18"/>
            </w:rPr>
            <w:t xml:space="preserve">Page </w:t>
          </w:r>
          <w:r>
            <w:rPr>
              <w:rFonts w:ascii="Arial" w:cs="Arial" w:eastAsia="Arial" w:hAnsi="Arial"/>
              <w:color w:val="555555"/>
              <w:sz w:val="18"/>
              <w:szCs w:val="18"/>
            </w:rPr>
            <w:pgNum/>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D5D8DC" w:sz="1"/>
            <w:right w:val="none" w:color="FFFFFF" w:sz="0"/>
          </w:tcBorders>
          <w:tcMar>
            <w:top w:type="dxa" w:w="80"/>
            <w:left w:type="dxa" w:w="140"/>
            <w:bottom w:type="dxa" w:w="80"/>
            <w:right w:type="dxa" w:w="140"/>
          </w:tcMar>
          <w:vAlign w:val="top"/>
        </w:tcPr>
        <w:p>
          <w:pPr>
            <w:spacing w:after="0" w:before="0"/>
            <w:jc w:val="left"/>
          </w:pPr>
          <w:r>
            <w:rPr>
              <w:rFonts w:ascii="Arial" w:cs="Arial" w:eastAsia="Arial" w:hAnsi="Arial"/>
              <w:color w:val="555555"/>
              <w:sz w:val="18"/>
              <w:szCs w:val="18"/>
            </w:rPr>
            <w:t xml:space="preserve">Emfuleni Water &amp; Billing Crisis — Problem Statement</w:t>
          </w:r>
        </w:p>
      </w:tc>
      <w:tc>
        <w:tcPr>
          <w:tcW w:type="dxa" w:w="3000"/>
          <w:tcBorders>
            <w:top w:val="none" w:color="FFFFFF" w:sz="0"/>
            <w:left w:val="none" w:color="FFFFFF" w:sz="0"/>
            <w:bottom w:val="single" w:color="D5D8DC" w:sz="1"/>
            <w:right w:val="none" w:color="FFFFFF" w:sz="0"/>
          </w:tcBorders>
          <w:tcMar>
            <w:top w:type="dxa" w:w="80"/>
            <w:left w:type="dxa" w:w="140"/>
            <w:bottom w:type="dxa" w:w="80"/>
            <w:right w:type="dxa" w:w="140"/>
          </w:tcMar>
          <w:vAlign w:val="top"/>
        </w:tcPr>
        <w:p>
          <w:pPr>
            <w:spacing w:after="0" w:before="0"/>
            <w:jc w:val="right"/>
          </w:pPr>
          <w:r>
            <w:rPr>
              <w:rFonts w:ascii="Arial" w:cs="Arial" w:eastAsia="Arial" w:hAnsi="Arial"/>
              <w:i/>
              <w:iCs/>
              <w:color w:val="555555"/>
              <w:sz w:val="18"/>
              <w:szCs w:val="18"/>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D78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2026-05-22T15:37:02.152Z</dcterms:created>
  <dcterms:modified xsi:type="dcterms:W3CDTF">2026-05-22T15:37:02.152Z</dcterms:modified>
</cp:coreProperties>
</file>

<file path=docProps/custom.xml><?xml version="1.0" encoding="utf-8"?>
<Properties xmlns="http://schemas.openxmlformats.org/officeDocument/2006/custom-properties" xmlns:vt="http://schemas.openxmlformats.org/officeDocument/2006/docPropsVTypes"/>
</file>