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99"/>
          <w:sz w:val="32"/>
          <w:szCs w:val="32"/>
        </w:rPr>
        <w:t xml:space="preserve">ПРАВЕН АНАЛИЗ И ПРЕПОРЪКИ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Отговор на Касационна Жалба — Остенд срещу Интелпикс България Инвест ЕООД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Дело № 23336/2023 (СРС) / № 6528/2024 (СГС)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Изготвен: 03 април 2026 г.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1. ОБЩА ОЦЕНКА НА ПРЕДЛОЖЕНИЯ ОТГОВОР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Отговорът на касационната жалба (ОКЖ), изготвен от адв. Гайдаров, е </w:t>
      </w: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по същество правилен и добре аргументиран</w:t>
      </w:r>
      <w:r>
        <w:rPr>
          <w:rFonts w:ascii="Calibri" w:cs="Calibri" w:eastAsia="Calibri" w:hAnsi="Calibri"/>
          <w:sz w:val="22"/>
          <w:szCs w:val="22"/>
        </w:rPr>
        <w:t xml:space="preserve">. Основните правни тези са верни и съответстват на установената съдебна практика. Документът обаче може да бъде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значително подобрен</w:t>
      </w:r>
      <w:r>
        <w:rPr>
          <w:rFonts w:ascii="Calibri" w:cs="Calibri" w:eastAsia="Calibri" w:hAnsi="Calibri"/>
          <w:sz w:val="22"/>
          <w:szCs w:val="22"/>
        </w:rPr>
        <w:t xml:space="preserve"> в следните направления: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2. СИЛНИ СТРАНИ НА НАСТОЯЩИЯ ОТГОВОР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Правилна квалификация: </w:t>
      </w:r>
      <w:r>
        <w:rPr>
          <w:rFonts w:ascii="Calibri" w:cs="Calibri" w:eastAsia="Calibri" w:hAnsi="Calibri"/>
          <w:sz w:val="22"/>
          <w:szCs w:val="22"/>
        </w:rPr>
        <w:t xml:space="preserve">Вярно е посочено, че определянето на наследствените квоти е изцяло правен въпрос, а не въпрос, изискващ специални знания по смисъла на чл. 195, ал. 1 ГПК.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Хронология на отказа от експертиза: </w:t>
      </w:r>
      <w:r>
        <w:rPr>
          <w:rFonts w:ascii="Calibri" w:cs="Calibri" w:eastAsia="Calibri" w:hAnsi="Calibri"/>
          <w:sz w:val="22"/>
          <w:szCs w:val="22"/>
        </w:rPr>
        <w:t xml:space="preserve">Ясно е документирано, че ответникът сам се е отказал от искането за експертиза на 14.11.2023 г. — ключов факт за процесуалната преклузия.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Позоваване на чл. 3 ГПК (злоупотреба с право): </w:t>
      </w:r>
      <w:r>
        <w:rPr>
          <w:rFonts w:ascii="Calibri" w:cs="Calibri" w:eastAsia="Calibri" w:hAnsi="Calibri"/>
          <w:sz w:val="22"/>
          <w:szCs w:val="22"/>
        </w:rPr>
        <w:t xml:space="preserve">Правилно е повдигнат въпросът за шиканиране на процеса.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Подробна таблица на наследствената верига: </w:t>
      </w:r>
      <w:r>
        <w:rPr>
          <w:rFonts w:ascii="Calibri" w:cs="Calibri" w:eastAsia="Calibri" w:hAnsi="Calibri"/>
          <w:sz w:val="22"/>
          <w:szCs w:val="22"/>
        </w:rPr>
        <w:t xml:space="preserve">Изчисленията на квотите са ясни, проследими и верни.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 КРИТИЧНИ ПРЕПОРЪКИ ЗА ПОДОБРЕНИЕ</w:t>
      </w:r>
    </w:p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3.1. Структурни проблеми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ПРОБЛЕМ 1: Емоционален тон в раздела за разноските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Абзацът, започващ с „Аз имам над 20 години магистратски и адвокатски опит и не приемам оценката на колегата младши съдия..." е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категорично неподходящ</w:t>
      </w:r>
      <w:r>
        <w:rPr>
          <w:rFonts w:ascii="Calibri" w:cs="Calibri" w:eastAsia="Calibri" w:hAnsi="Calibri"/>
          <w:sz w:val="22"/>
          <w:szCs w:val="22"/>
        </w:rPr>
        <w:t xml:space="preserve"> за подаване пред ВКС. Касационната инстанция очаква стриктно правна аргументация, а не лични квалификации или обиди към по-нисшестоящи съдии. Този пасаж може да предизвика негативно отношение от страна на съдиите и да навреди на цялостното впечатление от отговора.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Препоръка: </w:t>
      </w:r>
      <w:r>
        <w:rPr>
          <w:rFonts w:ascii="Calibri" w:cs="Calibri" w:eastAsia="Calibri" w:hAnsi="Calibri"/>
          <w:sz w:val="22"/>
          <w:szCs w:val="22"/>
        </w:rPr>
        <w:t xml:space="preserve">Заменете целия раздел за разноските с кратко, обективно изложение: „Молим ВКС да присъди направените разноски в пълен размер, доколкото претенцията на другата страна е неоснователна и е насочена изключително към забавяне на производството."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ПРОБЛЕМ 2: Липса на конкретно позоваване на практика на ВКС в полза на тезата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Отговорът критикува цитираните от касатора решения, но не предлага собствена практика в подкрепа на позицията. Пред ВКС това е съществен пропуск — съдът очаква и двете страни да аргументират позициите си с практика.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Препоръка: </w:t>
      </w:r>
      <w:r>
        <w:rPr>
          <w:rFonts w:ascii="Calibri" w:cs="Calibri" w:eastAsia="Calibri" w:hAnsi="Calibri"/>
          <w:sz w:val="22"/>
          <w:szCs w:val="22"/>
        </w:rPr>
        <w:t xml:space="preserve">Добавете позоваване на следните решения: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Решение № 97/08.02.2013 г. по гр. д. № 196/2012, I ГО на ВКС</w:t>
      </w:r>
      <w:r>
        <w:rPr>
          <w:rFonts w:ascii="Calibri" w:cs="Calibri" w:eastAsia="Calibri" w:hAnsi="Calibri"/>
          <w:sz w:val="22"/>
          <w:szCs w:val="22"/>
        </w:rPr>
        <w:t xml:space="preserve"> — съдът самостоятелно определя квотите на съделителите, тъй като това е правен, а не фактически въпрос.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 № 1/2009 г. на ОСГТК на ВКС</w:t>
      </w:r>
      <w:r>
        <w:rPr>
          <w:rFonts w:ascii="Calibri" w:cs="Calibri" w:eastAsia="Calibri" w:hAnsi="Calibri"/>
          <w:sz w:val="22"/>
          <w:szCs w:val="22"/>
        </w:rPr>
        <w:t xml:space="preserve"> — касаторът е длъжен да формулира ясен правен въпрос, обусловил изводите на въззивния съд. Общото твърдение за „сложност" не покрива този стандарт.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Решение № 217/09.06.2011 г. по гр. д. № 761/2010, IV ГО</w:t>
      </w:r>
      <w:r>
        <w:rPr>
          <w:rFonts w:ascii="Calibri" w:cs="Calibri" w:eastAsia="Calibri" w:hAnsi="Calibri"/>
          <w:sz w:val="22"/>
          <w:szCs w:val="22"/>
        </w:rPr>
        <w:t xml:space="preserve"> — относно преклузията на доказателствени искания, оттеглени в първата инстанция.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ПРОБЛЕМ 3: Не е систематично адресиран стандартът по чл. 280, ал. 1 ГПК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Касаторът се позовава на чл. 280, ал. 1, т. 3 ГПК (въпрос от значение за точното прилагане на закона). Отговорът трябва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ясно и конкретно</w:t>
      </w:r>
      <w:r>
        <w:rPr>
          <w:rFonts w:ascii="Calibri" w:cs="Calibri" w:eastAsia="Calibri" w:hAnsi="Calibri"/>
          <w:sz w:val="22"/>
          <w:szCs w:val="22"/>
        </w:rPr>
        <w:t xml:space="preserve"> да обори всяко от трите основания по чл. 280, а не да ги разглежда общо. ВКС решава на този етап единствено допустимостта, не основателността.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Препоръка: </w:t>
      </w:r>
      <w:r>
        <w:rPr>
          <w:rFonts w:ascii="Calibri" w:cs="Calibri" w:eastAsia="Calibri" w:hAnsi="Calibri"/>
          <w:sz w:val="22"/>
          <w:szCs w:val="22"/>
        </w:rPr>
        <w:t xml:space="preserve">Структурирайте аргументацията по чл. 280 в три ясни подточки: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чл. 280, ал. 1, т. 1 ГПК: </w:t>
      </w:r>
      <w:r>
        <w:rPr>
          <w:rFonts w:ascii="Calibri" w:cs="Calibri" w:eastAsia="Calibri" w:hAnsi="Calibri"/>
          <w:sz w:val="22"/>
          <w:szCs w:val="22"/>
        </w:rPr>
        <w:t xml:space="preserve">Въззивното решение НЕ противоречи на практиката на ВКС. Цитираните от касатора решения касаят коренно различни хипотези (национализирано имущество, спорна регулация, оспорени завещания), а не стандартно наследствено правоприемство.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чл. 280, ал. 1, т. 2 ГПК: </w:t>
      </w:r>
      <w:r>
        <w:rPr>
          <w:rFonts w:ascii="Calibri" w:cs="Calibri" w:eastAsia="Calibri" w:hAnsi="Calibri"/>
          <w:sz w:val="22"/>
          <w:szCs w:val="22"/>
        </w:rPr>
        <w:t xml:space="preserve">Липсва противоречива практика — всички състави на ВКС приемат, че определянето на наследствени квоти е правен въпрос.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чл. 280, ал. 1, т. 3 ГПК: </w:t>
      </w:r>
      <w:r>
        <w:rPr>
          <w:rFonts w:ascii="Calibri" w:cs="Calibri" w:eastAsia="Calibri" w:hAnsi="Calibri"/>
          <w:sz w:val="22"/>
          <w:szCs w:val="22"/>
        </w:rPr>
        <w:t xml:space="preserve">Поставените въпроси нямат значение за точното прилагане на закона, тъй като въпросът кога е необходима експертиза е ясно уреден в чл. 195 ГПК и трайната практика.</w:t>
      </w:r>
    </w:p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3.2. Допълнителни препоръки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ПРОБЛЕМ 4: Правописни грешки и недовършени изречения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Документът съдържа множество правописни грешки и печатни неточности (напр. „обсосновани" вместо „обосновани", „едиствено" вместо „единствено", „интанция" вместо „инстанция", „експертаза" вместо „експертиза", „разяснина" и др.). Пред ВКС документите трябва да бъдат безупречно изпипани.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Препоръка: </w:t>
      </w:r>
      <w:r>
        <w:rPr>
          <w:rFonts w:ascii="Calibri" w:cs="Calibri" w:eastAsia="Calibri" w:hAnsi="Calibri"/>
          <w:sz w:val="22"/>
          <w:szCs w:val="22"/>
        </w:rPr>
        <w:t xml:space="preserve">Документът да премине през корекция преди подаване.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ПРОБЛЕМ 5: Липсва изрично позоваване на принципа за процесуална преклузия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Отказът от експертиза в първата инстанция е споменат, но не е изрично квалифициран като процесуална преклузия по чл. 146, ал. 3 вр. чл. 266 ГПК. Въззивният съд правилно е отказал искането именно на това основание, но в отговора пред ВКС това трябва да бъде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изрично формулирано</w:t>
      </w:r>
      <w:r>
        <w:rPr>
          <w:rFonts w:ascii="Calibri" w:cs="Calibri" w:eastAsia="Calibri" w:hAnsi="Calibri"/>
          <w:sz w:val="22"/>
          <w:szCs w:val="22"/>
        </w:rPr>
        <w:t xml:space="preserve"> като самостоятелно основание за недопускане.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ПРОБЛЕМ 6: Аргументът за „мафиотизация" на процеса е прекалено силен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Изразът „Това е злоупотреба с право, по смисъла на член 3 ГПК и санкцията за това е, когато не се признаят правата, с които се спекулира (правото на жалба)" е юридически верен, но тонът може да бъде смекчен. ВКС рядко санкционира злоупотреба с процесуални права на етапа на допускане.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Препоръка: </w:t>
      </w:r>
      <w:r>
        <w:rPr>
          <w:rFonts w:ascii="Calibri" w:cs="Calibri" w:eastAsia="Calibri" w:hAnsi="Calibri"/>
          <w:sz w:val="22"/>
          <w:szCs w:val="22"/>
        </w:rPr>
        <w:t xml:space="preserve">Запазете аргумента, но го формулирайте по-умерено: „Обстоятелството, че ответникът последователно е отказвал, а след това отново е искал експертиза, е индикация за процесуално поведение, несъвместимо с добросъвестното упражняване на правото на жалба по чл. 3 ГПК."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4. ОЦЕНКА НА КАСАЦИОННИТЕ ПЕРСПЕКТИВИ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Вероятност ВКС да допусне касационно обжалване: НИСКА (15-25%)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Аргументите на касатора са слаби по следните причини: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Поставените правни въпроси не са „от значение за точното прилагане на закона" — въпросът кога съдът назначава експертиза е ясно уреден.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Цитираните решения на ВКС касаят различни хипотези и не установяват противоречива практика.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Самият касатор се е отказал от експертизата в първата инстанция — процесуалната преклузия е безспорна.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 двете инстанции са стигнали до идентичен извод за квотите, което потвърждава правилността на аритметиката.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случай че ВКС все пак допусне обжалването (което е малко вероятно), перспективите за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потвърждаване на въззивното решение са отлични (90%+)</w:t>
      </w:r>
      <w:r>
        <w:rPr>
          <w:rFonts w:ascii="Calibri" w:cs="Calibri" w:eastAsia="Calibri" w:hAnsi="Calibri"/>
          <w:sz w:val="22"/>
          <w:szCs w:val="22"/>
        </w:rPr>
        <w:t xml:space="preserve">, доколкото наследствените квоти са математически безспорни и документално обосновани.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5. ПРЕДЛОЖЕНА ПОДОБРЕНА СТРУКТУРА НА ОТГОВОРА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 I:</w:t>
      </w:r>
      <w:r>
        <w:rPr>
          <w:rFonts w:ascii="Calibri" w:cs="Calibri" w:eastAsia="Calibri" w:hAnsi="Calibri"/>
          <w:sz w:val="22"/>
          <w:szCs w:val="22"/>
        </w:rPr>
        <w:t xml:space="preserve"> Процесуална допустимост — анализ по чл. 280, ал. 1, т. 1-3 ГПК (3 подточки)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 II:</w:t>
      </w:r>
      <w:r>
        <w:rPr>
          <w:rFonts w:ascii="Calibri" w:cs="Calibri" w:eastAsia="Calibri" w:hAnsi="Calibri"/>
          <w:sz w:val="22"/>
          <w:szCs w:val="22"/>
        </w:rPr>
        <w:t xml:space="preserve"> Процесуална преклузия — отказ от експертиза + чл. 146, ал. 3 вр. чл. 266 ГПК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 III:</w:t>
      </w:r>
      <w:r>
        <w:rPr>
          <w:rFonts w:ascii="Calibri" w:cs="Calibri" w:eastAsia="Calibri" w:hAnsi="Calibri"/>
          <w:sz w:val="22"/>
          <w:szCs w:val="22"/>
        </w:rPr>
        <w:t xml:space="preserve"> Необоримата презумпция „jura novit curia" — съдът познава правото, чл. 195 ГПК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 IV:</w:t>
      </w:r>
      <w:r>
        <w:rPr>
          <w:rFonts w:ascii="Calibri" w:cs="Calibri" w:eastAsia="Calibri" w:hAnsi="Calibri"/>
          <w:sz w:val="22"/>
          <w:szCs w:val="22"/>
        </w:rPr>
        <w:t xml:space="preserve"> Фактическа хронология — наследствена верига и квоти (таблица)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 V:</w:t>
      </w:r>
      <w:r>
        <w:rPr>
          <w:rFonts w:ascii="Calibri" w:cs="Calibri" w:eastAsia="Calibri" w:hAnsi="Calibri"/>
          <w:sz w:val="22"/>
          <w:szCs w:val="22"/>
        </w:rPr>
        <w:t xml:space="preserve"> Практика на ВКС в подкрепа на тезата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 VI:</w:t>
      </w:r>
      <w:r>
        <w:rPr>
          <w:rFonts w:ascii="Calibri" w:cs="Calibri" w:eastAsia="Calibri" w:hAnsi="Calibri"/>
          <w:sz w:val="22"/>
          <w:szCs w:val="22"/>
        </w:rPr>
        <w:t xml:space="preserve"> Искания — недопускане на касационното обжалване; евентуално — потвърждаване; разноски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6. ЗАКЛЮЧЕНИЕ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Отговорът на касационната жалба 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същество правилен</w:t>
      </w:r>
      <w:r>
        <w:rPr>
          <w:rFonts w:ascii="Calibri" w:cs="Calibri" w:eastAsia="Calibri" w:hAnsi="Calibri"/>
          <w:sz w:val="22"/>
          <w:szCs w:val="22"/>
        </w:rPr>
        <w:t xml:space="preserve"> и защитава позицията на ищеца адекватно. Основните препоръки са: (1) премахване на емоционалния тон в раздела за разноските, (2) добавяне на конкретна практика на ВКС, (3) систематична аргументация по чл. 280, (4) изрично позоваване на процесуалната преклузия, и (5) коригиране на правописни грешки.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 тези корекции, шансовете касационната жалба да бъде отхвърлена като недопустима са </w:t>
      </w:r>
      <w:r>
        <w:rPr>
          <w:rFonts w:ascii="Calibri" w:cs="Calibri" w:eastAsia="Calibri" w:hAnsi="Calibri"/>
          <w:b/>
          <w:bCs/>
          <w:color w:val="006600"/>
          <w:sz w:val="22"/>
          <w:szCs w:val="22"/>
        </w:rPr>
        <w:t xml:space="preserve">значителни (75-85%)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before="600"/>
      </w:pPr>
    </w:p>
    <w:p>
      <w:pPr>
        <w:pBdr>
          <w:top w:val="single" w:color="999999" w:sz="1"/>
        </w:pBdr>
        <w:spacing w:after="200" w:before="200"/>
      </w:pPr>
      <w:r>
        <w:rPr>
          <w:rFonts w:ascii="Calibri" w:cs="Calibri" w:eastAsia="Calibri" w:hAnsi="Calibri"/>
          <w:b/>
          <w:bCs/>
          <w:color w:val="999999"/>
          <w:sz w:val="18"/>
          <w:szCs w:val="18"/>
        </w:rPr>
        <w:t xml:space="preserve">ЗАБЕЛЕЖКА: </w:t>
      </w: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Настоящият анализ е изготвен с помощта на AI (Claude Opus 4.6) и представлява общ правен преглед. Той НЕ заменя правната консултация от лицензиран адвокат. Всички препоръки следва да бъдат обсъдени с процесуалния представител адв. Гайдаров преди предприемане на действия.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2026-04-03T13:50:20.104Z</dcterms:created>
  <dcterms:modified xsi:type="dcterms:W3CDTF">2026-04-03T13:50:20.104Z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