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CASE SUMMARY</w:t>
      </w:r>
    </w:p>
    <w:p>
      <w:pPr>
        <w:spacing w:after="40"/>
        <w:jc w:val="center"/>
      </w:pPr>
      <w:r>
        <w:rPr>
          <w:rFonts w:ascii="Arial" w:cs="Arial" w:eastAsia="Arial" w:hAnsi="Arial"/>
          <w:color w:val="2E5984"/>
          <w:sz w:val="28"/>
          <w:szCs w:val="28"/>
        </w:rPr>
        <w:t xml:space="preserve">Ostend v. Intellpiks Bulgaria Invest EOOD</w:t>
      </w:r>
    </w:p>
    <w:p>
      <w:pPr>
        <w:spacing w:after="40"/>
        <w:jc w:val="center"/>
      </w:pPr>
      <w:r>
        <w:rPr>
          <w:rFonts w:ascii="Arial" w:cs="Arial" w:eastAsia="Arial" w:hAnsi="Arial"/>
          <w:color w:val="666666"/>
          <w:sz w:val="22"/>
          <w:szCs w:val="22"/>
        </w:rPr>
        <w:t xml:space="preserve">Property Partition (Делба) — Case No. 23336/2023</w:t>
      </w:r>
    </w:p>
    <w:p>
      <w:pPr>
        <w:spacing w:after="300"/>
        <w:jc w:val="center"/>
      </w:pPr>
      <w:r>
        <w:rPr>
          <w:rFonts w:ascii="Arial" w:cs="Arial" w:eastAsia="Arial" w:hAnsi="Arial"/>
          <w:i/>
          <w:iCs/>
          <w:color w:val="999999"/>
          <w:sz w:val="20"/>
          <w:szCs w:val="20"/>
        </w:rPr>
        <w:t xml:space="preserve">Prepared: 03 April 2026</w:t>
      </w:r>
    </w:p>
    <w:p>
      <w:pPr>
        <w:pBdr>
          <w:bottom w:val="single" w:color="1B3A5C" w:sz="6" w:space="1"/>
        </w:pBdr>
        <w:spacing w:after="200"/>
      </w:pPr>
    </w:p>
    <w:p>
      <w:pPr>
        <w:pStyle w:val="Heading1"/>
      </w:pPr>
      <w:r>
        <w:t xml:space="preserve">1. Key Facts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Case Number</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23336/2023, Sofia District Court, 70th Panel</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Appellate Case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20241100506528/2024, Sofia City Court, III-V Panel</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Partition (Делба) of co-owned agricultural land</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 55419.6701.702, Pancharevo, 2,499 sq.m. pasture</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Plaintiff</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Mariela Mikhailova Ostend (EGN 6210306655)</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Defendant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Intellpiks Bulgaria Invest EOOD (EIK 175110508)</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Plaintiff Quota</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4/5 (144/180 ideal parts)</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Defendant Quota</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 (36/180 ideal parts)</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Stage</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Cassation appeal pending before VKS (filed 24.02.2026)</w:t>
            </w:r>
          </w:p>
        </w:tc>
      </w:tr>
    </w:tbl>
    <w:p>
      <w:pPr>
        <w:spacing w:after="80"/>
      </w:pPr>
    </w:p>
    <w:p>
      <w:pPr>
        <w:pStyle w:val="Heading1"/>
      </w:pPr>
      <w:r>
        <w:t xml:space="preserve">2. Parties</w:t>
      </w:r>
    </w:p>
    <w:p>
      <w:pPr>
        <w:pStyle w:val="Heading3"/>
      </w:pPr>
      <w:r>
        <w:t xml:space="preserve">Plaintiff (Ищец)</w:t>
      </w:r>
    </w:p>
    <w:p>
      <w:pPr>
        <w:spacing w:after="120"/>
        <w:jc w:val="left"/>
      </w:pPr>
      <w:r>
        <w:rPr>
          <w:rFonts w:ascii="Arial" w:cs="Arial" w:eastAsia="Arial" w:hAnsi="Arial"/>
          <w:b/>
          <w:bCs/>
          <w:i w:val="false"/>
          <w:iCs w:val="false"/>
          <w:sz w:val="22"/>
          <w:szCs w:val="22"/>
        </w:rPr>
        <w:t xml:space="preserve">Mariela Mikhailova Ostend</w:t>
      </w:r>
      <w:r>
        <w:rPr>
          <w:rFonts w:ascii="Arial" w:cs="Arial" w:eastAsia="Arial" w:hAnsi="Arial"/>
          <w:b w:val="false"/>
          <w:bCs w:val="false"/>
          <w:i w:val="false"/>
          <w:iCs w:val="false"/>
          <w:sz w:val="22"/>
          <w:szCs w:val="22"/>
        </w:rPr>
        <w:t xml:space="preserve"> (EGN 6210306655), Sofia, ul. Asen Yordanov 17. Represented by Adv. Georgi Gaydarov, Law Partnership “Gaydarov &amp; Dochev” (EIK 176507441), Sofia, bul. Vasil Levski 38, fl. 2.</w:t>
      </w:r>
    </w:p>
    <w:p>
      <w:pPr>
        <w:pStyle w:val="Heading3"/>
      </w:pPr>
      <w:r>
        <w:t xml:space="preserve">Defendant (Ответник)</w:t>
      </w:r>
    </w:p>
    <w:p>
      <w:pPr>
        <w:spacing w:after="120"/>
        <w:jc w:val="left"/>
      </w:pPr>
      <w:r>
        <w:rPr>
          <w:rFonts w:ascii="Arial" w:cs="Arial" w:eastAsia="Arial" w:hAnsi="Arial"/>
          <w:b/>
          <w:bCs/>
          <w:i w:val="false"/>
          <w:iCs w:val="false"/>
          <w:sz w:val="22"/>
          <w:szCs w:val="22"/>
        </w:rPr>
        <w:t xml:space="preserve">Intellpiks Bulgaria Invest EOOD</w:t>
      </w:r>
      <w:r>
        <w:rPr>
          <w:rFonts w:ascii="Arial" w:cs="Arial" w:eastAsia="Arial" w:hAnsi="Arial"/>
          <w:b w:val="false"/>
          <w:bCs w:val="false"/>
          <w:i w:val="false"/>
          <w:iCs w:val="false"/>
          <w:sz w:val="22"/>
          <w:szCs w:val="22"/>
        </w:rPr>
        <w:t xml:space="preserve"> (EIK 175110508), Sofia, ul. Okolovrasten pat 145. Manager: Vladimir Georgiev Mikov. Represented at first instance by Adv. Valyova; at cassation by Adv. Olga Borisova Borisova (SAK No. 1400738710).</w:t>
      </w:r>
    </w:p>
    <w:p>
      <w:pPr>
        <w:pStyle w:val="Heading1"/>
      </w:pPr>
      <w:r>
        <w:t xml:space="preserve">3. Subject Property</w:t>
      </w:r>
    </w:p>
    <w:p>
      <w:pPr>
        <w:spacing w:after="120"/>
        <w:jc w:val="left"/>
      </w:pPr>
      <w:r>
        <w:rPr>
          <w:rFonts w:ascii="Arial" w:cs="Arial" w:eastAsia="Arial" w:hAnsi="Arial"/>
          <w:b w:val="false"/>
          <w:bCs w:val="false"/>
          <w:i w:val="false"/>
          <w:iCs w:val="false"/>
          <w:sz w:val="22"/>
          <w:szCs w:val="22"/>
        </w:rPr>
        <w:t xml:space="preserve">Agricultural land (pasture/пасище), cadastral ID 55419.6701.702, village of Pancharevo, Stolichna Municipality, Sofia, locality “Dupkite” (Дупките). Area: 2,499 sq.m. (approx. 2.5 decares), category 10. Ownership restored to the heirs of Vasil Krastev Andreev by Decision No. 12191.2/03.12.1999 of the Pancharevo Land Commission, effective 06.01.2000.</w:t>
      </w:r>
    </w:p>
    <w:p>
      <w:pPr>
        <w:pStyle w:val="Heading1"/>
      </w:pPr>
      <w:r>
        <w:t xml:space="preserve">4. Ownership Chain &amp; Quotas</w:t>
      </w:r>
    </w:p>
    <w:p>
      <w:pPr>
        <w:pStyle w:val="Heading2"/>
      </w:pPr>
      <w:r>
        <w:t xml:space="preserve">Plaintiff’s 4/5 Share (144/180)</w:t>
      </w:r>
    </w:p>
    <w:p>
      <w:pPr>
        <w:spacing w:after="120"/>
        <w:jc w:val="left"/>
      </w:pPr>
      <w:r>
        <w:rPr>
          <w:rFonts w:ascii="Arial" w:cs="Arial" w:eastAsia="Arial" w:hAnsi="Arial"/>
          <w:b w:val="false"/>
          <w:bCs w:val="false"/>
          <w:i w:val="false"/>
          <w:iCs w:val="false"/>
          <w:sz w:val="22"/>
          <w:szCs w:val="22"/>
        </w:rPr>
        <w:t xml:space="preserve">The property was restored to the heirs of Vasil Krastev Andreev (d. 08.09.1967) and his wife Bogdana Ivanova Andreeva (d. 26.08.1980). They had six children: Ivanka, Trayan, Yordan, Gorka, Georgi, and Toncho. All except Gorka predeceased the 2022 transactions.</w:t>
      </w:r>
    </w:p>
    <w:p>
      <w:pPr>
        <w:spacing w:after="120"/>
        <w:jc w:val="left"/>
      </w:pPr>
      <w:r>
        <w:rPr>
          <w:rFonts w:ascii="Arial" w:cs="Arial" w:eastAsia="Arial" w:hAnsi="Arial"/>
          <w:b w:val="false"/>
          <w:bCs w:val="false"/>
          <w:i w:val="false"/>
          <w:iCs w:val="false"/>
          <w:sz w:val="22"/>
          <w:szCs w:val="22"/>
        </w:rPr>
        <w:t xml:space="preserve">Ivanka (d. 04.01.2011) left no descendants and was inherited by her siblings/their descendants under Art. 8(1) and Art. 10(2) of the Inheritance Act (right of substitution). Each surviving line received 1/6 (from parents) + 1/30 (from Ivanka) = 1/5 of the property.</w:t>
      </w:r>
    </w:p>
    <w:p>
      <w:pPr>
        <w:spacing w:after="120"/>
        <w:jc w:val="left"/>
      </w:pPr>
      <w:r>
        <w:rPr>
          <w:rFonts w:ascii="Arial" w:cs="Arial" w:eastAsia="Arial" w:hAnsi="Arial"/>
          <w:b w:val="false"/>
          <w:bCs w:val="false"/>
          <w:i w:val="false"/>
          <w:iCs w:val="false"/>
          <w:sz w:val="22"/>
          <w:szCs w:val="22"/>
        </w:rPr>
        <w:t xml:space="preserve">On 16.09.2022, via three notarial acts, nine living heirs’ combined 144/180 ideal parts were:</w:t>
      </w:r>
    </w:p>
    <w:p>
      <w:pPr>
        <w:pStyle w:val="ListParagraph"/>
        <w:numPr>
          <w:ilvl w:val="0"/>
          <w:numId w:val="2"/>
        </w:numPr>
        <w:spacing w:after="60"/>
      </w:pPr>
      <w:r>
        <w:rPr>
          <w:rFonts w:ascii="Arial" w:cs="Arial" w:eastAsia="Arial" w:hAnsi="Arial"/>
          <w:sz w:val="22"/>
          <w:szCs w:val="22"/>
        </w:rPr>
        <w:t xml:space="preserve">Recognised in a constative notarial act (Act No. 132)</w:t>
      </w:r>
    </w:p>
    <w:p>
      <w:pPr>
        <w:pStyle w:val="ListParagraph"/>
        <w:numPr>
          <w:ilvl w:val="0"/>
          <w:numId w:val="2"/>
        </w:numPr>
        <w:spacing w:after="60"/>
      </w:pPr>
      <w:r>
        <w:rPr>
          <w:rFonts w:ascii="Arial" w:cs="Arial" w:eastAsia="Arial" w:hAnsi="Arial"/>
          <w:sz w:val="22"/>
          <w:szCs w:val="22"/>
        </w:rPr>
        <w:t xml:space="preserve">1/180 donated to Mariela Ostend by Valentin Tonchev Vasilev (Act No. 153)</w:t>
      </w:r>
    </w:p>
    <w:p>
      <w:pPr>
        <w:pStyle w:val="ListParagraph"/>
        <w:numPr>
          <w:ilvl w:val="0"/>
          <w:numId w:val="2"/>
        </w:numPr>
        <w:spacing w:after="60"/>
      </w:pPr>
      <w:r>
        <w:rPr>
          <w:rFonts w:ascii="Arial" w:cs="Arial" w:eastAsia="Arial" w:hAnsi="Arial"/>
          <w:sz w:val="22"/>
          <w:szCs w:val="22"/>
        </w:rPr>
        <w:t xml:space="preserve">143/180 sold to Mariela Ostend by all nine heirs (Act No. 128/58)</w:t>
      </w:r>
    </w:p>
    <w:p>
      <w:pPr>
        <w:spacing w:after="80"/>
      </w:pPr>
    </w:p>
    <w:p>
      <w:pPr>
        <w:pStyle w:val="Heading2"/>
      </w:pPr>
      <w:r>
        <w:t xml:space="preserve">Defendant’s 1/5 Share (36/180)</w:t>
      </w:r>
    </w:p>
    <w:p>
      <w:pPr>
        <w:spacing w:after="120"/>
        <w:jc w:val="left"/>
      </w:pPr>
      <w:r>
        <w:rPr>
          <w:rFonts w:ascii="Arial" w:cs="Arial" w:eastAsia="Arial" w:hAnsi="Arial"/>
          <w:b w:val="false"/>
          <w:bCs w:val="false"/>
          <w:i w:val="false"/>
          <w:iCs w:val="false"/>
          <w:sz w:val="22"/>
          <w:szCs w:val="22"/>
        </w:rPr>
        <w:t xml:space="preserve">Gorka Vasileva Koleva held 1/5 (36/180) of the property as the sole surviving child of Vasil and Bogdana. In July 2020, she transferred her entire 1/5 to Radka Lalova and Borislav Mikov (donation of 1/100 + sale of 19/100). In October 2020, Lalova and Mikov transferred the full 1/5 to Intellpiks Bulgaria Invest EOOD (donation of 1/100 + sale of 19/100).</w:t>
      </w:r>
    </w:p>
    <w:p>
      <w:r>
        <w:br w:type="page"/>
      </w:r>
    </w:p>
    <w:p>
      <w:pPr>
        <w:pStyle w:val="Heading1"/>
      </w:pPr>
      <w:r>
        <w:t xml:space="preserve">5. Procedural History</w:t>
      </w:r>
    </w:p>
    <w:p>
      <w:pPr>
        <w:pStyle w:val="Heading2"/>
      </w:pPr>
      <w:r>
        <w:t xml:space="preserve">Phase 1 — First Instance (SRS, 70th Panel, Judge Vateva)</w:t>
      </w:r>
    </w:p>
    <w:p>
      <w:pPr>
        <w:spacing w:after="120"/>
        <w:jc w:val="left"/>
      </w:pPr>
      <w:r>
        <w:rPr>
          <w:rFonts w:ascii="Arial" w:cs="Arial" w:eastAsia="Arial" w:hAnsi="Arial"/>
          <w:b/>
          <w:bCs/>
          <w:i w:val="false"/>
          <w:iCs w:val="false"/>
          <w:sz w:val="22"/>
          <w:szCs w:val="22"/>
        </w:rPr>
        <w:t xml:space="preserve">03.05.2023 — </w:t>
      </w:r>
      <w:r>
        <w:rPr>
          <w:rFonts w:ascii="Arial" w:cs="Arial" w:eastAsia="Arial" w:hAnsi="Arial"/>
          <w:b w:val="false"/>
          <w:bCs w:val="false"/>
          <w:i w:val="false"/>
          <w:iCs w:val="false"/>
          <w:sz w:val="22"/>
          <w:szCs w:val="22"/>
        </w:rPr>
        <w:t xml:space="preserve">Partition claim filed. Quotas claimed: 4/5 plaintiff, 1/5 defendant.</w:t>
      </w:r>
    </w:p>
    <w:p>
      <w:pPr>
        <w:spacing w:after="120"/>
        <w:jc w:val="left"/>
      </w:pPr>
      <w:r>
        <w:rPr>
          <w:rFonts w:ascii="Arial" w:cs="Arial" w:eastAsia="Arial" w:hAnsi="Arial"/>
          <w:b/>
          <w:bCs/>
          <w:i w:val="false"/>
          <w:iCs w:val="false"/>
          <w:sz w:val="22"/>
          <w:szCs w:val="22"/>
        </w:rPr>
        <w:t xml:space="preserve">17.08.2023 — </w:t>
      </w:r>
      <w:r>
        <w:rPr>
          <w:rFonts w:ascii="Arial" w:cs="Arial" w:eastAsia="Arial" w:hAnsi="Arial"/>
          <w:b w:val="false"/>
          <w:bCs w:val="false"/>
          <w:i w:val="false"/>
          <w:iCs w:val="false"/>
          <w:sz w:val="22"/>
          <w:szCs w:val="22"/>
        </w:rPr>
        <w:t xml:space="preserve">Preliminary report issued (Определение No. 28747). Case scheduled for 12.10.2023. Court encouraged settlement and mediation.</w:t>
      </w:r>
    </w:p>
    <w:p>
      <w:pPr>
        <w:spacing w:after="120"/>
        <w:jc w:val="left"/>
      </w:pPr>
      <w:r>
        <w:rPr>
          <w:rFonts w:ascii="Arial" w:cs="Arial" w:eastAsia="Arial" w:hAnsi="Arial"/>
          <w:b/>
          <w:bCs/>
          <w:i w:val="false"/>
          <w:iCs w:val="false"/>
          <w:sz w:val="22"/>
          <w:szCs w:val="22"/>
        </w:rPr>
        <w:t xml:space="preserve">12.10.2023 — </w:t>
      </w:r>
      <w:r>
        <w:rPr>
          <w:rFonts w:ascii="Arial" w:cs="Arial" w:eastAsia="Arial" w:hAnsi="Arial"/>
          <w:b w:val="false"/>
          <w:bCs w:val="false"/>
          <w:i w:val="false"/>
          <w:iCs w:val="false"/>
          <w:sz w:val="22"/>
          <w:szCs w:val="22"/>
        </w:rPr>
        <w:t xml:space="preserve">First open hearing. Defendant contested quotas and requested expert assessment. Court noted the proposed questions called for legal conclusions, gave one-week deadline to reformulate. Defendant missed the deadline.</w:t>
      </w:r>
    </w:p>
    <w:p>
      <w:pPr>
        <w:spacing w:after="120"/>
        <w:jc w:val="left"/>
      </w:pPr>
      <w:r>
        <w:rPr>
          <w:rFonts w:ascii="Arial" w:cs="Arial" w:eastAsia="Arial" w:hAnsi="Arial"/>
          <w:b/>
          <w:bCs/>
          <w:i w:val="false"/>
          <w:iCs w:val="false"/>
          <w:sz w:val="22"/>
          <w:szCs w:val="22"/>
        </w:rPr>
        <w:t xml:space="preserve">14.11.2023 — </w:t>
      </w:r>
      <w:r>
        <w:rPr>
          <w:rFonts w:ascii="Arial" w:cs="Arial" w:eastAsia="Arial" w:hAnsi="Arial"/>
          <w:b w:val="false"/>
          <w:bCs w:val="false"/>
          <w:i w:val="false"/>
          <w:iCs w:val="false"/>
          <w:sz w:val="22"/>
          <w:szCs w:val="22"/>
        </w:rPr>
        <w:t xml:space="preserve">Second open hearing. Plaintiff’s lawyer (Adv. Gaydarov) on sick leave. Judge Vateva questioned the sick note’s legitimacy and proceeded without plaintiff’s counsel. The defendant’s representative withdrew the expert request but asked for certificates of encumbrances. Plaintiff (appearing without a lawyer) reported being unable to hear proceedings and being denied the floor to object.</w:t>
      </w:r>
    </w:p>
    <w:p>
      <w:pPr>
        <w:spacing w:after="120"/>
        <w:jc w:val="left"/>
      </w:pPr>
      <w:r>
        <w:rPr>
          <w:rFonts w:ascii="Arial" w:cs="Arial" w:eastAsia="Arial" w:hAnsi="Arial"/>
          <w:b/>
          <w:bCs/>
          <w:i w:val="false"/>
          <w:iCs w:val="false"/>
          <w:sz w:val="22"/>
          <w:szCs w:val="22"/>
        </w:rPr>
        <w:t xml:space="preserve">01.02.2024 — </w:t>
      </w:r>
      <w:r>
        <w:rPr>
          <w:rFonts w:ascii="Arial" w:cs="Arial" w:eastAsia="Arial" w:hAnsi="Arial"/>
          <w:b w:val="false"/>
          <w:bCs w:val="false"/>
          <w:i w:val="false"/>
          <w:iCs w:val="false"/>
          <w:sz w:val="22"/>
          <w:szCs w:val="22"/>
        </w:rPr>
        <w:t xml:space="preserve">Third open hearing. Evidence completed.</w:t>
      </w:r>
    </w:p>
    <w:p>
      <w:pPr>
        <w:spacing w:after="120"/>
        <w:jc w:val="left"/>
      </w:pPr>
      <w:r>
        <w:rPr>
          <w:rFonts w:ascii="Arial" w:cs="Arial" w:eastAsia="Arial" w:hAnsi="Arial"/>
          <w:b/>
          <w:bCs/>
          <w:i w:val="false"/>
          <w:iCs w:val="false"/>
          <w:sz w:val="22"/>
          <w:szCs w:val="22"/>
        </w:rPr>
        <w:t xml:space="preserve">29.02.2024 — Decision No. 3688 issued.</w:t>
      </w:r>
      <w:r>
        <w:rPr>
          <w:rFonts w:ascii="Arial" w:cs="Arial" w:eastAsia="Arial" w:hAnsi="Arial"/>
          <w:b w:val="false"/>
          <w:bCs w:val="false"/>
          <w:i w:val="false"/>
          <w:iCs w:val="false"/>
          <w:sz w:val="22"/>
          <w:szCs w:val="22"/>
        </w:rPr>
        <w:t xml:space="preserve"> Partition admitted at 4/5 for Ostend and 1/5 for Intellpiks. Court found defendant’s objections about quotas unsupported by evidence.</w:t>
      </w:r>
    </w:p>
    <w:p>
      <w:pPr>
        <w:spacing w:after="80"/>
      </w:pPr>
    </w:p>
    <w:p>
      <w:pPr>
        <w:pStyle w:val="Heading2"/>
      </w:pPr>
      <w:r>
        <w:t xml:space="preserve">Phase 2 — Appeal (SGS, III-V Panel)</w:t>
      </w:r>
    </w:p>
    <w:p>
      <w:pPr>
        <w:spacing w:after="120"/>
        <w:jc w:val="left"/>
      </w:pPr>
      <w:r>
        <w:rPr>
          <w:rFonts w:ascii="Arial" w:cs="Arial" w:eastAsia="Arial" w:hAnsi="Arial"/>
          <w:b/>
          <w:bCs/>
          <w:i w:val="false"/>
          <w:iCs w:val="false"/>
          <w:sz w:val="22"/>
          <w:szCs w:val="22"/>
        </w:rPr>
        <w:t xml:space="preserve">17.04.2024 — </w:t>
      </w:r>
      <w:r>
        <w:rPr>
          <w:rFonts w:ascii="Arial" w:cs="Arial" w:eastAsia="Arial" w:hAnsi="Arial"/>
          <w:b w:val="false"/>
          <w:bCs w:val="false"/>
          <w:i w:val="false"/>
          <w:iCs w:val="false"/>
          <w:sz w:val="22"/>
          <w:szCs w:val="22"/>
        </w:rPr>
        <w:t xml:space="preserve">Defendant files appellate appeal, arguing quotas were not verified by expert. Requests reversal and expert appointment.</w:t>
      </w:r>
    </w:p>
    <w:p>
      <w:pPr>
        <w:spacing w:after="120"/>
        <w:jc w:val="left"/>
      </w:pPr>
      <w:r>
        <w:rPr>
          <w:rFonts w:ascii="Arial" w:cs="Arial" w:eastAsia="Arial" w:hAnsi="Arial"/>
          <w:b/>
          <w:bCs/>
          <w:i w:val="false"/>
          <w:iCs w:val="false"/>
          <w:sz w:val="22"/>
          <w:szCs w:val="22"/>
        </w:rPr>
        <w:t xml:space="preserve">23.05.2024 — </w:t>
      </w:r>
      <w:r>
        <w:rPr>
          <w:rFonts w:ascii="Arial" w:cs="Arial" w:eastAsia="Arial" w:hAnsi="Arial"/>
          <w:b w:val="false"/>
          <w:bCs w:val="false"/>
          <w:i w:val="false"/>
          <w:iCs w:val="false"/>
          <w:sz w:val="22"/>
          <w:szCs w:val="22"/>
        </w:rPr>
        <w:t xml:space="preserve">Plaintiff responds, arguing the appeal is unfounded and constitutes procedural abuse (шиканиране). Notes the defendant withdrew the expert request at first instance.</w:t>
      </w:r>
    </w:p>
    <w:p>
      <w:pPr>
        <w:spacing w:after="120"/>
        <w:jc w:val="left"/>
      </w:pPr>
      <w:r>
        <w:rPr>
          <w:rFonts w:ascii="Arial" w:cs="Arial" w:eastAsia="Arial" w:hAnsi="Arial"/>
          <w:b/>
          <w:bCs/>
          <w:i w:val="false"/>
          <w:iCs w:val="false"/>
          <w:sz w:val="22"/>
          <w:szCs w:val="22"/>
        </w:rPr>
        <w:t xml:space="preserve">23.01.2026 — Decision No. 502 issued.</w:t>
      </w:r>
      <w:r>
        <w:rPr>
          <w:rFonts w:ascii="Arial" w:cs="Arial" w:eastAsia="Arial" w:hAnsi="Arial"/>
          <w:b w:val="false"/>
          <w:bCs w:val="false"/>
          <w:i w:val="false"/>
          <w:iCs w:val="false"/>
          <w:sz w:val="22"/>
          <w:szCs w:val="22"/>
        </w:rPr>
        <w:t xml:space="preserve"> Appellate court upholds first-instance decision in full. Panel independently verified all inheritance calculations and confirmed 4/5 vs 1/5 quotas. Defendant ordered to pay €511.29 (1,000 BGN) costs.</w:t>
      </w:r>
    </w:p>
    <w:p>
      <w:pPr>
        <w:spacing w:after="80"/>
      </w:pPr>
    </w:p>
    <w:p>
      <w:pPr>
        <w:pStyle w:val="Heading2"/>
      </w:pPr>
      <w:r>
        <w:t xml:space="preserve">Phase 3 — Cassation (VKS)</w:t>
      </w:r>
    </w:p>
    <w:p>
      <w:pPr>
        <w:spacing w:after="120"/>
        <w:jc w:val="left"/>
      </w:pPr>
      <w:r>
        <w:rPr>
          <w:rFonts w:ascii="Arial" w:cs="Arial" w:eastAsia="Arial" w:hAnsi="Arial"/>
          <w:b/>
          <w:bCs/>
          <w:i w:val="false"/>
          <w:iCs w:val="false"/>
          <w:sz w:val="22"/>
          <w:szCs w:val="22"/>
        </w:rPr>
        <w:t xml:space="preserve">24.02.2026 — </w:t>
      </w:r>
      <w:r>
        <w:rPr>
          <w:rFonts w:ascii="Arial" w:cs="Arial" w:eastAsia="Arial" w:hAnsi="Arial"/>
          <w:b w:val="false"/>
          <w:bCs w:val="false"/>
          <w:i w:val="false"/>
          <w:iCs w:val="false"/>
          <w:sz w:val="22"/>
          <w:szCs w:val="22"/>
        </w:rPr>
        <w:t xml:space="preserve">Defendant files cassation appeal against Decision No. 502, through new counsel Adv. Olga Borisova Borisova.</w:t>
      </w:r>
    </w:p>
    <w:p>
      <w:pPr>
        <w:spacing w:after="120"/>
        <w:jc w:val="left"/>
      </w:pPr>
      <w:r>
        <w:rPr>
          <w:rFonts w:ascii="Arial" w:cs="Arial" w:eastAsia="Arial" w:hAnsi="Arial"/>
          <w:b/>
          <w:bCs/>
          <w:i w:val="false"/>
          <w:iCs w:val="false"/>
          <w:sz w:val="22"/>
          <w:szCs w:val="22"/>
        </w:rPr>
        <w:t xml:space="preserve">Main arguments:</w:t>
      </w:r>
    </w:p>
    <w:p>
      <w:pPr>
        <w:pStyle w:val="ListParagraph"/>
        <w:numPr>
          <w:ilvl w:val="0"/>
          <w:numId w:val="2"/>
        </w:numPr>
        <w:spacing w:after="60"/>
      </w:pPr>
      <w:r>
        <w:rPr>
          <w:rFonts w:ascii="Arial" w:cs="Arial" w:eastAsia="Arial" w:hAnsi="Arial"/>
          <w:sz w:val="22"/>
          <w:szCs w:val="22"/>
        </w:rPr>
        <w:t xml:space="preserve">Both courts refused to admit a judicial-technical expert to verify inheritance quotas despite the complexity of the inheritance chain.</w:t>
      </w:r>
    </w:p>
    <w:p>
      <w:pPr>
        <w:pStyle w:val="ListParagraph"/>
        <w:numPr>
          <w:ilvl w:val="0"/>
          <w:numId w:val="2"/>
        </w:numPr>
        <w:spacing w:after="60"/>
      </w:pPr>
      <w:r>
        <w:rPr>
          <w:rFonts w:ascii="Arial" w:cs="Arial" w:eastAsia="Arial" w:hAnsi="Arial"/>
          <w:sz w:val="22"/>
          <w:szCs w:val="22"/>
        </w:rPr>
        <w:t xml:space="preserve">The appellate court erred by independently calculating quotas rather than ordering expert evidence — alleged procedural violation.</w:t>
      </w:r>
    </w:p>
    <w:p>
      <w:pPr>
        <w:pStyle w:val="ListParagraph"/>
        <w:numPr>
          <w:ilvl w:val="0"/>
          <w:numId w:val="2"/>
        </w:numPr>
        <w:spacing w:after="60"/>
      </w:pPr>
      <w:r>
        <w:rPr>
          <w:rFonts w:ascii="Arial" w:cs="Arial" w:eastAsia="Arial" w:hAnsi="Arial"/>
          <w:sz w:val="22"/>
          <w:szCs w:val="22"/>
        </w:rPr>
        <w:t xml:space="preserve">Legal questions raised under Art. 280(1)(3) CPC: (a) Is the court permitted to independently assess quotas in complex partition cases? (b) Must the court appoint an expert sua sponte when necessary?</w:t>
      </w:r>
    </w:p>
    <w:p>
      <w:pPr>
        <w:spacing w:after="120"/>
        <w:jc w:val="left"/>
      </w:pPr>
      <w:r>
        <w:rPr>
          <w:rFonts w:ascii="Arial" w:cs="Arial" w:eastAsia="Arial" w:hAnsi="Arial"/>
          <w:b/>
          <w:bCs/>
          <w:i w:val="false"/>
          <w:iCs w:val="false"/>
          <w:sz w:val="22"/>
          <w:szCs w:val="22"/>
        </w:rPr>
        <w:t xml:space="preserve">VKS precedents cited:</w:t>
      </w:r>
    </w:p>
    <w:p>
      <w:pPr>
        <w:pStyle w:val="ListParagraph"/>
        <w:numPr>
          <w:ilvl w:val="0"/>
          <w:numId w:val="2"/>
        </w:numPr>
        <w:spacing w:after="60"/>
      </w:pPr>
      <w:r>
        <w:rPr>
          <w:rFonts w:ascii="Arial" w:cs="Arial" w:eastAsia="Arial" w:hAnsi="Arial"/>
          <w:sz w:val="22"/>
          <w:szCs w:val="22"/>
        </w:rPr>
        <w:t xml:space="preserve">Decision No. 550/15.07.2010, III GO — case returned for expert appointment on regulatory status.</w:t>
      </w:r>
    </w:p>
    <w:p>
      <w:pPr>
        <w:pStyle w:val="ListParagraph"/>
        <w:numPr>
          <w:ilvl w:val="0"/>
          <w:numId w:val="2"/>
        </w:numPr>
        <w:spacing w:after="60"/>
      </w:pPr>
      <w:r>
        <w:rPr>
          <w:rFonts w:ascii="Arial" w:cs="Arial" w:eastAsia="Arial" w:hAnsi="Arial"/>
          <w:sz w:val="22"/>
          <w:szCs w:val="22"/>
        </w:rPr>
        <w:t xml:space="preserve">Decision No. 114/20.11.2017, II GO — appellate court must collect evidence ex officio for imperative norms, even absent specific complaint.</w:t>
      </w:r>
    </w:p>
    <w:p>
      <w:pPr>
        <w:pStyle w:val="ListParagraph"/>
        <w:numPr>
          <w:ilvl w:val="0"/>
          <w:numId w:val="2"/>
        </w:numPr>
        <w:spacing w:after="60"/>
      </w:pPr>
      <w:r>
        <w:rPr>
          <w:rFonts w:ascii="Arial" w:cs="Arial" w:eastAsia="Arial" w:hAnsi="Arial"/>
          <w:sz w:val="22"/>
          <w:szCs w:val="22"/>
        </w:rPr>
        <w:t xml:space="preserve">Decision No. 678/12.10.2010, I GO — failure to appoint expert sua sponte for property valuation was reversible error.</w:t>
      </w:r>
    </w:p>
    <w:p>
      <w:r>
        <w:br w:type="page"/>
      </w:r>
    </w:p>
    <w:p>
      <w:pPr>
        <w:pStyle w:val="Heading1"/>
      </w:pPr>
      <w:r>
        <w:t xml:space="preserve">6. Document Index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w:t>
            </w:r>
          </w:p>
        </w:tc>
        <w:tc>
          <w:tcPr>
            <w:tcW w:type="dxa" w:w="5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03.05.2023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Искова молба (Claim)</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Partition claim filed with supporting notarial acts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07.08.2023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Разпореждане No. 97035</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Order re unsigned defendant response</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17.08.2023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Определение No. 28747</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Preliminary report; hearing set for 12.10.2023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Sep 2023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Defendant’s Response</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Contests quotas, requests expert assessment</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12.10.2023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1st Open Hearing</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Expert request noted; defendant given deadline to reformulate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14.11.2023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2nd Open Hearing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Lawyer sick; hearing proceeds; expert request withdrawn</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14.11.2023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Court Protocol No. 26473</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Official minutes of contentious hearing</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Jan 2024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Certificates of Encumbrances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Both parties submit encumbrance certificates</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01.02.2024</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3rd Open Hearing</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Evidence completed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29.02.2024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Decision No. 3688 (1st inst.)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Partition admitted at 4/5 and 1/5</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17.04.2024</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Appellate Appeal</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Defendant appeals, requesting expert and reversal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23.05.2024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Response to Appeal</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Plaintiff opposes; argues procedural delay</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03.12.2025</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Appellate Hearing</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Oral arguments at SGS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23.01.2026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Decision No. 502 (Appellate)</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First-instance decision confirmed in full</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24.02.2026</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Cassation Appeal</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Defendant appeals to VKS; cites 3 precedents</w:t>
            </w:r>
          </w:p>
        </w:tc>
      </w:tr>
    </w:tbl>
    <w:p>
      <w:pPr>
        <w:spacing w:after="80"/>
      </w:pPr>
    </w:p>
    <w:p>
      <w:pPr>
        <w:pStyle w:val="Heading1"/>
      </w:pPr>
      <w:r>
        <w:t xml:space="preserve">7. Key Issues &amp; Assessment</w:t>
      </w:r>
    </w:p>
    <w:p>
      <w:pPr>
        <w:pStyle w:val="Heading2"/>
      </w:pPr>
      <w:r>
        <w:t xml:space="preserve">Procedural Concerns Raised by Plaintiff</w:t>
      </w:r>
    </w:p>
    <w:p>
      <w:pPr>
        <w:pStyle w:val="ListParagraph"/>
        <w:numPr>
          <w:ilvl w:val="0"/>
          <w:numId w:val="2"/>
        </w:numPr>
        <w:spacing w:after="60"/>
      </w:pPr>
      <w:r>
        <w:rPr>
          <w:rFonts w:ascii="Arial" w:cs="Arial" w:eastAsia="Arial" w:hAnsi="Arial"/>
          <w:sz w:val="22"/>
          <w:szCs w:val="22"/>
        </w:rPr>
        <w:t xml:space="preserve">Judge Vateva proceeded with the 14.11.2023 hearing despite the plaintiff’s lawyer being on certified sick leave, leaving the plaintiff unrepresented.</w:t>
      </w:r>
    </w:p>
    <w:p>
      <w:pPr>
        <w:pStyle w:val="ListParagraph"/>
        <w:numPr>
          <w:ilvl w:val="0"/>
          <w:numId w:val="2"/>
        </w:numPr>
        <w:spacing w:after="60"/>
      </w:pPr>
      <w:r>
        <w:rPr>
          <w:rFonts w:ascii="Arial" w:cs="Arial" w:eastAsia="Arial" w:hAnsi="Arial"/>
          <w:sz w:val="22"/>
          <w:szCs w:val="22"/>
        </w:rPr>
        <w:t xml:space="preserve">The defendant consistently engaged in alleged delay tactics: requesting an expert, missing the reformulation deadline, withdrawing the request, then raising the same issue on appeal.</w:t>
      </w:r>
    </w:p>
    <w:p>
      <w:pPr>
        <w:spacing w:after="80"/>
      </w:pPr>
    </w:p>
    <w:p>
      <w:pPr>
        <w:pStyle w:val="Heading2"/>
      </w:pPr>
      <w:r>
        <w:t xml:space="preserve">Defendant’s Core Argument</w:t>
      </w:r>
    </w:p>
    <w:p>
      <w:pPr>
        <w:spacing w:after="120"/>
        <w:jc w:val="left"/>
      </w:pPr>
      <w:r>
        <w:rPr>
          <w:rFonts w:ascii="Arial" w:cs="Arial" w:eastAsia="Arial" w:hAnsi="Arial"/>
          <w:b w:val="false"/>
          <w:bCs w:val="false"/>
          <w:i w:val="false"/>
          <w:iCs w:val="false"/>
          <w:sz w:val="22"/>
          <w:szCs w:val="22"/>
        </w:rPr>
        <w:t xml:space="preserve">The inheritance chain involves multiple generations, six original heirs, deaths at different dates, substitution rights, and multiple sale/donation transactions. The defendant argues this complexity warrants independent expert verification rather than judicial arithmetic.</w:t>
      </w:r>
    </w:p>
    <w:p>
      <w:pPr>
        <w:spacing w:after="80"/>
      </w:pPr>
    </w:p>
    <w:p>
      <w:pPr>
        <w:pStyle w:val="Heading2"/>
      </w:pPr>
      <w:r>
        <w:t xml:space="preserve">Courts’ Position (Both Instances)</w:t>
      </w:r>
    </w:p>
    <w:p>
      <w:pPr>
        <w:pStyle w:val="ListParagraph"/>
        <w:numPr>
          <w:ilvl w:val="0"/>
          <w:numId w:val="2"/>
        </w:numPr>
        <w:spacing w:after="60"/>
      </w:pPr>
      <w:r>
        <w:rPr>
          <w:rFonts w:ascii="Arial" w:cs="Arial" w:eastAsia="Arial" w:hAnsi="Arial"/>
          <w:sz w:val="22"/>
          <w:szCs w:val="22"/>
        </w:rPr>
        <w:t xml:space="preserve">Determining inheritance shares is a legal question, not one requiring specialised knowledge.</w:t>
      </w:r>
    </w:p>
    <w:p>
      <w:pPr>
        <w:pStyle w:val="ListParagraph"/>
        <w:numPr>
          <w:ilvl w:val="0"/>
          <w:numId w:val="2"/>
        </w:numPr>
        <w:spacing w:after="60"/>
      </w:pPr>
      <w:r>
        <w:rPr>
          <w:rFonts w:ascii="Arial" w:cs="Arial" w:eastAsia="Arial" w:hAnsi="Arial"/>
          <w:sz w:val="22"/>
          <w:szCs w:val="22"/>
        </w:rPr>
        <w:t xml:space="preserve">Both courts independently verified the calculations using certificates of heirs, notarial acts, and the Inheritance Act, arriving at identical results.</w:t>
      </w:r>
    </w:p>
    <w:p>
      <w:pPr>
        <w:pStyle w:val="ListParagraph"/>
        <w:numPr>
          <w:ilvl w:val="0"/>
          <w:numId w:val="2"/>
        </w:numPr>
        <w:spacing w:after="60"/>
      </w:pPr>
      <w:r>
        <w:rPr>
          <w:rFonts w:ascii="Arial" w:cs="Arial" w:eastAsia="Arial" w:hAnsi="Arial"/>
          <w:sz w:val="22"/>
          <w:szCs w:val="22"/>
        </w:rPr>
        <w:t xml:space="preserve">The defendant withdrew its expert request at first instance; procedural preclusion applies.</w:t>
      </w:r>
    </w:p>
    <w:p>
      <w:pPr>
        <w:spacing w:after="80"/>
      </w:pPr>
    </w:p>
    <w:p>
      <w:pPr>
        <w:pStyle w:val="Heading2"/>
      </w:pPr>
      <w:r>
        <w:t xml:space="preserve">Cassation Prospects</w:t>
      </w:r>
    </w:p>
    <w:p>
      <w:pPr>
        <w:spacing w:after="120"/>
        <w:jc w:val="left"/>
      </w:pPr>
      <w:r>
        <w:rPr>
          <w:rFonts w:ascii="Arial" w:cs="Arial" w:eastAsia="Arial" w:hAnsi="Arial"/>
          <w:b w:val="false"/>
          <w:bCs w:val="false"/>
          <w:i w:val="false"/>
          <w:iCs w:val="false"/>
          <w:sz w:val="22"/>
          <w:szCs w:val="22"/>
        </w:rPr>
        <w:t xml:space="preserve">The defendant’s cassation appeal relies on VKS precedent that courts must appoint experts sua sponte in partition cases involving imperative norms. However, those precedents concerned genuinely complex situations (nationalised property restoration, physical merger of objects, contested wills), whereas this case involves straightforward inheritance arithmetic from documented certificates. The fact that the defendant itself withdrew its expert request at first instance significantly undermines the procedural violation argument.</w:t>
      </w:r>
    </w:p>
    <w:p>
      <w:pPr>
        <w:spacing w:after="80"/>
      </w:pPr>
    </w:p>
    <w:p>
      <w:pPr>
        <w:pBdr>
          <w:bottom w:val="single" w:color="1B3A5C" w:sz="6" w:space="1"/>
        </w:pBdr>
        <w:spacing w:after="200"/>
      </w:pPr>
    </w:p>
    <w:p>
      <w:pPr>
        <w:pStyle w:val="Heading1"/>
      </w:pPr>
      <w:r>
        <w:t xml:space="preserve">8. Current Status</w:t>
      </w:r>
    </w:p>
    <w:p>
      <w:pPr>
        <w:spacing w:after="120"/>
        <w:jc w:val="left"/>
      </w:pPr>
      <w:r>
        <w:rPr>
          <w:rFonts w:ascii="Arial" w:cs="Arial" w:eastAsia="Arial" w:hAnsi="Arial"/>
          <w:b w:val="false"/>
          <w:bCs w:val="false"/>
          <w:i w:val="false"/>
          <w:iCs w:val="false"/>
          <w:sz w:val="22"/>
          <w:szCs w:val="22"/>
        </w:rPr>
        <w:t xml:space="preserve">The case is at the cassation stage before the Supreme Court of Cassation (VKS). </w:t>
      </w:r>
      <w:r>
        <w:rPr>
          <w:rFonts w:ascii="Arial" w:cs="Arial" w:eastAsia="Arial" w:hAnsi="Arial"/>
          <w:b/>
          <w:bCs/>
          <w:i w:val="false"/>
          <w:iCs w:val="false"/>
          <w:sz w:val="22"/>
          <w:szCs w:val="22"/>
        </w:rPr>
        <w:t xml:space="preserve">The next step is for the VKS to decide whether to admit the cassation appeal under Art. 280(1) CPC.</w:t>
      </w:r>
      <w:r>
        <w:rPr>
          <w:rFonts w:ascii="Arial" w:cs="Arial" w:eastAsia="Arial" w:hAnsi="Arial"/>
          <w:b w:val="false"/>
          <w:bCs w:val="false"/>
          <w:i w:val="false"/>
          <w:iCs w:val="false"/>
          <w:sz w:val="22"/>
          <w:szCs w:val="22"/>
        </w:rPr>
        <w:t xml:space="preserve"> If admitted, the VKS will examine whether the lower courts erred by not appointing an expert. If not admitted, Decision No. 502 becomes final and the case proceeds to Phase 2 of the partition (actual distribution or sale of the property).</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200"/>
      <w:jc w:val="right"/>
    </w:pPr>
    <w:r>
      <w:rPr>
        <w:rFonts w:ascii="Arial" w:cs="Arial" w:eastAsia="Arial" w:hAnsi="Arial"/>
        <w:i/>
        <w:iCs/>
        <w:color w:val="888888"/>
        <w:sz w:val="16"/>
        <w:szCs w:val="16"/>
      </w:rPr>
      <w:t xml:space="preserve">Case No. 23336/2023 — Ostend v. Intellpiks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2026-04-03T13:36:49.387Z</dcterms:created>
  <dcterms:modified xsi:type="dcterms:W3CDTF">2026-04-03T13:36:49.388Z</dcterms:modified>
</cp:coreProperties>
</file>

<file path=docProps/custom.xml><?xml version="1.0" encoding="utf-8"?>
<Properties xmlns="http://schemas.openxmlformats.org/officeDocument/2006/custom-properties" xmlns:vt="http://schemas.openxmlformats.org/officeDocument/2006/docPropsVTypes"/>
</file>