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0542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b/>
          <w:sz w:val="52"/>
        </w:rPr>
      </w:pPr>
      <w:bookmarkStart w:id="68" w:name="_GoBack"/>
      <w:r>
        <w:rPr>
          <w:rFonts w:hint="eastAsia" w:ascii="宋体" w:hAnsi="宋体" w:eastAsia="宋体" w:cs="宋体"/>
          <w:b/>
          <w:sz w:val="52"/>
        </w:rPr>
        <w:t>美赛通用数学建模论文模板</w:t>
      </w:r>
      <w:bookmarkEnd w:id="68"/>
    </w:p>
    <w:p w14:paraId="3F50E2D8">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宋体" w:hAnsi="宋体" w:eastAsia="宋体" w:cs="宋体"/>
        </w:rPr>
      </w:pPr>
      <w:r>
        <w:rPr>
          <w:rFonts w:hint="eastAsia" w:ascii="宋体" w:hAnsi="宋体" w:eastAsia="宋体" w:cs="宋体"/>
          <w:b/>
          <w:sz w:val="52"/>
        </w:rPr>
        <w:t>（25页版·</w:t>
      </w:r>
      <w:r>
        <w:rPr>
          <w:rFonts w:hint="eastAsia" w:ascii="宋体" w:hAnsi="宋体" w:eastAsia="宋体" w:cs="宋体"/>
          <w:b/>
          <w:sz w:val="52"/>
          <w:lang w:val="en-US" w:eastAsia="zh-CN"/>
        </w:rPr>
        <w:t>填空模版</w:t>
      </w:r>
      <w:r>
        <w:rPr>
          <w:rFonts w:hint="eastAsia" w:ascii="宋体" w:hAnsi="宋体" w:eastAsia="宋体" w:cs="宋体"/>
          <w:b/>
          <w:sz w:val="52"/>
        </w:rPr>
        <w:t>+案例赋能）</w:t>
      </w:r>
    </w:p>
    <w:p w14:paraId="3A7E5E20">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rPr>
      </w:pPr>
      <w:bookmarkStart w:id="0" w:name="heading_0"/>
      <w:r>
        <w:rPr>
          <w:rFonts w:hint="eastAsia" w:ascii="宋体" w:hAnsi="宋体" w:eastAsia="宋体" w:cs="宋体"/>
          <w:b/>
          <w:sz w:val="32"/>
        </w:rPr>
        <w:t>一、题目模板（中英对应，突出创新，适配全题型）</w:t>
      </w:r>
      <w:bookmarkEnd w:id="0"/>
    </w:p>
    <w:p w14:paraId="73CF7F2B">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sz w:val="30"/>
        </w:rPr>
      </w:pPr>
      <w:bookmarkStart w:id="1" w:name="heading_1"/>
      <w:r>
        <w:rPr>
          <w:rFonts w:hint="eastAsia" w:ascii="宋体" w:hAnsi="宋体" w:eastAsia="宋体" w:cs="宋体"/>
          <w:b/>
          <w:sz w:val="30"/>
        </w:rPr>
        <w:t>（一）核心范式（直接套用，兼顾学术性与创新性）</w:t>
      </w:r>
      <w:bookmarkEnd w:id="1"/>
    </w:p>
    <w:p w14:paraId="281E219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中文：基于</w:t>
      </w:r>
      <w:r>
        <w:rPr>
          <w:rFonts w:hint="eastAsia" w:ascii="宋体" w:hAnsi="宋体" w:eastAsia="宋体" w:cs="宋体"/>
          <w:color w:val="0A30F4"/>
          <w:sz w:val="24"/>
          <w:szCs w:val="24"/>
        </w:rPr>
        <w:t>[融合/改进模型/算法]</w:t>
      </w:r>
      <w:r>
        <w:rPr>
          <w:rFonts w:hint="eastAsia" w:ascii="宋体" w:hAnsi="宋体" w:eastAsia="宋体" w:cs="宋体"/>
          <w:sz w:val="24"/>
          <w:szCs w:val="24"/>
        </w:rPr>
        <w:t>的</w:t>
      </w:r>
      <w:r>
        <w:rPr>
          <w:rFonts w:hint="eastAsia" w:ascii="宋体" w:hAnsi="宋体" w:eastAsia="宋体" w:cs="宋体"/>
          <w:color w:val="0A30F4"/>
          <w:sz w:val="24"/>
          <w:szCs w:val="24"/>
        </w:rPr>
        <w:t>[研究对象][建模/优化/预测/评价/决策]</w:t>
      </w:r>
      <w:r>
        <w:rPr>
          <w:rFonts w:hint="eastAsia" w:ascii="宋体" w:hAnsi="宋体" w:eastAsia="宋体" w:cs="宋体"/>
          <w:sz w:val="24"/>
          <w:szCs w:val="24"/>
        </w:rPr>
        <w:t>问题</w:t>
      </w:r>
      <w:r>
        <w:rPr>
          <w:rFonts w:hint="eastAsia" w:ascii="宋体" w:hAnsi="宋体" w:eastAsia="宋体" w:cs="宋体"/>
          <w:sz w:val="24"/>
          <w:szCs w:val="24"/>
        </w:rPr>
        <w:t>研究</w:t>
      </w:r>
    </w:p>
    <w:p w14:paraId="6D5557E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英文：Research on [Modeling/Optimization/Prediction/Evaluation/Decision-Making] of [Research Object] Based on [Fused/Improved Model/Algorithm]</w:t>
      </w:r>
    </w:p>
    <w:p w14:paraId="5285451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outlineLvl w:val="9"/>
        <w:rPr>
          <w:rFonts w:hint="default" w:ascii="Times New Roman" w:hAnsi="Times New Roman" w:eastAsia="宋体" w:cs="Times New Roman"/>
          <w:sz w:val="22"/>
          <w:szCs w:val="22"/>
        </w:rPr>
      </w:pPr>
    </w:p>
    <w:p w14:paraId="7C553E9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sz w:val="30"/>
        </w:rPr>
      </w:pPr>
      <w:bookmarkStart w:id="2" w:name="heading_2"/>
      <w:r>
        <w:rPr>
          <w:rFonts w:hint="eastAsia" w:ascii="宋体" w:hAnsi="宋体" w:eastAsia="宋体" w:cs="宋体"/>
          <w:b/>
          <w:sz w:val="30"/>
        </w:rPr>
        <w:t>（二）O奖级题目案例（覆盖四大高频题型）</w:t>
      </w:r>
      <w:bookmarkEnd w:id="2"/>
    </w:p>
    <w:p w14:paraId="15BBFCF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color w:val="auto"/>
          <w:sz w:val="22"/>
        </w:rPr>
      </w:pPr>
      <w:r>
        <w:rPr>
          <w:rFonts w:hint="eastAsia" w:ascii="宋体" w:hAnsi="宋体" w:eastAsia="宋体" w:cs="宋体"/>
          <w:color w:val="auto"/>
          <w:sz w:val="22"/>
        </w:rPr>
        <w:t>预测类：基于</w:t>
      </w:r>
      <w:r>
        <w:rPr>
          <w:rFonts w:hint="eastAsia" w:ascii="宋体" w:hAnsi="宋体" w:eastAsia="宋体" w:cs="宋体"/>
          <w:color w:val="auto"/>
          <w:sz w:val="22"/>
        </w:rPr>
        <w:t>PCA-LSTM-XGBoost融合模型的奥运奖牌数量精准预测</w:t>
      </w:r>
      <w:r>
        <w:rPr>
          <w:rFonts w:hint="eastAsia" w:ascii="宋体" w:hAnsi="宋体" w:eastAsia="宋体" w:cs="宋体"/>
          <w:color w:val="auto"/>
          <w:sz w:val="22"/>
          <w:lang w:val="en-US" w:eastAsia="zh-CN"/>
        </w:rPr>
        <w:t>问题</w:t>
      </w:r>
      <w:r>
        <w:rPr>
          <w:rFonts w:hint="eastAsia" w:ascii="宋体" w:hAnsi="宋体" w:eastAsia="宋体" w:cs="宋体"/>
          <w:color w:val="auto"/>
          <w:sz w:val="22"/>
        </w:rPr>
        <w:t>研究</w:t>
      </w:r>
    </w:p>
    <w:p w14:paraId="3287417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color w:val="auto"/>
          <w:sz w:val="22"/>
        </w:rPr>
      </w:pPr>
      <w:r>
        <w:rPr>
          <w:rFonts w:hint="eastAsia" w:ascii="宋体" w:hAnsi="宋体" w:eastAsia="宋体" w:cs="宋体"/>
          <w:color w:val="auto"/>
          <w:sz w:val="22"/>
        </w:rPr>
        <w:t>优化类：基于微分进化算法优化多目标规划的生态农业资源配置优化</w:t>
      </w:r>
      <w:r>
        <w:rPr>
          <w:rFonts w:hint="eastAsia" w:ascii="宋体" w:hAnsi="宋体" w:eastAsia="宋体" w:cs="宋体"/>
          <w:color w:val="auto"/>
          <w:sz w:val="22"/>
          <w:lang w:val="en-US" w:eastAsia="zh-CN"/>
        </w:rPr>
        <w:t>问题</w:t>
      </w:r>
      <w:r>
        <w:rPr>
          <w:rFonts w:hint="eastAsia" w:ascii="宋体" w:hAnsi="宋体" w:eastAsia="宋体" w:cs="宋体"/>
          <w:color w:val="auto"/>
          <w:sz w:val="22"/>
        </w:rPr>
        <w:t>研究</w:t>
      </w:r>
    </w:p>
    <w:p w14:paraId="356402C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color w:val="auto"/>
          <w:sz w:val="22"/>
        </w:rPr>
        <w:t>评价类：基于熵权-TOPSIS与系统动力学耦合模型的区域生态环境质量综合评价</w:t>
      </w:r>
      <w:r>
        <w:rPr>
          <w:rFonts w:hint="eastAsia" w:ascii="宋体" w:hAnsi="宋体" w:eastAsia="宋体" w:cs="宋体"/>
          <w:color w:val="auto"/>
          <w:sz w:val="22"/>
          <w:lang w:val="en-US" w:eastAsia="zh-CN"/>
        </w:rPr>
        <w:t>问题</w:t>
      </w:r>
      <w:r>
        <w:rPr>
          <w:rFonts w:hint="eastAsia" w:ascii="宋体" w:hAnsi="宋体" w:eastAsia="宋体" w:cs="宋体"/>
          <w:color w:val="auto"/>
          <w:sz w:val="22"/>
        </w:rPr>
        <w:t>研究</w:t>
      </w:r>
    </w:p>
    <w:p w14:paraId="54E5509C">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outlineLvl w:val="9"/>
        <w:rPr>
          <w:rFonts w:hint="eastAsia" w:ascii="宋体" w:hAnsi="宋体" w:eastAsia="宋体" w:cs="宋体"/>
        </w:rPr>
      </w:pP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485B8802">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E2FD78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O奖避坑指南：</w:t>
            </w:r>
            <w:r>
              <w:rPr>
                <w:rFonts w:hint="eastAsia" w:ascii="宋体" w:hAnsi="宋体" w:eastAsia="宋体" w:cs="宋体"/>
                <w:sz w:val="24"/>
                <w:szCs w:val="24"/>
                <w:lang w:val="en-US" w:eastAsia="zh-CN"/>
              </w:rPr>
              <w:t>1.</w:t>
            </w:r>
            <w:r>
              <w:rPr>
                <w:rFonts w:hint="eastAsia" w:ascii="宋体" w:hAnsi="宋体" w:eastAsia="宋体" w:cs="宋体"/>
                <w:sz w:val="24"/>
                <w:szCs w:val="24"/>
              </w:rPr>
              <w:t>方法表述精准，避免模糊化（如“微分进化算法”而非“优化算法”，“双重差分模型”而非“统计模型”）2. 中英文核心词严格对应（“耦合模型”=“Coupled Model”，“资源配置”=“Resource Allocation”）；3. 题目含“创新点+研究范围+应用价值”，字数控制在20-30词，不冗余不空洞；4. 避免标题与赛题完全重复，体现建模视角。</w:t>
            </w:r>
          </w:p>
        </w:tc>
      </w:tr>
    </w:tbl>
    <w:p w14:paraId="6461A833">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bookmarkStart w:id="3" w:name="heading_3"/>
      <w:r>
        <w:rPr>
          <w:rFonts w:hint="eastAsia" w:ascii="宋体" w:hAnsi="宋体" w:eastAsia="宋体" w:cs="宋体"/>
          <w:b/>
          <w:sz w:val="32"/>
        </w:rPr>
        <w:br w:type="page"/>
      </w:r>
      <w:r>
        <w:rPr>
          <w:rFonts w:hint="eastAsia" w:ascii="宋体" w:hAnsi="宋体" w:eastAsia="宋体" w:cs="宋体"/>
          <w:b/>
          <w:sz w:val="32"/>
        </w:rPr>
        <w:t>二、摘要（300词</w:t>
      </w:r>
      <w:r>
        <w:rPr>
          <w:rFonts w:hint="eastAsia" w:ascii="宋体" w:hAnsi="宋体" w:eastAsia="宋体" w:cs="宋体"/>
          <w:b/>
          <w:sz w:val="32"/>
          <w:lang w:val="en-US" w:eastAsia="zh-CN"/>
        </w:rPr>
        <w:t>左右</w:t>
      </w:r>
      <w:r>
        <w:rPr>
          <w:rFonts w:hint="eastAsia" w:ascii="宋体" w:hAnsi="宋体" w:eastAsia="宋体" w:cs="宋体"/>
          <w:b/>
          <w:sz w:val="32"/>
        </w:rPr>
        <w:t>，严格三段式+分问闭环）</w:t>
      </w:r>
      <w:bookmarkEnd w:id="3"/>
    </w:p>
    <w:p w14:paraId="05F1EF34">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32"/>
          <w:lang w:val="en-US" w:eastAsia="zh-CN"/>
        </w:rPr>
      </w:pPr>
      <w:r>
        <w:rPr>
          <w:rFonts w:hint="eastAsia" w:ascii="楷体" w:hAnsi="楷体" w:eastAsia="楷体" w:cs="楷体"/>
          <w:position w:val="-90"/>
          <w:sz w:val="24"/>
          <w:szCs w:val="24"/>
        </w:rPr>
        <w:drawing>
          <wp:inline distT="0" distB="0" distL="0" distR="0">
            <wp:extent cx="5450840" cy="2866390"/>
            <wp:effectExtent l="0" t="0" r="16510" b="1016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5"/>
                    <a:stretch>
                      <a:fillRect/>
                    </a:stretch>
                  </pic:blipFill>
                  <pic:spPr>
                    <a:xfrm>
                      <a:off x="0" y="0"/>
                      <a:ext cx="5451347" cy="2866644"/>
                    </a:xfrm>
                    <a:prstGeom prst="rect">
                      <a:avLst/>
                    </a:prstGeom>
                  </pic:spPr>
                </pic:pic>
              </a:graphicData>
            </a:graphic>
          </wp:inline>
        </w:drawing>
      </w:r>
    </w:p>
    <w:p w14:paraId="74AF097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FF0000"/>
          <w:sz w:val="30"/>
        </w:rPr>
      </w:pPr>
      <w:bookmarkStart w:id="4" w:name="heading_4"/>
      <w:r>
        <w:rPr>
          <w:rFonts w:hint="eastAsia" w:ascii="宋体" w:hAnsi="宋体" w:eastAsia="宋体" w:cs="宋体"/>
          <w:b/>
          <w:bCs w:val="0"/>
          <w:color w:val="FF0000"/>
          <w:sz w:val="30"/>
        </w:rPr>
        <w:t>（一）填空式模板（直接替换括号内容）</w:t>
      </w:r>
      <w:bookmarkEnd w:id="4"/>
    </w:p>
    <w:p w14:paraId="2EC7CFC0">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bCs w:val="0"/>
          <w:sz w:val="28"/>
          <w:szCs w:val="28"/>
        </w:rPr>
      </w:pPr>
      <w:bookmarkStart w:id="5" w:name="heading_5"/>
      <w:r>
        <w:rPr>
          <w:rFonts w:hint="eastAsia" w:ascii="宋体" w:hAnsi="宋体" w:eastAsia="宋体" w:cs="宋体"/>
          <w:b/>
          <w:bCs w:val="0"/>
          <w:sz w:val="28"/>
          <w:szCs w:val="28"/>
        </w:rPr>
        <w:t>第一部分（背景+痛点+核心模型+研究意义）</w:t>
      </w:r>
      <w:bookmarkEnd w:id="5"/>
    </w:p>
    <w:p w14:paraId="49A7C29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color w:val="auto"/>
        </w:rPr>
      </w:pPr>
      <w:r>
        <w:rPr>
          <w:rFonts w:hint="eastAsia" w:ascii="宋体" w:hAnsi="宋体" w:eastAsia="宋体" w:cs="宋体"/>
          <w:color w:val="auto"/>
          <w:sz w:val="22"/>
        </w:rPr>
        <w:t>在</w:t>
      </w:r>
      <w:r>
        <w:rPr>
          <w:rFonts w:hint="eastAsia" w:ascii="宋体" w:hAnsi="宋体" w:eastAsia="宋体" w:cs="宋体"/>
          <w:color w:val="0A30F4"/>
          <w:sz w:val="22"/>
        </w:rPr>
        <w:t>[实际场景，如“全球竞技体育竞争加剧”/“生态环境保护与农业发展协同”]</w:t>
      </w:r>
      <w:r>
        <w:rPr>
          <w:rFonts w:hint="eastAsia" w:ascii="宋体" w:hAnsi="宋体" w:eastAsia="宋体" w:cs="宋体"/>
          <w:color w:val="auto"/>
          <w:sz w:val="22"/>
        </w:rPr>
        <w:t>背景下，[核心问题，如“奥运奖牌数量精准预测与突破方向研判”/“区域生态环境质量综合评价与治理”]成为</w:t>
      </w:r>
      <w:r>
        <w:rPr>
          <w:rFonts w:hint="eastAsia" w:ascii="宋体" w:hAnsi="宋体" w:eastAsia="宋体" w:cs="宋体"/>
          <w:color w:val="0A30F4"/>
          <w:sz w:val="22"/>
        </w:rPr>
        <w:t>[决策主体，如“体育管理部门”/“环保部门”]</w:t>
      </w:r>
      <w:r>
        <w:rPr>
          <w:rFonts w:hint="eastAsia" w:ascii="宋体" w:hAnsi="宋体" w:eastAsia="宋体" w:cs="宋体"/>
          <w:color w:val="auto"/>
          <w:sz w:val="22"/>
        </w:rPr>
        <w:t>的核心需求。该问题具有[痛点，如“多因素耦合、时序动态性强、数据维度冗余”/“指标体系复杂、时空异质性显著”]特征，传统单一模型存在[局限，如“动态捕捉不足、维度处理能力弱”/“权重设定主观、缺乏动态预判”]，难以满足精准决策需求。本文创新构建[核心模型/方法]，形成“数据预处理-建模求解-检验优化-策略输出”完整解决方案，为实际决策提供科学支撑。</w:t>
      </w:r>
    </w:p>
    <w:p w14:paraId="3630932B">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bCs w:val="0"/>
          <w:sz w:val="28"/>
          <w:szCs w:val="28"/>
        </w:rPr>
      </w:pPr>
      <w:bookmarkStart w:id="6" w:name="heading_6"/>
      <w:r>
        <w:rPr>
          <w:rFonts w:hint="eastAsia" w:ascii="宋体" w:hAnsi="宋体" w:eastAsia="宋体" w:cs="宋体"/>
          <w:b/>
          <w:bCs w:val="0"/>
          <w:sz w:val="28"/>
          <w:szCs w:val="28"/>
        </w:rPr>
        <w:t>第二部分（分问建模+全要素呈现，每问一段）</w:t>
      </w:r>
      <w:bookmarkEnd w:id="6"/>
    </w:p>
    <w:p w14:paraId="08BCB6D9">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color w:val="FF0000"/>
          <w:sz w:val="22"/>
          <w:lang w:val="en-US" w:eastAsia="zh-CN"/>
        </w:rPr>
      </w:pPr>
      <w:r>
        <w:rPr>
          <w:rFonts w:hint="eastAsia" w:ascii="宋体" w:hAnsi="宋体" w:eastAsia="宋体" w:cs="宋体"/>
          <w:color w:val="FF0000"/>
          <w:sz w:val="22"/>
          <w:lang w:val="en-US" w:eastAsia="zh-CN"/>
        </w:rPr>
        <w:t>(若问题一属于预处理类问题可选择，若属于常规的建模题目，可直接采用问题二的描述形式，按照问题——方法——结果/结论——创新点（模型检验）逻辑进行！)</w:t>
      </w:r>
    </w:p>
    <w:p w14:paraId="34F5F04D">
      <w:pPr>
        <w:keepNext w:val="0"/>
        <w:keepLines w:val="0"/>
        <w:pageBreakBefore w:val="0"/>
        <w:widowControl w:val="0"/>
        <w:kinsoku/>
        <w:wordWrap/>
        <w:overflowPunct/>
        <w:topLinePunct w:val="0"/>
        <w:autoSpaceDE/>
        <w:autoSpaceDN/>
        <w:bidi w:val="0"/>
        <w:adjustRightInd/>
        <w:snapToGrid/>
        <w:spacing w:after="0" w:afterLines="50" w:line="360" w:lineRule="auto"/>
        <w:ind w:left="0"/>
        <w:jc w:val="both"/>
        <w:textAlignment w:val="auto"/>
        <w:outlineLvl w:val="9"/>
        <w:rPr>
          <w:rFonts w:hint="eastAsia" w:ascii="宋体" w:hAnsi="宋体" w:eastAsia="宋体" w:cs="宋体"/>
          <w:sz w:val="22"/>
        </w:rPr>
      </w:pPr>
      <w:r>
        <w:rPr>
          <w:rFonts w:hint="eastAsia" w:ascii="宋体" w:hAnsi="宋体" w:eastAsia="宋体" w:cs="宋体"/>
          <w:sz w:val="22"/>
        </w:rPr>
        <w:t>针对第1问[子问题1，如“数据预处理与维度优化及可靠性验证”]</w:t>
      </w:r>
      <w:r>
        <w:rPr>
          <w:rFonts w:hint="eastAsia" w:ascii="宋体" w:hAnsi="宋体" w:eastAsia="宋体" w:cs="宋体"/>
          <w:sz w:val="22"/>
        </w:rPr>
        <w:t>，聚焦原始数据存在异常值、缺失值及维度冗余的问题，采用“3σ准则异常值剔除+灰色GM(1,1)模型数据补全+PCA主成分分析降维”三步法处理数据。先通过3σ准则界定[μ±3σ]正常区间，剔除极端异常值（异常值占比[XX%]）；再用灰色GM(1,1)模型补全缺失数据，补全后数据与插值法对比，误差降低[XX%]；最后通过PCA降维，提取累计方差贡献率≥[XX%]（通常≥85%）的主成分，简化模型输入。</w:t>
      </w:r>
      <w:r>
        <w:rPr>
          <w:rFonts w:hint="eastAsia" w:ascii="宋体" w:hAnsi="宋体" w:eastAsia="宋体" w:cs="宋体"/>
          <w:color w:val="0A30F4"/>
          <w:sz w:val="22"/>
        </w:rPr>
        <w:t>经一致性检验（一致性系数=[XX]≥0.8）与正态性检验（P值=[XX]＞0.05）验证，数据无系统性偏差，可信度达[XX%]，为后续建模提供高质量输入。</w:t>
      </w:r>
      <w:r>
        <w:rPr>
          <w:rFonts w:hint="eastAsia" w:ascii="宋体" w:hAnsi="宋体" w:eastAsia="宋体" w:cs="宋体"/>
          <w:color w:val="C00000"/>
          <w:sz w:val="22"/>
        </w:rPr>
        <w:t>本问创新点在于将去噪、补全与降维有机结合，针对性解决小样本、高维度数据的可靠性问题。</w:t>
      </w:r>
    </w:p>
    <w:p w14:paraId="1F67F6CB">
      <w:pPr>
        <w:keepNext w:val="0"/>
        <w:keepLines w:val="0"/>
        <w:pageBreakBefore w:val="0"/>
        <w:widowControl w:val="0"/>
        <w:kinsoku/>
        <w:wordWrap/>
        <w:overflowPunct/>
        <w:topLinePunct w:val="0"/>
        <w:autoSpaceDE/>
        <w:autoSpaceDN/>
        <w:bidi w:val="0"/>
        <w:adjustRightInd/>
        <w:snapToGrid/>
        <w:spacing w:after="0" w:afterLines="50" w:line="360" w:lineRule="auto"/>
        <w:ind w:left="0"/>
        <w:jc w:val="both"/>
        <w:textAlignment w:val="auto"/>
        <w:outlineLvl w:val="9"/>
        <w:rPr>
          <w:rFonts w:hint="eastAsia" w:ascii="宋体" w:hAnsi="宋体" w:eastAsia="宋体" w:cs="宋体"/>
          <w:sz w:val="22"/>
        </w:rPr>
      </w:pPr>
      <w:r>
        <w:rPr>
          <w:rFonts w:hint="eastAsia" w:ascii="宋体" w:hAnsi="宋体" w:eastAsia="宋体" w:cs="宋体"/>
          <w:sz w:val="22"/>
        </w:rPr>
        <w:t>针对第2问[子问题2，</w:t>
      </w:r>
      <w:r>
        <w:rPr>
          <w:rFonts w:hint="eastAsia" w:ascii="宋体" w:hAnsi="宋体" w:eastAsia="宋体" w:cs="宋体"/>
          <w:sz w:val="22"/>
          <w:lang w:val="en-US" w:eastAsia="zh-CN"/>
        </w:rPr>
        <w:t>对问题进行高度概括，若对问题定型</w:t>
      </w:r>
      <w:r>
        <w:rPr>
          <w:rFonts w:hint="eastAsia" w:ascii="宋体" w:hAnsi="宋体" w:eastAsia="宋体" w:cs="宋体"/>
          <w:sz w:val="22"/>
        </w:rPr>
        <w:t>如“核心模型构建、参数优化与求解”]</w:t>
      </w:r>
      <w:r>
        <w:rPr>
          <w:rFonts w:hint="eastAsia" w:ascii="宋体" w:hAnsi="宋体" w:eastAsia="宋体" w:cs="宋体"/>
          <w:sz w:val="22"/>
        </w:rPr>
        <w:t>，基于[核心理论，如“时序预测理论+深度学习原理”/“生态动力学原理+多目标优化理论”]</w:t>
      </w:r>
      <w:r>
        <w:rPr>
          <w:rFonts w:hint="eastAsia" w:ascii="宋体" w:hAnsi="宋体" w:eastAsia="宋体" w:cs="宋体"/>
          <w:sz w:val="22"/>
        </w:rPr>
        <w:t>，搭建[模型框架，如“PCA-LSTM-XGBoost融合框架”/“熵权-TOPSIS与系统动力学耦合框架”]</w:t>
      </w:r>
      <w:r>
        <w:rPr>
          <w:rFonts w:hint="eastAsia" w:ascii="宋体" w:hAnsi="宋体" w:eastAsia="宋体" w:cs="宋体"/>
          <w:sz w:val="22"/>
        </w:rPr>
        <w:t>。模型核心设计为：</w:t>
      </w:r>
      <w:r>
        <w:rPr>
          <w:rFonts w:hint="eastAsia" w:ascii="宋体" w:hAnsi="宋体" w:eastAsia="宋体" w:cs="宋体"/>
          <w:sz w:val="22"/>
          <w:lang w:val="en-US" w:eastAsia="zh-CN"/>
        </w:rPr>
        <w:t>[设计思路：</w:t>
      </w:r>
      <w:r>
        <w:rPr>
          <w:rFonts w:hint="eastAsia" w:ascii="宋体" w:hAnsi="宋体" w:eastAsia="宋体" w:cs="宋体"/>
          <w:sz w:val="22"/>
        </w:rPr>
        <w:t>以PCA降维后的主成分为输入，通过LSTM模型捕捉时序动态特征，再利用XGBoost模型优化预测结果（耦合类：用熵权-TOPSIS量化静态评价结果，作为系统动力学模型的初始参数，实现静态评价与动态预测协同</w:t>
      </w:r>
      <w:r>
        <w:rPr>
          <w:rFonts w:hint="eastAsia" w:ascii="宋体" w:hAnsi="宋体" w:eastAsia="宋体" w:cs="宋体"/>
          <w:sz w:val="22"/>
          <w:lang w:val="en-US" w:eastAsia="zh-CN"/>
        </w:rPr>
        <w:t>]</w:t>
      </w:r>
      <w:r>
        <w:rPr>
          <w:rFonts w:hint="eastAsia" w:ascii="宋体" w:hAnsi="宋体" w:eastAsia="宋体" w:cs="宋体"/>
          <w:sz w:val="22"/>
        </w:rPr>
        <w:t>。采用[算法，如“微分进化算法”/“自适应遗传算法”]优化核心参数（共[XX]个，如LSTM隐藏层节点数、学习率，XGBoost决策树数量等），参数收敛误差≤[XX]，迭代次数[XX]次后达到稳定。通过[工具，如Python/R/MATLAB]求解，最终输出[</w:t>
      </w:r>
      <w:r>
        <w:rPr>
          <w:rFonts w:hint="eastAsia" w:ascii="宋体" w:hAnsi="宋体" w:eastAsia="宋体" w:cs="宋体"/>
          <w:sz w:val="22"/>
          <w:lang w:val="en-US" w:eastAsia="zh-CN"/>
        </w:rPr>
        <w:t>核心</w:t>
      </w:r>
      <w:r>
        <w:rPr>
          <w:rFonts w:hint="eastAsia" w:ascii="宋体" w:hAnsi="宋体" w:eastAsia="宋体" w:cs="宋体"/>
          <w:sz w:val="22"/>
        </w:rPr>
        <w:t>结果，如“2028奥运各国奖牌预测</w:t>
      </w:r>
      <w:r>
        <w:rPr>
          <w:rFonts w:hint="eastAsia" w:ascii="宋体" w:hAnsi="宋体" w:eastAsia="宋体" w:cs="宋体"/>
          <w:sz w:val="22"/>
          <w:lang w:val="en-US" w:eastAsia="zh-CN"/>
        </w:rPr>
        <w:t>总数量突破</w:t>
      </w:r>
      <w:r>
        <w:rPr>
          <w:rFonts w:hint="eastAsia" w:ascii="宋体" w:hAnsi="宋体" w:eastAsia="宋体" w:cs="宋体"/>
          <w:color w:val="FF0000"/>
          <w:sz w:val="22"/>
          <w:lang w:val="en-US" w:eastAsia="zh-CN"/>
        </w:rPr>
        <w:t>305枚</w:t>
      </w:r>
      <w:r>
        <w:rPr>
          <w:rFonts w:hint="eastAsia" w:ascii="宋体" w:hAnsi="宋体" w:eastAsia="宋体" w:cs="宋体"/>
          <w:sz w:val="22"/>
        </w:rPr>
        <w:t>”/“区域生态环境质量等级及动态变化趋势</w:t>
      </w:r>
      <w:r>
        <w:rPr>
          <w:rFonts w:hint="eastAsia" w:ascii="宋体" w:hAnsi="宋体" w:eastAsia="宋体" w:cs="宋体"/>
          <w:sz w:val="22"/>
          <w:lang w:val="en-US" w:eastAsia="zh-CN"/>
        </w:rPr>
        <w:t>为XXX</w:t>
      </w:r>
      <w:r>
        <w:rPr>
          <w:rFonts w:hint="eastAsia" w:ascii="宋体" w:hAnsi="宋体" w:eastAsia="宋体" w:cs="宋体"/>
          <w:sz w:val="22"/>
        </w:rPr>
        <w:t>”]，</w:t>
      </w:r>
      <w:r>
        <w:rPr>
          <w:rFonts w:hint="eastAsia" w:ascii="宋体" w:hAnsi="宋体" w:eastAsia="宋体" w:cs="宋体"/>
          <w:sz w:val="22"/>
          <w:lang w:val="en-US" w:eastAsia="zh-CN"/>
        </w:rPr>
        <w:t>最后进行了模型检验</w:t>
      </w:r>
      <w:r>
        <w:rPr>
          <w:rFonts w:hint="eastAsia" w:ascii="宋体" w:hAnsi="宋体" w:eastAsia="宋体" w:cs="宋体"/>
          <w:sz w:val="22"/>
        </w:rPr>
        <w:t>[</w:t>
      </w:r>
      <w:r>
        <w:rPr>
          <w:rFonts w:hint="eastAsia" w:ascii="宋体" w:hAnsi="宋体" w:eastAsia="宋体" w:cs="宋体"/>
          <w:sz w:val="22"/>
          <w:lang w:val="en-US" w:eastAsia="zh-CN"/>
        </w:rPr>
        <w:t>检验方法</w:t>
      </w:r>
      <w:r>
        <w:rPr>
          <w:rFonts w:hint="eastAsia" w:ascii="宋体" w:hAnsi="宋体" w:eastAsia="宋体" w:cs="宋体"/>
          <w:sz w:val="22"/>
        </w:rPr>
        <w:t>，如</w:t>
      </w:r>
      <w:r>
        <w:rPr>
          <w:rFonts w:hint="eastAsia" w:ascii="宋体" w:hAnsi="宋体" w:eastAsia="宋体" w:cs="宋体"/>
          <w:sz w:val="22"/>
          <w:lang w:val="en-US" w:eastAsia="zh-CN"/>
        </w:rPr>
        <w:t>误差分析：</w:t>
      </w:r>
      <w:r>
        <w:rPr>
          <w:rFonts w:hint="eastAsia" w:ascii="宋体" w:hAnsi="宋体" w:eastAsia="宋体" w:cs="宋体"/>
          <w:sz w:val="22"/>
        </w:rPr>
        <w:t>“MAE=XX，RMSE=XX，R²=XX≥0.92”/“评价准确率=XX%，拟合误差＜XX%”]。创新点在于多模型有机耦合，而非简单叠加，实现功能互补与精度迭代提升，适配复杂场景需求。</w:t>
      </w:r>
    </w:p>
    <w:p w14:paraId="68C6DF3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针对第</w:t>
      </w:r>
      <w:r>
        <w:rPr>
          <w:rFonts w:hint="eastAsia" w:ascii="宋体" w:hAnsi="宋体" w:eastAsia="宋体" w:cs="宋体"/>
          <w:sz w:val="22"/>
          <w:lang w:val="en-US" w:eastAsia="zh-CN"/>
        </w:rPr>
        <w:t>3</w:t>
      </w:r>
      <w:r>
        <w:rPr>
          <w:rFonts w:hint="eastAsia" w:ascii="宋体" w:hAnsi="宋体" w:eastAsia="宋体" w:cs="宋体"/>
          <w:sz w:val="22"/>
        </w:rPr>
        <w:t>问[子问题</w:t>
      </w:r>
      <w:r>
        <w:rPr>
          <w:rFonts w:hint="eastAsia" w:ascii="宋体" w:hAnsi="宋体" w:eastAsia="宋体" w:cs="宋体"/>
          <w:sz w:val="22"/>
          <w:lang w:val="en-US" w:eastAsia="zh-CN"/>
        </w:rPr>
        <w:t>3</w:t>
      </w:r>
      <w:r>
        <w:rPr>
          <w:rFonts w:hint="eastAsia" w:ascii="宋体" w:hAnsi="宋体" w:eastAsia="宋体" w:cs="宋体"/>
          <w:sz w:val="22"/>
        </w:rPr>
        <w:t>，如“核心模型构建、参数优化与求解”]，基于[核心理论，如“时序预测理论+深度学习原理”/“生态动力学原理+多目标优化理论”]，搭建[模型框架，如“PCA-LSTM-XGBoost融合框架”/“熵权-TOPSIS与系统动力学耦合框架”]。模型核心设计为：以PCA降维后的主成分为输入，通过LSTM模型捕捉时序动态特征，再利用XGBoost模型优化预测结果（耦合类：用熵权-TOPSIS量化静态评价结果，作为系统动力学模型的初始参数，实现静态评价与动态预测协同）。采用[算法，如“微分进化算法”/“自适应遗传算法”]优化核心参数（共[XX]个，如LSTM隐藏层节点数、学习率，XGBoost决策树数量等），参数收敛误差≤[XX]，迭代次数[XX]次后达到稳定。通过[工具，如Python/R/MATLAB]求解，最终输出[结果，如“2028奥运各国奖牌预测区间及突破概率”/“区域生态环境质量等级及动态变化趋势”]，核心指标达[量化值，如“MAE=XX，RMSE=XX，R²=XX≥0.92”/“评价准确率=XX%，拟合误差＜XX%”]。创新点在于多模型有机耦合，而非简单叠加，实现功能互补与精度迭代提升，适配复杂场景需求。</w:t>
      </w:r>
    </w:p>
    <w:p w14:paraId="40B93C3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sz w:val="22"/>
        </w:rPr>
      </w:pPr>
    </w:p>
    <w:p w14:paraId="59DBF404">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bCs w:val="0"/>
          <w:sz w:val="28"/>
          <w:szCs w:val="28"/>
        </w:rPr>
      </w:pPr>
      <w:bookmarkStart w:id="7" w:name="heading_7"/>
      <w:r>
        <w:rPr>
          <w:rFonts w:hint="eastAsia" w:ascii="宋体" w:hAnsi="宋体" w:eastAsia="宋体" w:cs="宋体"/>
          <w:b/>
          <w:bCs w:val="0"/>
          <w:sz w:val="28"/>
          <w:szCs w:val="28"/>
        </w:rPr>
        <w:t>第三部分（创新点+核心价值+推广意义，80-90词）</w:t>
      </w:r>
      <w:bookmarkEnd w:id="7"/>
    </w:p>
    <w:p w14:paraId="0958710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本文核心创新为[创新逻辑，如“去噪-补全-降维-建模-多维度检验”全链条闭环设计/多模型耦合的动态协同逻辑/参数自适应优化的精准建模思路]，有效解决传统模型的核心短板。模型兼具高精度、强鲁棒性与高落地性，量化结果可直接为[决策主体]提供[具体支撑，如“训练资源精准配置、奖牌突破方向研判”/“生态治理方案制定、可持续发展规划”]，助力提升决策科学性与效率。同时模型核心逻辑可迁移至同类[预测/优化/评价]问题，推广价值与现实意义显著。</w:t>
      </w:r>
    </w:p>
    <w:p w14:paraId="5CE6897D">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color w:val="0A30F4"/>
          <w:sz w:val="30"/>
        </w:rPr>
      </w:pPr>
      <w:bookmarkStart w:id="8" w:name="heading_8"/>
      <w:r>
        <w:rPr>
          <w:rFonts w:hint="eastAsia" w:ascii="宋体" w:hAnsi="宋体" w:eastAsia="宋体" w:cs="宋体"/>
          <w:b/>
          <w:color w:val="0A30F4"/>
          <w:sz w:val="30"/>
        </w:rPr>
        <w:t>（二）具体写作案例（预测类·奥运奖牌预测）</w:t>
      </w:r>
      <w:bookmarkEnd w:id="8"/>
    </w:p>
    <w:p w14:paraId="3202FB72">
      <w:pPr>
        <w:keepNext w:val="0"/>
        <w:keepLines w:val="0"/>
        <w:pageBreakBefore w:val="0"/>
        <w:widowControl w:val="0"/>
        <w:kinsoku/>
        <w:wordWrap/>
        <w:overflowPunct/>
        <w:topLinePunct w:val="0"/>
        <w:autoSpaceDE/>
        <w:autoSpaceDN/>
        <w:bidi w:val="0"/>
        <w:adjustRightInd/>
        <w:snapToGrid/>
        <w:spacing w:before="0" w:beforeLines="50" w:after="0" w:line="360" w:lineRule="auto"/>
        <w:ind w:left="0"/>
        <w:jc w:val="both"/>
        <w:textAlignment w:val="auto"/>
        <w:outlineLvl w:val="9"/>
        <w:rPr>
          <w:rFonts w:hint="eastAsia" w:ascii="宋体" w:hAnsi="宋体" w:eastAsia="宋体" w:cs="宋体"/>
          <w:b/>
          <w:bCs w:val="0"/>
          <w:color w:val="0A30F4"/>
          <w:sz w:val="28"/>
          <w:szCs w:val="28"/>
        </w:rPr>
      </w:pPr>
      <w:bookmarkStart w:id="9" w:name="heading_9"/>
      <w:r>
        <w:rPr>
          <w:rFonts w:hint="eastAsia" w:ascii="宋体" w:hAnsi="宋体" w:eastAsia="宋体" w:cs="宋体"/>
          <w:b/>
          <w:bCs w:val="0"/>
          <w:color w:val="0A30F4"/>
          <w:sz w:val="28"/>
          <w:szCs w:val="28"/>
        </w:rPr>
        <w:t>第一部分</w:t>
      </w:r>
      <w:bookmarkEnd w:id="9"/>
    </w:p>
    <w:p w14:paraId="3BDB213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color w:val="0A30F4"/>
        </w:rPr>
      </w:pPr>
      <w:r>
        <w:rPr>
          <w:rFonts w:hint="eastAsia" w:ascii="宋体" w:hAnsi="宋体" w:eastAsia="宋体" w:cs="宋体"/>
          <w:color w:val="0A30F4"/>
          <w:sz w:val="22"/>
        </w:rPr>
        <w:t>在全球竞技体育竞争加剧的背景下，奥运奖牌数量精准预测与突破国家识别成为体育管理部门制定训练策略、配置资源的核心需求。该问题具有多因素耦合、时序动态性强、数据维度冗余的特征，传统单一模型存在动态捕捉不足、维度处理能力弱的局限，难以满足精准决策需求。本文创新构建PCA-LSTM-XGBoost融合模型，形成“数据预处理-建模求解-检验优化-策略输出”完整解决方案，为奥运训练资源配置提供科学支撑。</w:t>
      </w:r>
    </w:p>
    <w:p w14:paraId="3AED1EC9">
      <w:pPr>
        <w:keepNext w:val="0"/>
        <w:keepLines w:val="0"/>
        <w:pageBreakBefore w:val="0"/>
        <w:widowControl w:val="0"/>
        <w:kinsoku/>
        <w:wordWrap/>
        <w:overflowPunct/>
        <w:topLinePunct w:val="0"/>
        <w:autoSpaceDE/>
        <w:autoSpaceDN/>
        <w:bidi w:val="0"/>
        <w:adjustRightInd/>
        <w:snapToGrid/>
        <w:spacing w:before="0" w:beforeLines="50" w:after="0" w:line="360" w:lineRule="auto"/>
        <w:ind w:left="0"/>
        <w:jc w:val="both"/>
        <w:textAlignment w:val="auto"/>
        <w:outlineLvl w:val="9"/>
        <w:rPr>
          <w:rFonts w:hint="eastAsia" w:ascii="宋体" w:hAnsi="宋体" w:eastAsia="宋体" w:cs="宋体"/>
          <w:b/>
          <w:bCs w:val="0"/>
          <w:color w:val="0A30F4"/>
          <w:sz w:val="28"/>
          <w:szCs w:val="28"/>
        </w:rPr>
      </w:pPr>
      <w:bookmarkStart w:id="10" w:name="heading_10"/>
      <w:r>
        <w:rPr>
          <w:rFonts w:hint="eastAsia" w:ascii="宋体" w:hAnsi="宋体" w:eastAsia="宋体" w:cs="宋体"/>
          <w:b/>
          <w:bCs w:val="0"/>
          <w:color w:val="0A30F4"/>
          <w:sz w:val="28"/>
          <w:szCs w:val="28"/>
        </w:rPr>
        <w:t>第二部分</w:t>
      </w:r>
      <w:bookmarkEnd w:id="10"/>
    </w:p>
    <w:p w14:paraId="04E36DA2">
      <w:pPr>
        <w:keepNext w:val="0"/>
        <w:keepLines w:val="0"/>
        <w:pageBreakBefore w:val="0"/>
        <w:widowControl w:val="0"/>
        <w:kinsoku/>
        <w:wordWrap/>
        <w:overflowPunct/>
        <w:topLinePunct w:val="0"/>
        <w:autoSpaceDE/>
        <w:autoSpaceDN/>
        <w:bidi w:val="0"/>
        <w:adjustRightInd/>
        <w:snapToGrid/>
        <w:spacing w:before="0" w:after="0" w:afterLines="50" w:line="360" w:lineRule="auto"/>
        <w:ind w:left="0"/>
        <w:jc w:val="both"/>
        <w:textAlignment w:val="auto"/>
        <w:outlineLvl w:val="9"/>
        <w:rPr>
          <w:rFonts w:hint="eastAsia" w:ascii="宋体" w:hAnsi="宋体" w:eastAsia="宋体" w:cs="宋体"/>
          <w:color w:val="0A30F4"/>
        </w:rPr>
      </w:pPr>
      <w:r>
        <w:rPr>
          <w:rFonts w:hint="eastAsia" w:ascii="宋体" w:hAnsi="宋体" w:eastAsia="宋体" w:cs="宋体"/>
          <w:color w:val="0A30F4"/>
          <w:sz w:val="22"/>
        </w:rPr>
        <w:t>针对第1问数据预处理与维度优化及可靠性验证，聚焦原始奖牌数据、经济投入、训练人数等多维度数据存在异常值、缺失值及维度冗余的问题，采用“3σ准则+灰色GM(1,1)+PCA”三步法处理数据。先通过3σ准则剔除极端异常值（异常值占比3.2%）；再用灰色GM(1,1)模型补全缺失数据，补全后数据与线性插值法对比，误差降低15.7%；最后通过PCA降维，提取累计方差贡献率88.6%的4个主成分，简化模型输入。经一致性检验（一致性系数=0.87）与正态性检验（P=0.13＞0.05）验证，数据无系统性偏差，可信度达96.8%，为后续建模提供高质量输入。本问创新点在于将去噪、补全与降维有机结合，针对性解决小样本、高维度数据的可靠性问题。</w:t>
      </w:r>
    </w:p>
    <w:p w14:paraId="355893B6">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color w:val="0A30F4"/>
        </w:rPr>
      </w:pPr>
      <w:r>
        <w:rPr>
          <w:rFonts w:hint="eastAsia" w:ascii="宋体" w:hAnsi="宋体" w:eastAsia="宋体" w:cs="宋体"/>
          <w:color w:val="0A30F4"/>
          <w:sz w:val="22"/>
        </w:rPr>
        <w:t>针对第2问核心模型构建、参数优化与求解，基于时序预测理论与深度学习原理，搭建PCA-LSTM-XGBoost融合框架。以PCA降维后的4个主成分为输入，通过LSTM模型捕捉奖牌数量的时序动态特征，再利用XGBoost模型优化预测结果，修正LSTM在小样本场景下的过拟合问题。采用微分进化算法优化核心参数（共5个：LSTM隐藏层节点数32、学习率0.005，XGBoost决策树数量100、最大深度6、叶子节点权重1），参数收敛误差≤0.001，迭代300次后达到稳定。通过Python求解，最终输出2028奥运各国奖牌预测区间及突破概率，核心指标达MAE=1.87、RMSE=2.32、R²=0.94，预测误差控制在合理范围。创新点在于多模型有机耦合，实现时序特征捕捉与预测精度优化的协同，适配奥运奖牌预测的复杂场景。</w:t>
      </w:r>
    </w:p>
    <w:p w14:paraId="522DC72E">
      <w:pPr>
        <w:keepNext w:val="0"/>
        <w:keepLines w:val="0"/>
        <w:pageBreakBefore w:val="0"/>
        <w:widowControl w:val="0"/>
        <w:kinsoku/>
        <w:wordWrap/>
        <w:overflowPunct/>
        <w:topLinePunct w:val="0"/>
        <w:autoSpaceDE/>
        <w:autoSpaceDN/>
        <w:bidi w:val="0"/>
        <w:adjustRightInd/>
        <w:snapToGrid/>
        <w:spacing w:before="0" w:after="0" w:line="360" w:lineRule="auto"/>
        <w:ind w:left="0"/>
        <w:jc w:val="both"/>
        <w:textAlignment w:val="auto"/>
        <w:outlineLvl w:val="9"/>
        <w:rPr>
          <w:rFonts w:hint="eastAsia" w:ascii="宋体" w:hAnsi="宋体" w:eastAsia="宋体" w:cs="宋体"/>
          <w:b/>
          <w:bCs w:val="0"/>
          <w:color w:val="0A30F4"/>
          <w:sz w:val="28"/>
          <w:szCs w:val="28"/>
        </w:rPr>
      </w:pPr>
      <w:bookmarkStart w:id="11" w:name="heading_11"/>
      <w:r>
        <w:rPr>
          <w:rFonts w:hint="eastAsia" w:ascii="宋体" w:hAnsi="宋体" w:eastAsia="宋体" w:cs="宋体"/>
          <w:b/>
          <w:bCs w:val="0"/>
          <w:color w:val="0A30F4"/>
          <w:sz w:val="28"/>
          <w:szCs w:val="28"/>
        </w:rPr>
        <w:t>第三部分</w:t>
      </w:r>
      <w:bookmarkEnd w:id="11"/>
    </w:p>
    <w:p w14:paraId="4F3DACC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color w:val="0A30F4"/>
        </w:rPr>
      </w:pPr>
      <w:r>
        <w:rPr>
          <w:rFonts w:hint="eastAsia" w:ascii="宋体" w:hAnsi="宋体" w:eastAsia="宋体" w:cs="宋体"/>
          <w:color w:val="0A30F4"/>
          <w:sz w:val="22"/>
        </w:rPr>
        <w:t>本文核心创新为“去噪-补全-降维-建模-多维度检验”全链条闭环设计，有效解决传统模型动态捕捉不足、精度有限的短板。模型兼具高精度与强鲁棒性，量化结果可直接为体育管理部门提供训练资源精准配置、奖牌突破方向研判的支撑，助力提升竞技体育成绩。同时模型核心逻辑可迁移至赛事成绩预测、客流预测等同类时序问题，推广价值与现实意义显著。</w:t>
      </w:r>
    </w:p>
    <w:p w14:paraId="52F3D11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bookmarkStart w:id="12" w:name="heading_12"/>
      <w:r>
        <w:rPr>
          <w:rFonts w:hint="eastAsia" w:ascii="宋体" w:hAnsi="宋体" w:eastAsia="宋体" w:cs="宋体"/>
          <w:b/>
          <w:sz w:val="32"/>
        </w:rPr>
        <w:br w:type="page"/>
      </w:r>
      <w:r>
        <w:rPr>
          <w:rFonts w:hint="eastAsia" w:ascii="宋体" w:hAnsi="宋体" w:eastAsia="宋体" w:cs="宋体"/>
          <w:b/>
          <w:sz w:val="32"/>
        </w:rPr>
        <w:t>三、问题重述（</w:t>
      </w:r>
      <w:r>
        <w:rPr>
          <w:rFonts w:hint="eastAsia" w:ascii="宋体" w:hAnsi="宋体" w:eastAsia="宋体" w:cs="宋体"/>
          <w:b/>
          <w:sz w:val="32"/>
          <w:lang w:val="en-US" w:eastAsia="zh-CN"/>
        </w:rPr>
        <w:t>1</w:t>
      </w:r>
      <w:r>
        <w:rPr>
          <w:rFonts w:hint="eastAsia" w:ascii="宋体" w:hAnsi="宋体" w:eastAsia="宋体" w:cs="宋体"/>
          <w:b/>
          <w:sz w:val="32"/>
        </w:rPr>
        <w:t>页</w:t>
      </w:r>
      <w:r>
        <w:rPr>
          <w:rFonts w:hint="eastAsia" w:ascii="宋体" w:hAnsi="宋体" w:eastAsia="宋体" w:cs="宋体"/>
          <w:b/>
          <w:sz w:val="32"/>
          <w:lang w:val="en-US" w:eastAsia="zh-CN"/>
        </w:rPr>
        <w:t>左右</w:t>
      </w:r>
      <w:r>
        <w:rPr>
          <w:rFonts w:hint="eastAsia" w:ascii="宋体" w:hAnsi="宋体" w:eastAsia="宋体" w:cs="宋体"/>
          <w:b/>
          <w:sz w:val="32"/>
        </w:rPr>
        <w:t>）</w:t>
      </w:r>
      <w:bookmarkEnd w:id="12"/>
    </w:p>
    <w:p w14:paraId="4A8A51C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FF0000"/>
          <w:sz w:val="30"/>
        </w:rPr>
      </w:pPr>
      <w:bookmarkStart w:id="13" w:name="heading_13"/>
      <w:r>
        <w:rPr>
          <w:rFonts w:hint="eastAsia" w:ascii="宋体" w:hAnsi="宋体" w:eastAsia="宋体" w:cs="宋体"/>
          <w:b/>
          <w:bCs w:val="0"/>
          <w:color w:val="FF0000"/>
          <w:sz w:val="30"/>
        </w:rPr>
        <w:t>（一）填空式模板（分三层表述，避免简单复制赛题）</w:t>
      </w:r>
      <w:bookmarkEnd w:id="13"/>
    </w:p>
    <w:p w14:paraId="438E4A2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14" w:name="heading_14"/>
      <w:r>
        <w:rPr>
          <w:rFonts w:hint="eastAsia" w:ascii="宋体" w:hAnsi="宋体" w:eastAsia="宋体" w:cs="宋体"/>
          <w:b/>
          <w:bCs w:val="0"/>
          <w:sz w:val="28"/>
          <w:szCs w:val="28"/>
        </w:rPr>
        <w:t>3.1 问题背景与核心诉求</w:t>
      </w:r>
      <w:bookmarkEnd w:id="14"/>
    </w:p>
    <w:p w14:paraId="2C68B8C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本文聚焦</w:t>
      </w:r>
      <w:r>
        <w:rPr>
          <w:rFonts w:hint="eastAsia" w:ascii="宋体" w:hAnsi="宋体" w:eastAsia="宋体" w:cs="宋体"/>
          <w:color w:val="0A30F4"/>
          <w:sz w:val="22"/>
        </w:rPr>
        <w:t>[赛题主问题，如“奥运奖牌数量预测与突破国家识别”/“区域生态环境质量综合评价与治理”]</w:t>
      </w:r>
      <w:r>
        <w:rPr>
          <w:rFonts w:hint="eastAsia" w:ascii="宋体" w:hAnsi="宋体" w:eastAsia="宋体" w:cs="宋体"/>
          <w:sz w:val="22"/>
        </w:rPr>
        <w:t>问题，该问题源于[实际场景需求，如“体育强国战略下的资源优化配置需求”/“绿水青山就是金山银山的生态保护需求”]，在[行业/领域]发展中具有重要现实意义。随着[时代背景，如“全球体育竞技水平提升”/“工业化与城市化进程加快”]，[研究对象]的影响因素日益复杂，传统经验决策或单一模型难以应对，亟需构建科学、精准的建模体系，实现[核心诉求，如“精准预测、科学研判、优化配置”/“综合评价、动态预判、路径优化”]。</w:t>
      </w:r>
    </w:p>
    <w:p w14:paraId="06EB58C7">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15" w:name="heading_15"/>
      <w:r>
        <w:rPr>
          <w:rFonts w:hint="eastAsia" w:ascii="宋体" w:hAnsi="宋体" w:eastAsia="宋体" w:cs="宋体"/>
          <w:b/>
          <w:bCs w:val="0"/>
          <w:sz w:val="28"/>
          <w:szCs w:val="28"/>
        </w:rPr>
        <w:t>3.2 问题本质与拆解逻辑</w:t>
      </w:r>
      <w:bookmarkEnd w:id="15"/>
    </w:p>
    <w:p w14:paraId="22EC58F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结合赛题给出的数据（如[数据类型，如“历年奖牌数据、经济投入数据”/“生态指标数据、社会经济数据”]）与约束条件（如[约束条件，如“资源总量限制、时间周期约束”/“生态承载力限制、政策导向约束”]），可将主问题拆解为3个递进性子问题，形成“基础保障-核心建模-应用落地”的逻辑链条：</w:t>
      </w:r>
    </w:p>
    <w:p w14:paraId="25EDC18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子问题1（数据预处理与维度优化及可靠性验证）：核心是解决“输入数据不可靠、维度冗余”的基础痛点，为后续建模提供高质量数据支撑，是建模工作的前提；</w:t>
      </w:r>
    </w:p>
    <w:p w14:paraId="009AC64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子问题2（核心模型构建、参数优化与求解）：核心是突破“复杂场景适配难、精度不足”的核心难点，构建贴合问题特征的模型，输出核心量化结果，是建模工作的核心；</w:t>
      </w:r>
    </w:p>
    <w:p w14:paraId="76A91F3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子问题3（模型多维度检验、优越性分析与场景拓展）：核心是实现“结果可靠、优势凸显、落地可行”的目标，验证模型有效性并拓展应用范围，是建模工作的价值延伸。</w:t>
      </w:r>
    </w:p>
    <w:p w14:paraId="46D7AE2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16" w:name="heading_16"/>
      <w:r>
        <w:rPr>
          <w:rFonts w:hint="eastAsia" w:ascii="宋体" w:hAnsi="宋体" w:eastAsia="宋体" w:cs="宋体"/>
          <w:b/>
          <w:bCs w:val="0"/>
          <w:sz w:val="28"/>
          <w:szCs w:val="28"/>
        </w:rPr>
        <w:t>3.3 建模边界与假设前提（呼应后续模型假设）</w:t>
      </w:r>
      <w:bookmarkEnd w:id="16"/>
    </w:p>
    <w:p w14:paraId="6B88CBF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为平衡模型的精度与可求解性，本文限定以下建模边界：</w:t>
      </w:r>
    </w:p>
    <w:p w14:paraId="6D6B7B2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研究范围：聚焦[研究范围，如“夏季奥运会、全球前20名奖牌大国”/“某省域、2010-2025年时间周期”]，不涉及超出范围的对象与场景；</w:t>
      </w:r>
    </w:p>
    <w:p w14:paraId="3CF088E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数据边界：采用赛题提供的权威数据，补充[补充数据来源，如“世界银行数据、国家统计局数据”]，确保数据权威性；</w:t>
      </w:r>
    </w:p>
    <w:p w14:paraId="0D25FC4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约束边界：严格遵循赛题给定的[约束条件]，不额外增加或删减核心约束。</w:t>
      </w:r>
    </w:p>
    <w:p w14:paraId="01C1484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同时，为简化模型逻辑，暂忽略[次要因素，如“极低概率的突发自然灾害、个别运动员的极端发挥”/“偶然的政策变动、短期的极端天气”]，此类因素对核心结果的影响较小，可通过后续敏感性分析验证。</w:t>
      </w:r>
    </w:p>
    <w:p w14:paraId="135DFE43">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color w:val="0A30F4"/>
          <w:sz w:val="30"/>
        </w:rPr>
      </w:pPr>
      <w:bookmarkStart w:id="17" w:name="heading_17"/>
      <w:r>
        <w:rPr>
          <w:rFonts w:hint="eastAsia" w:ascii="宋体" w:hAnsi="宋体" w:eastAsia="宋体" w:cs="宋体"/>
          <w:b/>
          <w:color w:val="0A30F4"/>
          <w:sz w:val="30"/>
        </w:rPr>
        <w:t>（二）具体写作案例（预测类·奥运奖牌预测）</w:t>
      </w:r>
      <w:bookmarkEnd w:id="17"/>
    </w:p>
    <w:p w14:paraId="2ACCF8DF">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18" w:name="heading_18"/>
      <w:r>
        <w:rPr>
          <w:rFonts w:hint="eastAsia" w:ascii="宋体" w:hAnsi="宋体" w:eastAsia="宋体" w:cs="宋体"/>
          <w:b/>
          <w:bCs w:val="0"/>
          <w:color w:val="0A30F4"/>
          <w:sz w:val="28"/>
          <w:szCs w:val="28"/>
        </w:rPr>
        <w:t>3.1 问题背景与核心诉求</w:t>
      </w:r>
      <w:bookmarkEnd w:id="18"/>
    </w:p>
    <w:p w14:paraId="6070307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本文聚焦2028年夏季奥运会奖牌数量精准预测与突破国家识别问题，该问题源于体育强国战略下训练资源优化配置的核心需求，在竞技体育发展规划中具有重要现实意义。随着全球体育竞技水平的整体提升，各国对奥运奖牌的竞争日益激烈，传统依赖经验判断或单一统计模型的预测方式，难以精准捕捉奖牌数量的时序动态特征与多因素耦合影响，导致资源配置针对性不足、效率偏低。亟需构建科学、精准的融合建模体系，实现奥运奖牌数量的精准预测、突破国家的精准识别，为体育管理部门制定训练策略、优化资源配置提供数据支撑与决策依据。</w:t>
      </w:r>
    </w:p>
    <w:p w14:paraId="6988787F">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19" w:name="heading_19"/>
      <w:r>
        <w:rPr>
          <w:rFonts w:hint="eastAsia" w:ascii="宋体" w:hAnsi="宋体" w:eastAsia="宋体" w:cs="宋体"/>
          <w:b/>
          <w:bCs w:val="0"/>
          <w:color w:val="0A30F4"/>
          <w:sz w:val="28"/>
          <w:szCs w:val="28"/>
        </w:rPr>
        <w:t>3.2 问题本质与拆解逻辑</w:t>
      </w:r>
      <w:bookmarkEnd w:id="19"/>
    </w:p>
    <w:p w14:paraId="3AA3525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结合赛题提供的1984-2024年夏季奥运会各国奖牌数据、各国GDP总量、体育投入经费、训练人数、优势项目数量等多维度数据，以及“资源总量有限、训练周期固定”的约束条件，可将主问题拆解为3个递进性子问题，形成“基础保障-核心建模-应用落地”的完整逻辑链条：</w:t>
      </w:r>
    </w:p>
    <w:p w14:paraId="5D341E5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子问题1（数据预处理与维度优化及可靠性验证）：核心是解决原始数据中存在的异常值、缺失值及维度冗余问题——部分年份部分国家的奖牌数据存在统计误差（异常值）、个别国家的体育投入数据存在缺失、多维度数据存在信息重叠（维度冗余），这些问题会严重影响建模精度。本问通过系统性数据处理，输出高质量、低维度的标准化数据，为后续核心建模提供前提保障。</w:t>
      </w:r>
    </w:p>
    <w:p w14:paraId="1B60043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子问题2（核心模型构建、参数优化与求解）：核心是突破奥运奖牌预测“多因素耦合、时序动态性强”的核心难点——奖牌数量受经济投入、训练水平、优势项目、竞争格局等多重因素影响，且呈现明显的时序波动特征，单一模型难以兼顾多因素捕捉与动态预测需求。本问构建融合模型，优化核心参数，输出2028年各国奖牌预测区间及突破概率，是建模工作的核心环节。</w:t>
      </w:r>
    </w:p>
    <w:p w14:paraId="560F569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子问题3（模型多维度检验、优越性分析与场景拓展）：核心是实现“结果可靠、优势凸显、落地可行”的目标——预测结果需经过严格检验确保可信度，同时需与传统模型对比凸显创新优势，最终通过场景拓展验证模型可迁移性，为奖牌预测结果的实际应用提供支撑，是建模工作的价值延伸。</w:t>
      </w:r>
    </w:p>
    <w:p w14:paraId="6B72168B">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20" w:name="heading_20"/>
      <w:r>
        <w:rPr>
          <w:rFonts w:hint="eastAsia" w:ascii="宋体" w:hAnsi="宋体" w:eastAsia="宋体" w:cs="宋体"/>
          <w:b/>
          <w:bCs w:val="0"/>
          <w:color w:val="0A30F4"/>
          <w:sz w:val="28"/>
          <w:szCs w:val="28"/>
        </w:rPr>
        <w:t>3.3 建模边界与假设前提</w:t>
      </w:r>
      <w:bookmarkEnd w:id="20"/>
    </w:p>
    <w:p w14:paraId="0DBC982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为平衡模型的精度与可求解性，本文限定以下建模边界：</w:t>
      </w:r>
    </w:p>
    <w:p w14:paraId="400223D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研究范围：聚焦2028年夏季奥运会，研究对象为1984-2024年连续参赛、奖牌总数排名全球前20的国家，不涉及小众国家及冬季奥运会；</w:t>
      </w:r>
    </w:p>
    <w:p w14:paraId="1DA9A42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数据边界：核心数据采用国际奥委会（IOC）发布的官方奖牌数据，补充世界银行发布的各国GDP数据、各国体育部门发布的训练投入数据，确保数据权威性与一致性；</w:t>
      </w:r>
    </w:p>
    <w:p w14:paraId="715E2EE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约束边界：严格遵循“训练资源总量固定、训练周期为4年（2024-2028）”的约束条件，不额外增加或删减核心约束。</w:t>
      </w:r>
    </w:p>
    <w:p w14:paraId="653A686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同时，为简化模型逻辑，暂忽略以下次要因素：</w:t>
      </w:r>
    </w:p>
    <w:p w14:paraId="561228F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极低概率的突发自然灾害、疫情等不可抗力因素，此类事件发生概率极低，且对各国影响具有普遍性，不会改变奖牌分布的核心趋势；</w:t>
      </w:r>
    </w:p>
    <w:p w14:paraId="35AFD71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个别运动员的极端发挥（超水平或失常表现），此类因素属于偶然误差，可通过数据预处理与模型优化抵消影响。</w:t>
      </w:r>
    </w:p>
    <w:p w14:paraId="697B0EE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sz w:val="22"/>
        </w:rPr>
      </w:pPr>
      <w:r>
        <w:rPr>
          <w:rFonts w:hint="eastAsia" w:ascii="宋体" w:hAnsi="宋体" w:eastAsia="宋体" w:cs="宋体"/>
          <w:color w:val="0A30F4"/>
          <w:sz w:val="22"/>
        </w:rPr>
        <w:t>后续将通过敏感性分析验证上述因素对结果的影响程度，确保模型合理性。</w:t>
      </w:r>
    </w:p>
    <w:p w14:paraId="609B1E6D">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r>
        <w:rPr>
          <w:rFonts w:hint="eastAsia" w:ascii="宋体" w:hAnsi="宋体" w:eastAsia="宋体" w:cs="宋体"/>
          <w:b/>
          <w:sz w:val="32"/>
        </w:rPr>
        <w:t>四、问题分析（1-2页，穿透本质，衔接建模，逻辑闭环）</w:t>
      </w:r>
    </w:p>
    <w:p w14:paraId="2D91E0C9">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FF0000"/>
          <w:sz w:val="30"/>
        </w:rPr>
      </w:pPr>
      <w:r>
        <w:rPr>
          <w:rFonts w:hint="eastAsia" w:ascii="宋体" w:hAnsi="宋体" w:eastAsia="宋体" w:cs="宋体"/>
          <w:b/>
          <w:bCs w:val="0"/>
          <w:color w:val="FF0000"/>
          <w:sz w:val="30"/>
        </w:rPr>
        <w:t>（一）填空式模板（分维度剖析，衔接模型设计）</w:t>
      </w:r>
    </w:p>
    <w:p w14:paraId="79FB7756">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r>
        <w:rPr>
          <w:rFonts w:hint="eastAsia" w:ascii="宋体" w:hAnsi="宋体" w:eastAsia="宋体" w:cs="宋体"/>
          <w:b/>
          <w:bCs w:val="0"/>
          <w:sz w:val="28"/>
          <w:szCs w:val="28"/>
        </w:rPr>
        <w:t>4.1 问题核心特征剖析（精准定位痛点，支撑模型选型）</w:t>
      </w:r>
    </w:p>
    <w:p w14:paraId="648CB27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结合赛题背景、数据特征与约束条件，从3个核心维度拆解问题本质，为模型设计提供直接依据：</w:t>
      </w:r>
    </w:p>
    <w:p w14:paraId="76793D7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因素关联性特征：问题涉及</w:t>
      </w:r>
      <w:r>
        <w:rPr>
          <w:rFonts w:hint="eastAsia" w:ascii="宋体" w:hAnsi="宋体" w:eastAsia="宋体" w:cs="宋体"/>
          <w:color w:val="0A30F4"/>
          <w:sz w:val="22"/>
        </w:rPr>
        <w:t>[核心因素数量，如“5-8个”]关键影响因素，且因素间存在[关联类型，如“多重共线性、非线性关联、时序滞后效应”/“主次分明、部分因素耦合作用”]</w:t>
      </w:r>
      <w:r>
        <w:rPr>
          <w:rFonts w:hint="eastAsia" w:ascii="宋体" w:hAnsi="宋体" w:eastAsia="宋体" w:cs="宋体"/>
          <w:sz w:val="22"/>
        </w:rPr>
        <w:t>特征。例如[具体示例，如“GDP总量与体育投入高度相关、奖牌数量与过往成绩存在明显时序惯性”/“生态指标中水质与空气质量相互影响、政策因素对结果存在滞后作用”]，需通过[对应处理思路，如“降维去共线性、时序特征捕捉”/“权重量化、动态滞后效应建模”]解决，直接支撑[模型模块，如“PCA维度优化、LSTM时序建模”/“熵权法权重计算、系统动力学动态建模”]的设计。</w:t>
      </w:r>
    </w:p>
    <w:p w14:paraId="1E6E026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数据属性特征：原始数据呈现[数据类型，如“小样本、高维度、时序性”/“多源异构、部分缺失、静态截面”]属性。其中[数据痛点，如“异常值占比XX%、缺失率XX%、时序波动显著”/“量纲不统一、指标冗余、分布不均匀”]，这些属性决定了传统[单一模型类型，如“统计模型、静态模型”/“线性模型、简单加权模型”]难以适配，需构建[对应模型逻辑，如“数据预处理-维度优化-融合建模”/“标准化-指标筛选-耦合建模”]的全流程方案。</w:t>
      </w:r>
    </w:p>
    <w:p w14:paraId="2859670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约束与目标特征：问题存在[核心约束，如“资源总量固定、时间周期有限、规则边界明确”/“生态承载力限制、政策导向约束、成本可控”]，核心目标是实现[目标类型，如“精准预测、优化配置、综合评价”/“动态预判、路径规划、效益最大化”]。约束与目标的关联性要求模型需[满足条件，如“在约束范围内输出量化可行结果、兼顾精度与落地性”/“平衡多目标冲突、输出可操作的策略方案”]，避免纯理论化建模。</w:t>
      </w:r>
    </w:p>
    <w:p w14:paraId="6893FBA2">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r>
        <w:rPr>
          <w:rFonts w:hint="eastAsia" w:ascii="宋体" w:hAnsi="宋体" w:eastAsia="宋体" w:cs="宋体"/>
          <w:b/>
          <w:bCs w:val="0"/>
          <w:sz w:val="28"/>
          <w:szCs w:val="28"/>
        </w:rPr>
        <w:t>4.2 子问题关联与求解逻辑（衔接模型搭建，明确递进关系）</w:t>
      </w:r>
    </w:p>
    <w:p w14:paraId="0649468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基于问题拆解结果，3个子问题并非孤立存在，而是形成“前置支撑-核心突破-价值验证”的强关联逻辑，求解过程需层层递进、前后呼应：</w:t>
      </w:r>
    </w:p>
    <w:p w14:paraId="70E2E82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子问题1（数据预处理与维度优化）是基础前提：其核心目标是输出“干净、低维、可靠”的数据，为子问题2的建模提供高质量输入。若数据处理不到位，会导致[负面后果，如“模型参数估计偏差、过拟合、精度大幅下降”/“指标权重失真、评价结果偏离实际”]，因此需采用[对应方法，如“异常值剔除-缺失值补全-降维去共线性”/“标准化-指标筛选-一致性检验”]的系统性方案，确保输入数据的可信度。</w:t>
      </w:r>
    </w:p>
    <w:p w14:paraId="0FF5937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子问题2（核心模型构建与求解）是核心</w:t>
      </w:r>
      <w:r>
        <w:rPr>
          <w:rFonts w:hint="eastAsia" w:ascii="宋体" w:hAnsi="宋体" w:eastAsia="宋体" w:cs="宋体"/>
          <w:sz w:val="22"/>
          <w:lang w:val="en-US" w:eastAsia="zh-CN"/>
        </w:rPr>
        <w:t>模块</w:t>
      </w:r>
      <w:r>
        <w:rPr>
          <w:rFonts w:hint="eastAsia" w:ascii="宋体" w:hAnsi="宋体" w:eastAsia="宋体" w:cs="宋体"/>
          <w:sz w:val="22"/>
        </w:rPr>
        <w:t>：需基于子问题1的处理结果，针对问题特征选型建模。例如[具体逻辑，如“针对时序性与多因素耦合特征，采用LSTM捕捉动态趋势+XGBoost优化精度的融合框架”/“针对静态评价与动态预测需求，采用熵权-TOPSIS量化静态结果+系统动力学模拟动态趋势的耦合逻辑”]，通过[参数优化方法，如“微分进化算法、自适应遗传算法”]提升模型适配性，直接输出赛题核心量化结果。</w:t>
      </w:r>
    </w:p>
    <w:p w14:paraId="1504057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子问题3（模型检验与场景拓展）是价值延伸：需基于子问题2的求解结果，通过多维度检验验证模型有效性，同时通过与传统模型对比凸显创新优势。场景拓展则进一步验证模型的可迁移性，让建模成果不仅能解决本次赛题，还能推广至同类问题，提升研究的现实意义。</w:t>
      </w:r>
    </w:p>
    <w:p w14:paraId="63F4A8E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lang w:val="en-US" w:eastAsia="zh-CN"/>
        </w:rPr>
        <w:t>各个子问题模型建立与求解的流程图如下：</w:t>
      </w:r>
    </w:p>
    <w:p w14:paraId="2CFA0FE8">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rPr>
      </w:pPr>
      <w:r>
        <w:drawing>
          <wp:inline distT="0" distB="0" distL="114300" distR="114300">
            <wp:extent cx="5271135" cy="3095625"/>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135" cy="3095625"/>
                    </a:xfrm>
                    <a:prstGeom prst="rect">
                      <a:avLst/>
                    </a:prstGeom>
                    <a:noFill/>
                    <a:ln>
                      <a:noFill/>
                    </a:ln>
                  </pic:spPr>
                </pic:pic>
              </a:graphicData>
            </a:graphic>
          </wp:inline>
        </w:drawing>
      </w:r>
    </w:p>
    <w:p w14:paraId="69BFB832">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r>
        <w:rPr>
          <w:rFonts w:hint="eastAsia" w:ascii="宋体" w:hAnsi="宋体" w:eastAsia="宋体" w:cs="宋体"/>
          <w:b/>
          <w:bCs w:val="0"/>
          <w:sz w:val="28"/>
          <w:szCs w:val="28"/>
        </w:rPr>
        <w:t>4.3 建模思路推导（从问题到模型的闭环逻辑，凸显合理性）</w:t>
      </w:r>
    </w:p>
    <w:p w14:paraId="0CDD3AB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基于上述分析，推导得出“问题特征-模型选型-方法适配”的闭环建模思路，确保模型设计不偏离问题本质：</w:t>
      </w:r>
    </w:p>
    <w:p w14:paraId="3668C4E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2"/>
        </w:rPr>
      </w:pPr>
      <w:r>
        <w:rPr>
          <w:rFonts w:hint="eastAsia" w:ascii="宋体" w:hAnsi="宋体" w:eastAsia="宋体" w:cs="宋体"/>
          <w:sz w:val="22"/>
        </w:rPr>
        <w:t>针对[问题特征1，如“多因素耦合、维度冗余”/“指标体系复杂、权重主观”]，</w:t>
      </w:r>
      <w:r>
        <w:rPr>
          <w:rFonts w:hint="eastAsia" w:ascii="宋体" w:hAnsi="宋体" w:eastAsia="宋体" w:cs="宋体"/>
          <w:sz w:val="22"/>
          <w:lang w:val="en-US" w:eastAsia="zh-CN"/>
        </w:rPr>
        <w:t>选择</w:t>
      </w:r>
      <w:r>
        <w:rPr>
          <w:rFonts w:hint="eastAsia" w:ascii="宋体" w:hAnsi="宋体" w:eastAsia="宋体" w:cs="宋体"/>
          <w:sz w:val="22"/>
        </w:rPr>
        <w:t>[对应模型/方法，如“PCA主成分分析+多模型融合”/“熵权法客观赋权+TOPSIS评价”]，理由是[适配逻辑，如“PCA可有效去共线性、融合模型可兼顾多因素捕捉”/“熵权法避免主观偏差、TOPSIS适用于多指标综合评价”]；</w:t>
      </w:r>
    </w:p>
    <w:p w14:paraId="508BA92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2"/>
        </w:rPr>
      </w:pPr>
      <w:r>
        <w:rPr>
          <w:rFonts w:hint="eastAsia" w:ascii="宋体" w:hAnsi="宋体" w:eastAsia="宋体" w:cs="宋体"/>
          <w:sz w:val="22"/>
        </w:rPr>
        <w:t>针对[问题特征2，如“时序动态性强、小样本过拟合”/“静态与动态脱节、缺乏预判能力”]，</w:t>
      </w:r>
      <w:r>
        <w:rPr>
          <w:rFonts w:hint="eastAsia" w:ascii="宋体" w:hAnsi="宋体" w:eastAsia="宋体" w:cs="宋体"/>
          <w:sz w:val="22"/>
          <w:lang w:val="en-US" w:eastAsia="zh-CN"/>
        </w:rPr>
        <w:t>选择</w:t>
      </w:r>
      <w:r>
        <w:rPr>
          <w:rFonts w:hint="eastAsia" w:ascii="宋体" w:hAnsi="宋体" w:eastAsia="宋体" w:cs="宋体"/>
          <w:sz w:val="22"/>
        </w:rPr>
        <w:t>[对应模型/方法，如“LSTM时序建模+XGBoost精度优化”/“系统动力学动态模拟+静态评价耦合”]，理由是[适配逻辑，如“LSTM擅长捕捉长期依赖关系、XGBoost可修正过拟合偏差”/“系统动力学可模拟动态趋势、与静态评价结合实现协同预判”]；</w:t>
      </w:r>
    </w:p>
    <w:p w14:paraId="5BF9C32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2"/>
        </w:rPr>
      </w:pPr>
      <w:r>
        <w:rPr>
          <w:rFonts w:hint="eastAsia" w:ascii="宋体" w:hAnsi="宋体" w:eastAsia="宋体" w:cs="宋体"/>
          <w:sz w:val="22"/>
        </w:rPr>
        <w:t>针对[问题特征3，如“结果需落地、可靠性要求高”/“需兼顾多约束、多目标平衡”]，设计[对应方案，如“量化输出+多维度检验体系”/“多目标规划+约束条件嵌入”]，理由是[适配逻辑，如“量化结果可直接支撑决策、多维度检验确保结果可靠”/“多目标规划可平衡冲突目标、约束嵌入确保方案可行”]。</w:t>
      </w:r>
    </w:p>
    <w:p w14:paraId="74A18674">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z w:val="22"/>
        </w:rPr>
      </w:pPr>
    </w:p>
    <w:p w14:paraId="24BDA847">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30"/>
        </w:rPr>
      </w:pPr>
      <w:r>
        <w:rPr>
          <w:rFonts w:hint="eastAsia" w:ascii="宋体" w:hAnsi="宋体" w:eastAsia="宋体" w:cs="宋体"/>
          <w:b/>
          <w:bCs w:val="0"/>
          <w:color w:val="0A30F4"/>
          <w:sz w:val="30"/>
        </w:rPr>
        <w:t>（二）具体写作案例（预测类·奥运奖牌预测）</w:t>
      </w:r>
    </w:p>
    <w:p w14:paraId="152CC9CC">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r>
        <w:rPr>
          <w:rFonts w:hint="eastAsia" w:ascii="宋体" w:hAnsi="宋体" w:eastAsia="宋体" w:cs="宋体"/>
          <w:b/>
          <w:bCs w:val="0"/>
          <w:color w:val="0A30F4"/>
          <w:sz w:val="28"/>
          <w:szCs w:val="28"/>
        </w:rPr>
        <w:t>4.1 问题核心特征剖析（精准定位痛点，支撑模型选型）</w:t>
      </w:r>
    </w:p>
    <w:p w14:paraId="6719510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结合赛题背景、数据特征与约束条件，从3个核心维度拆解问题本质，为模型设计提供直接依据：</w:t>
      </w:r>
    </w:p>
    <w:p w14:paraId="27BF5E4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因素关联性特征：问题涉及GDP总量、体育投入、训练人数、优势项目数量、过往奖牌数5个关键影响因素，且因素间存在明显的多重共线性与非线性关联特征。例如“GDP总量”与“体育投入经费”的相关系数达0.87（存在强共线性），奖牌数量与前两届赛事成绩的相关系数达0.82（存在时序惯性效应），需通过降维去共线性、时序特征捕捉的方式解决，直接支撑PCA维度优化模块与LSTM时序建模层的设计。</w:t>
      </w:r>
    </w:p>
    <w:p w14:paraId="62C055A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数据属性特征：原始数据呈现“小样本、高维度、时序性”的复合属性。其中1984-2024年共10届赛事数据（样本量n=10），5个输入变量（维度p=5），属于典型小样本高维数据；部分国家个别年份的体育投入、训练人数数据存在缺失（缺失率1.8%），且奖牌数量随时间呈现明显波动（如某国某届因优势项目规则调整导致奖牌数下滑20%），这些属性决定了传统ARIMA、GM(1,1)等单一时序模型难以适配，需构建“数据预处理-维度优化-融合建模”的全流程方案。</w:t>
      </w:r>
    </w:p>
    <w:p w14:paraId="609F190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约束与目标特征：问题存在“训练资源总量固定、训练周期4年”的核心约束，核心目标是精准预测2028年各国奖牌数量并识别突破国家。约束与目标的关联性要求模型需在有限数据与约束范围内，输出量化可行的预测结果（区间+概率），而非抽象结论，同时需兼顾精度与落地性，为体育管理部门资源配置提供直接支撑。</w:t>
      </w:r>
    </w:p>
    <w:p w14:paraId="586E57F3">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r>
        <w:rPr>
          <w:rFonts w:hint="eastAsia" w:ascii="宋体" w:hAnsi="宋体" w:eastAsia="宋体" w:cs="宋体"/>
          <w:b/>
          <w:bCs w:val="0"/>
          <w:color w:val="0A30F4"/>
          <w:sz w:val="28"/>
          <w:szCs w:val="28"/>
        </w:rPr>
        <w:t>4.2 子问题关联与求解逻辑（衔接模型搭建，明确递进关系）</w:t>
      </w:r>
    </w:p>
    <w:p w14:paraId="2023DAA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基于问题拆解结果，3个子问题形成“前置支撑-核心突破-价值验证”的强关联逻辑，求解过程层层递进、前后呼应：</w:t>
      </w:r>
    </w:p>
    <w:p w14:paraId="0DE63AF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子问题1（数据预处理与维度优化）是基础前提：核心目标是解决原始数据的异常值、缺失值与维度冗余问题，输出标准化低维数据集。若数据处理不到位，会导致模型参数估计偏差、过拟合风险加剧，预测精度可能下降30%以上。因此采用“3σ准则+灰色GM(1,1)+PCA”的系统性方案，先剔除极端异常值、补全缺失数据，再通过PCA提取主成分，确保输入数据的可信度与轻量化。</w:t>
      </w:r>
    </w:p>
    <w:p w14:paraId="195BB8A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子问题2（核心模型构建与求解）是核心核心：基于子问题1的4个主成分数据，针对“时序性+多因素耦合+小样本”的复合特征，采用“PCA-LSTM-XGBoost”融合框架。LSTM负责捕捉奖牌数量的时序动态趋势，XGBoost修正小样本场景下的过拟合偏差，再通过微分进化算法优化5个核心参数（LSTM隐藏层节点数、学习率等），直接输出2028年各国奖牌预测区间及突破概率。</w:t>
      </w:r>
    </w:p>
    <w:p w14:paraId="30797AC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子问题3（模型检验与场景拓展）是价值延伸：基于子问题2的预测结果，通过“拟合有效性-稳定性鲁棒性-优越性-场景拓展”四层检验体系验证模型可靠性；与单一LSTM、XGBoost、ARIMA等模型对比，凸显融合模型的精度优势；将模型迁移至2022年亚运会奖牌预测场景，验证可迁移性，让成果不仅能解决奥运奖牌预测问题，还能推广至其他赛事成绩预测，提升研究价值。</w:t>
      </w:r>
    </w:p>
    <w:p w14:paraId="798A1F38">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r>
        <w:rPr>
          <w:rFonts w:hint="eastAsia" w:ascii="宋体" w:hAnsi="宋体" w:eastAsia="宋体" w:cs="宋体"/>
          <w:b/>
          <w:bCs w:val="0"/>
          <w:color w:val="0A30F4"/>
          <w:sz w:val="28"/>
          <w:szCs w:val="28"/>
        </w:rPr>
        <w:t>4.3 建模思路推导（从问题到模型的闭环逻辑，凸显合理性）</w:t>
      </w:r>
    </w:p>
    <w:p w14:paraId="35F6206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基于上述分析，推导得出“问题特征-模型选型-方法适配”的闭环建模思路，确保模型设计不偏离问题本质：</w:t>
      </w:r>
    </w:p>
    <w:p w14:paraId="0D1B368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针对“多因素耦合、维度冗余”的特征，选型“PCA主成分分析+融合模型”，理由是PCA可通过线性变换将相关变量转化为互不相关的主成分，有效消除多重共线性，同时降低模型输入维度，为后续建模轻量化提供支撑；</w:t>
      </w:r>
    </w:p>
    <w:p w14:paraId="3253694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针对“时序动态性强、小样本过拟合”的特征，选型“LSTM时序建模+XGBoost精度优化”的融合框架，理由是LSTM通过门控机制可有效捕捉奖牌数量的长期时序依赖关系，适配动态波动特征，而XGBoost基于梯度提升树算法，可针对性修正小样本场景下的过拟合偏差，两者协同实现“动态捕捉准、预测精度高”；</w:t>
      </w:r>
    </w:p>
    <w:p w14:paraId="6574BF0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针对“结果需落地、可靠性要求高”的特征，设计“量化输出+四层检验体系”，理由是量化的预测区间与突破概率可直接为体育管理部门决策提供依据，多维度检验则从拟合效果、稳定性、优越性、可迁移性全方位验证模型可靠性，确保结论科学可信。</w:t>
      </w:r>
    </w:p>
    <w:p w14:paraId="0F49765B">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color w:val="0A30F4"/>
        </w:rPr>
      </w:pPr>
      <w:r>
        <w:drawing>
          <wp:inline distT="0" distB="0" distL="114300" distR="114300">
            <wp:extent cx="5271135" cy="3095625"/>
            <wp:effectExtent l="0" t="0" r="571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1135" cy="3095625"/>
                    </a:xfrm>
                    <a:prstGeom prst="rect">
                      <a:avLst/>
                    </a:prstGeom>
                    <a:noFill/>
                    <a:ln>
                      <a:noFill/>
                    </a:ln>
                  </pic:spPr>
                </pic:pic>
              </a:graphicData>
            </a:graphic>
          </wp:inline>
        </w:drawing>
      </w:r>
    </w:p>
    <w:p w14:paraId="6650F19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sz w:val="22"/>
        </w:rPr>
      </w:pPr>
    </w:p>
    <w:p w14:paraId="65D7F284">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bookmarkStart w:id="21" w:name="heading_21"/>
      <w:r>
        <w:rPr>
          <w:rFonts w:hint="eastAsia" w:ascii="宋体" w:hAnsi="宋体" w:eastAsia="宋体" w:cs="宋体"/>
          <w:b/>
          <w:sz w:val="32"/>
          <w:lang w:val="en-US" w:eastAsia="zh-CN"/>
        </w:rPr>
        <w:t>五</w:t>
      </w:r>
      <w:r>
        <w:rPr>
          <w:rFonts w:hint="eastAsia" w:ascii="宋体" w:hAnsi="宋体" w:eastAsia="宋体" w:cs="宋体"/>
          <w:b/>
          <w:sz w:val="32"/>
        </w:rPr>
        <w:t>、模型假设（</w:t>
      </w:r>
      <w:r>
        <w:rPr>
          <w:rFonts w:hint="eastAsia" w:ascii="宋体" w:hAnsi="宋体" w:eastAsia="宋体" w:cs="宋体"/>
          <w:b/>
          <w:sz w:val="32"/>
          <w:lang w:val="en-US" w:eastAsia="zh-CN"/>
        </w:rPr>
        <w:t>客观严谨+原因解释</w:t>
      </w:r>
      <w:r>
        <w:rPr>
          <w:rFonts w:hint="eastAsia" w:ascii="宋体" w:hAnsi="宋体" w:eastAsia="宋体" w:cs="宋体"/>
          <w:b/>
          <w:sz w:val="32"/>
        </w:rPr>
        <w:t>）</w:t>
      </w:r>
      <w:bookmarkEnd w:id="21"/>
    </w:p>
    <w:p w14:paraId="086B1087">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FF0000"/>
          <w:sz w:val="30"/>
        </w:rPr>
      </w:pPr>
      <w:bookmarkStart w:id="22" w:name="heading_22"/>
      <w:r>
        <w:rPr>
          <w:rFonts w:hint="eastAsia" w:ascii="宋体" w:hAnsi="宋体" w:eastAsia="宋体" w:cs="宋体"/>
          <w:b/>
          <w:bCs w:val="0"/>
          <w:color w:val="FF0000"/>
          <w:sz w:val="30"/>
        </w:rPr>
        <w:t>（一）填空式模板（分核心假设、次要假设，每一条均“假设+理由+支撑模块”）</w:t>
      </w:r>
      <w:bookmarkEnd w:id="22"/>
    </w:p>
    <w:p w14:paraId="58B364C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23" w:name="heading_23"/>
      <w:r>
        <w:rPr>
          <w:rFonts w:hint="eastAsia" w:ascii="宋体" w:hAnsi="宋体" w:eastAsia="宋体" w:cs="宋体"/>
          <w:b/>
          <w:bCs w:val="0"/>
          <w:sz w:val="28"/>
          <w:szCs w:val="28"/>
          <w:lang w:val="en-US" w:eastAsia="zh-CN"/>
        </w:rPr>
        <w:t>5</w:t>
      </w:r>
      <w:r>
        <w:rPr>
          <w:rFonts w:hint="eastAsia" w:ascii="宋体" w:hAnsi="宋体" w:eastAsia="宋体" w:cs="宋体"/>
          <w:b/>
          <w:bCs w:val="0"/>
          <w:sz w:val="28"/>
          <w:szCs w:val="28"/>
        </w:rPr>
        <w:t>.1 核心假设（支撑模型核心环节，必附合理性依据，3-4条）</w:t>
      </w:r>
      <w:bookmarkEnd w:id="23"/>
    </w:p>
    <w:p w14:paraId="0ED1C79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核心假设是模型构建的基础，直接影响模型的有效性与可靠性，每条假设均通过数据验证或理论分析说明合理性，具体如下：</w:t>
      </w:r>
    </w:p>
    <w:p w14:paraId="54F6C95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假设[核心假设1，如“研究周期内无重大政策/环境/规则突变，核心影响因素的作用机制保持稳定”]。理由：经敏感性分析验证，若存在重大突变（如奥运项目调整、国家体育政策剧变），核心指标波动幅度可达[XX%]，但结合历史数据与行业趋势，研究周期内（如2024-2028年）发生此类突变的概率低于5%；同时通过平行趋势检验（P值=[XX]＜0.05）验证，核心影响因素的作用机制在过往10年保持稳定，无显著结构性变化。该假设支撑[模型环节，如“动态建模的稳定性、时序特征捕捉的有效性”]。</w:t>
      </w:r>
    </w:p>
    <w:p w14:paraId="3FFF2DF0">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假设[核心假设2，如“模型核心参数在研究范围内保持稳定，参数优化结果具有收敛性”]。理由：采用[优化算法，如“微分进化算法”]对核心参数进行迭代优化，迭代次数达到[XX]次后，参数收敛误差≤[XX]（通常≤0.001），且重复优化5次，结果变异系数≤0.02，表明参数优化结果稳定可靠；固定参数后，模型精度损失仅[XX%]（≤2%），可忽略不计。该假设支撑[模型环节，如“参数求解有效性、模型拟合精度”]。</w:t>
      </w:r>
    </w:p>
    <w:p w14:paraId="7572D9EC">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假设[核心假设3，如“原始数据无系统性偏差，偶然误差可通过预处理消除，数据可信度达标”]。理由：原始数据来源于[权威渠道，如“国际奥委会、世界银行、国家统计局”]，数据采集规范、覆盖面广；经“3σ准则+灰色GM(1,1)+一致性检验”预处理后，数据异常值占比＜[XX%]（≤5%），误差占比＜[XX%]（≤3%），正态性检验P值＞0.05，无系统性偏差，符合建模输入要求。该假设支撑[模型环节，如“数据预处理可靠性、模型输入质量”]。</w:t>
      </w:r>
    </w:p>
    <w:p w14:paraId="496BC860">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假设[核心假设4，如“多因素之间无严重多重共线性，或共线性可通过降维处理消除”]。理由：通过方差膨胀因子（VIF）检验，原始数据VIF值在[XX-XX]之间，部分指标存在轻微共线性；经PCA降维处理后，所有主成分的VIF值均＜10（无多重共线性标准），共线性问题已完全解决，不会影响模型参数估计与求解结果。该假设支撑[模型环节，如“维度优化有效性、核心模型的参数估计可靠性”]。</w:t>
      </w:r>
    </w:p>
    <w:p w14:paraId="33AD292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24" w:name="heading_24"/>
      <w:r>
        <w:rPr>
          <w:rFonts w:hint="eastAsia" w:ascii="宋体" w:hAnsi="宋体" w:eastAsia="宋体" w:cs="宋体"/>
          <w:b/>
          <w:bCs w:val="0"/>
          <w:sz w:val="28"/>
          <w:szCs w:val="28"/>
          <w:lang w:val="en-US" w:eastAsia="zh-CN"/>
        </w:rPr>
        <w:t>5</w:t>
      </w:r>
      <w:r>
        <w:rPr>
          <w:rFonts w:hint="eastAsia" w:ascii="宋体" w:hAnsi="宋体" w:eastAsia="宋体" w:cs="宋体"/>
          <w:b/>
          <w:bCs w:val="0"/>
          <w:sz w:val="28"/>
          <w:szCs w:val="28"/>
        </w:rPr>
        <w:t>.2 次要假设（简化模型逻辑，不影响核心结论，2-3条）</w:t>
      </w:r>
      <w:bookmarkEnd w:id="24"/>
    </w:p>
    <w:p w14:paraId="49C3CAF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次要假设用于简化模型复杂度，降低求解难度，且经验证对核心结果影响极小，具体如下：</w:t>
      </w:r>
    </w:p>
    <w:p w14:paraId="0C648D9B">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假设[次要假设1，如“次要影响因素的权重＜1%，对核心结果的贡献度极低，可忽略不计”]。合理性：通过熵权法计算各因素权重，次要因素（如[具体因素，如“运动员平均年龄、教练性别比例”/“局部区域的微小污染”]）的权重均＜1%，即使完全忽略，核心指标波动幅度＜[XX%]（≤1%），不会改变核心结论，且可显著简化模型逻辑，提升求解效率。</w:t>
      </w:r>
    </w:p>
    <w:p w14:paraId="78904314">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假设[次要假设2，如“模型超参数采用领域经验值初始化，后续通过优化算法弥补经验值偏差”]。合理性：参考[领域文献/行业标准]，采用经验值初始化超参数（如LSTM隐藏层节点数32、学习率0.005），可缩短参数优化的迭代时间（减少[XX%]迭代次数）；后续通过微分进化算法对超参数进行全区间优化，完全弥补经验值可能存在的偏差，平衡求解效率与精度。</w:t>
      </w:r>
    </w:p>
    <w:p w14:paraId="4D6155FD">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假设[次要假设3，如“研究范围内的样本数据具有代表性，可反映整体特征”]。合理性：采用随机抽样检验，从样本数据中随机抽取20%作为验证样本，验证样本与整体样本的均值、方差差异＜[XX%]（≤3%），无显著差异，表明样本数据具有良好的代表性，可反映研究对象的整体特征。</w:t>
      </w:r>
    </w:p>
    <w:p w14:paraId="17027496">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25" w:name="heading_25"/>
      <w:r>
        <w:rPr>
          <w:rFonts w:hint="eastAsia" w:ascii="宋体" w:hAnsi="宋体" w:eastAsia="宋体" w:cs="宋体"/>
          <w:b/>
          <w:bCs w:val="0"/>
          <w:sz w:val="28"/>
          <w:szCs w:val="28"/>
          <w:lang w:val="en-US" w:eastAsia="zh-CN"/>
        </w:rPr>
        <w:t>5</w:t>
      </w:r>
      <w:r>
        <w:rPr>
          <w:rFonts w:hint="eastAsia" w:ascii="宋体" w:hAnsi="宋体" w:eastAsia="宋体" w:cs="宋体"/>
          <w:b/>
          <w:bCs w:val="0"/>
          <w:sz w:val="28"/>
          <w:szCs w:val="28"/>
        </w:rPr>
        <w:t>.3 假设验证说明</w:t>
      </w:r>
      <w:bookmarkEnd w:id="25"/>
    </w:p>
    <w:p w14:paraId="3ECB92E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本文所有假设均并非主观臆断，均通过数据检验、理论分析或敏感性分析验证合理性：核心假设直接支撑模型核心环节，若假设不成立，核心指标波动幅度将超过[XX%]（≥10%），影响模型有效性；次要假设对核心结果影响极小，即使假设不成立，核心指标波动幅度也＜[XX%]（≤1%），不会改变核心结论。后续模型检验环节将进一步验证假设的合理性，确保模型构建的严谨性。</w:t>
      </w:r>
    </w:p>
    <w:p w14:paraId="56D7B998">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jc w:val="both"/>
        <w:textAlignment w:val="auto"/>
        <w:outlineLvl w:val="1"/>
        <w:rPr>
          <w:rFonts w:hint="eastAsia" w:ascii="宋体" w:hAnsi="宋体" w:eastAsia="宋体" w:cs="宋体"/>
          <w:b/>
          <w:color w:val="0A30F4"/>
          <w:sz w:val="30"/>
        </w:rPr>
      </w:pPr>
      <w:bookmarkStart w:id="26" w:name="heading_26"/>
      <w:r>
        <w:rPr>
          <w:rFonts w:hint="eastAsia" w:ascii="宋体" w:hAnsi="宋体" w:eastAsia="宋体" w:cs="宋体"/>
          <w:b/>
          <w:color w:val="0A30F4"/>
          <w:sz w:val="30"/>
        </w:rPr>
        <w:t>（二）具体写作案例（预测类·奥运奖牌预测）</w:t>
      </w:r>
      <w:bookmarkEnd w:id="26"/>
    </w:p>
    <w:p w14:paraId="3FCD98F7">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27" w:name="heading_27"/>
      <w:r>
        <w:rPr>
          <w:rFonts w:hint="eastAsia" w:ascii="宋体" w:hAnsi="宋体" w:eastAsia="宋体" w:cs="宋体"/>
          <w:b/>
          <w:bCs w:val="0"/>
          <w:color w:val="0A30F4"/>
          <w:sz w:val="28"/>
          <w:szCs w:val="28"/>
          <w:lang w:val="en-US" w:eastAsia="zh-CN"/>
        </w:rPr>
        <w:t>5</w:t>
      </w:r>
      <w:r>
        <w:rPr>
          <w:rFonts w:hint="eastAsia" w:ascii="宋体" w:hAnsi="宋体" w:eastAsia="宋体" w:cs="宋体"/>
          <w:b/>
          <w:bCs w:val="0"/>
          <w:color w:val="0A30F4"/>
          <w:sz w:val="28"/>
          <w:szCs w:val="28"/>
        </w:rPr>
        <w:t>.1 核心假设（支撑模型核心环节，必附合理性依据）</w:t>
      </w:r>
      <w:bookmarkEnd w:id="27"/>
    </w:p>
    <w:p w14:paraId="12DBB62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核心假设是模型构建的基础，直接影响模型的有效性与可靠性，每条假设均通过数据验证或理论分析说明合理性，具体如下：</w:t>
      </w:r>
    </w:p>
    <w:p w14:paraId="12B85AC7">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假设2024-2028年研究周期内，奥运项目规则无重大调整、各国体育政策无结构性变化，核心影响因素（经济投入、训练水平、优势项目）的作用机制保持稳定。理由：经敏感性分析验证，若奥运项目规则调整（如新增/删减项目）或国家体育政策剧变，奖牌预测误差将增至30%以上，但结合国际奥委会（IOC）公布的规划，2028年夏季奥运会项目仅微调（无核心项目增减），各国体育政策均保持连续性（如中国、美国、俄罗斯等奖牌大国均无重大体育政策调整），发生此类突变的概率低于3%；同时通过平行趋势检验（P=0.02＜0.05）验证，1984-2024年核心影响因素对奖牌数量的作用机制保持稳定，无显著结构性变化。该假设支撑动态建模的稳定性与时序特征捕捉的有效性。</w:t>
      </w:r>
    </w:p>
    <w:p w14:paraId="5EBA0DDC">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假设模型核心参数（LSTM隐藏层节点数、学习率，XGBoost决策树数量、最大深度）在研究范围内保持稳定，参数优化结果具有收敛性。理由：采用微分进化算法对核心参数进行迭代优化，迭代次数达到300次后，参数收敛误差≤0.001，且重复优化5次，结果变异系数=0.018，表明参数优化结果稳定可靠；固定参数后，模型预测精度损失仅1.2%，可忽略不计，且能显著简化模型求解逻辑，避免参数波动对结果的干扰。该假设支撑参数求解有效性与模型拟合精度。</w:t>
      </w:r>
    </w:p>
    <w:p w14:paraId="2DBA9AF6">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假设原始数据无系统性偏差，偶然误差可通过预处理消除，数据可信度达标。理由：原始数据来源于国际奥委会（IOC）官方发布的奖牌数据、世界银行GDP数据及各国体育部门训练投入数据，数据采集规范、覆盖面广、权威性强；经“3σ准则+灰色GM(1,1)+一致性检验”预处理后，数据异常值占比=3.2%，误差占比=2.8%，正态性检验P=0.13＞0.05，无系统性偏差，完全符合建模输入要求。该假设支撑数据预处理可靠性与模型输入质量。</w:t>
      </w:r>
    </w:p>
    <w:p w14:paraId="008AEC67">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假设经济投入、训练人数、优势项目数量等多因素之间无严重多重共线性，或共线性可通过PCA降维处理消除。理由：通过方差膨胀因子（VIF）检验，原始数据中“GDP总量”与“体育投入经费”的VIF值=12.3（存在轻微共线性），其他指标VIF值均＜10；经PCA降维处理后，提取的4个主成分VIF值均＜5，无多重共线性问题，不会影响模型参数估计与求解结果。该假设支撑维度优化有效性与核心模型的参数估计可靠性。</w:t>
      </w:r>
    </w:p>
    <w:p w14:paraId="191B0ABD">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28" w:name="heading_28"/>
      <w:r>
        <w:rPr>
          <w:rFonts w:hint="eastAsia" w:ascii="宋体" w:hAnsi="宋体" w:eastAsia="宋体" w:cs="宋体"/>
          <w:b/>
          <w:bCs w:val="0"/>
          <w:color w:val="0A30F4"/>
          <w:sz w:val="28"/>
          <w:szCs w:val="28"/>
          <w:lang w:val="en-US" w:eastAsia="zh-CN"/>
        </w:rPr>
        <w:t>5</w:t>
      </w:r>
      <w:r>
        <w:rPr>
          <w:rFonts w:hint="eastAsia" w:ascii="宋体" w:hAnsi="宋体" w:eastAsia="宋体" w:cs="宋体"/>
          <w:b/>
          <w:bCs w:val="0"/>
          <w:color w:val="0A30F4"/>
          <w:sz w:val="28"/>
          <w:szCs w:val="28"/>
        </w:rPr>
        <w:t>.2 次要假设（简化模型逻辑，不影响核心结论）</w:t>
      </w:r>
      <w:bookmarkEnd w:id="28"/>
    </w:p>
    <w:p w14:paraId="2A462BB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次要假设用于简化模型复杂度，降低求解难度，且经验证对核心结果影响极小，具体如下：</w:t>
      </w:r>
    </w:p>
    <w:p w14:paraId="0354E635">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假设运动员平均年龄、教练性别比例、民族构成等次要影响因素的权重＜1%，对奖牌数量的贡献度极低，可忽略不计。合理性：通过熵权法计算各因素权重，上述次要因素的权重分别为0.62%、0.38%、0.25%，均＜1%；即使完全忽略，奖牌预测误差波动幅度仅0.8%，不会改变核心结论，且可显著简化模型输入维度，提升求解效率。</w:t>
      </w:r>
    </w:p>
    <w:p w14:paraId="56899DE2">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假设模型超参数采用领域经验值初始化，后续通过微分进化算法弥补经验值偏差。合理性：参考《体育统计与预测》《深度学习时序预测》等文献及行业标准，采用经验值初始化超参数（LSTM隐藏层节点数32、学习率0.005，XGBoost决策树数量100、最大深度6），可缩短参数优化的迭代时间（减少25%迭代次数）；后续通过微分进化算法对超参数进行全区间优化，完全弥补经验值可能存在的偏差，平衡求解效率与精度。</w:t>
      </w:r>
    </w:p>
    <w:p w14:paraId="68961EAC">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假设研究范围内的20个奖牌大国样本数据具有代表性，可反映全球奥运奖牌分布的整体特征。合理性：采用随机抽样检验，从20个样本国家中随机抽取4个作为验证样本，验证样本与整体样本的奖牌均值、方差差异分别为2.1%、1.8%，无显著差异；同时20个样本国家近5届奥运会奖牌总数占比达82.3%，表明样本数据具有良好的代表性，可反映全球奥运奖牌分布的整体特征。</w:t>
      </w:r>
    </w:p>
    <w:p w14:paraId="333409DE">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29" w:name="heading_29"/>
      <w:r>
        <w:rPr>
          <w:rFonts w:hint="eastAsia" w:ascii="宋体" w:hAnsi="宋体" w:eastAsia="宋体" w:cs="宋体"/>
          <w:b/>
          <w:bCs w:val="0"/>
          <w:color w:val="0A30F4"/>
          <w:sz w:val="28"/>
          <w:szCs w:val="28"/>
          <w:lang w:val="en-US" w:eastAsia="zh-CN"/>
        </w:rPr>
        <w:t>5</w:t>
      </w:r>
      <w:r>
        <w:rPr>
          <w:rFonts w:hint="eastAsia" w:ascii="宋体" w:hAnsi="宋体" w:eastAsia="宋体" w:cs="宋体"/>
          <w:b/>
          <w:bCs w:val="0"/>
          <w:color w:val="0A30F4"/>
          <w:sz w:val="28"/>
          <w:szCs w:val="28"/>
        </w:rPr>
        <w:t>.3 假设验证说明</w:t>
      </w:r>
      <w:bookmarkEnd w:id="29"/>
    </w:p>
    <w:p w14:paraId="7E02039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本文所有假设均通过数据检验、理论分析或敏感性分析验证合理性，无主观臆断：核心假设直接支撑模型核心环节，若假设不成立（如奥运项目规则重大调整），预测误差将超过30%，严重影响模型有效性；次要假设对核心结果影响极小，即使假设不成立（如考虑所有次要因素），预测误差波动幅度也＜1%，不会改变核心结论。后续模型检验环节将通过敏感性分析进一步验证假设的合理性，确保模型构建的严谨性与结果的可靠性。</w:t>
      </w:r>
    </w:p>
    <w:p w14:paraId="6D4EC5D8">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bookmarkStart w:id="30" w:name="heading_30"/>
      <w:r>
        <w:rPr>
          <w:rFonts w:hint="eastAsia" w:ascii="宋体" w:hAnsi="宋体" w:eastAsia="宋体" w:cs="宋体"/>
          <w:b/>
          <w:sz w:val="32"/>
          <w:lang w:val="en-US" w:eastAsia="zh-CN"/>
        </w:rPr>
        <w:t>六</w:t>
      </w:r>
      <w:r>
        <w:rPr>
          <w:rFonts w:hint="eastAsia" w:ascii="宋体" w:hAnsi="宋体" w:eastAsia="宋体" w:cs="宋体"/>
          <w:b/>
          <w:sz w:val="32"/>
        </w:rPr>
        <w:t>、符号说明（1-2页，规范统一，一一对应）</w:t>
      </w:r>
      <w:bookmarkEnd w:id="30"/>
    </w:p>
    <w:p w14:paraId="5685E574">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sz w:val="30"/>
        </w:rPr>
      </w:pPr>
      <w:bookmarkStart w:id="31" w:name="heading_31"/>
      <w:r>
        <w:rPr>
          <w:rFonts w:hint="eastAsia" w:ascii="宋体" w:hAnsi="宋体" w:eastAsia="宋体" w:cs="宋体"/>
          <w:b/>
          <w:sz w:val="30"/>
        </w:rPr>
        <w:t>（一）通用符号表</w:t>
      </w:r>
      <w:bookmarkEnd w:id="31"/>
    </w:p>
    <w:tbl>
      <w:tblPr>
        <w:tblStyle w:val="2"/>
        <w:tblW w:w="828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840"/>
        <w:gridCol w:w="4915"/>
        <w:gridCol w:w="2525"/>
      </w:tblGrid>
      <w:tr w14:paraId="125BCE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690"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6361613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2"/>
              </w:rPr>
            </w:pPr>
            <w:r>
              <w:rPr>
                <w:rFonts w:hint="eastAsia" w:ascii="宋体" w:hAnsi="宋体" w:eastAsia="宋体" w:cs="宋体"/>
                <w:b/>
                <w:sz w:val="22"/>
              </w:rPr>
              <w:t>符号</w:t>
            </w:r>
          </w:p>
        </w:tc>
        <w:tc>
          <w:tcPr>
            <w:tcW w:w="5020"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372EA3C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2"/>
              </w:rPr>
            </w:pPr>
            <w:r>
              <w:rPr>
                <w:rFonts w:hint="eastAsia" w:ascii="宋体" w:hAnsi="宋体" w:eastAsia="宋体" w:cs="宋体"/>
                <w:b/>
                <w:sz w:val="22"/>
              </w:rPr>
              <w:t>含义说明</w:t>
            </w:r>
          </w:p>
        </w:tc>
        <w:tc>
          <w:tcPr>
            <w:tcW w:w="2570"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539365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2"/>
              </w:rPr>
            </w:pPr>
            <w:r>
              <w:rPr>
                <w:rFonts w:hint="eastAsia" w:ascii="宋体" w:hAnsi="宋体" w:eastAsia="宋体" w:cs="宋体"/>
                <w:b/>
                <w:sz w:val="22"/>
              </w:rPr>
              <w:t>单位（若有）</w:t>
            </w:r>
          </w:p>
        </w:tc>
      </w:tr>
      <w:tr w14:paraId="4BD27A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single" w:color="auto" w:sz="4" w:space="0"/>
              <w:left w:val="nil"/>
              <w:bottom w:val="nil"/>
              <w:right w:val="nil"/>
            </w:tcBorders>
            <w:tcMar>
              <w:top w:w="60" w:type="dxa"/>
              <w:left w:w="120" w:type="dxa"/>
              <w:bottom w:w="30" w:type="dxa"/>
              <w:right w:w="120" w:type="dxa"/>
            </w:tcMar>
            <w:vAlign w:val="center"/>
          </w:tcPr>
          <w:p w14:paraId="3CF0C3B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Xᵢ</w:t>
            </w:r>
          </w:p>
        </w:tc>
        <w:tc>
          <w:tcPr>
            <w:tcW w:w="5020" w:type="dxa"/>
            <w:tcBorders>
              <w:top w:val="single" w:color="auto" w:sz="4" w:space="0"/>
              <w:left w:val="nil"/>
              <w:bottom w:val="nil"/>
              <w:right w:val="nil"/>
            </w:tcBorders>
            <w:tcMar>
              <w:top w:w="60" w:type="dxa"/>
              <w:left w:w="120" w:type="dxa"/>
              <w:bottom w:w="30" w:type="dxa"/>
              <w:right w:w="120" w:type="dxa"/>
            </w:tcMar>
            <w:vAlign w:val="center"/>
          </w:tcPr>
          <w:p w14:paraId="2E3372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第i个输入变量（如指标、时间节点、种群数量、投入金额）</w:t>
            </w:r>
          </w:p>
        </w:tc>
        <w:tc>
          <w:tcPr>
            <w:tcW w:w="2570" w:type="dxa"/>
            <w:tcBorders>
              <w:top w:val="single" w:color="auto" w:sz="4" w:space="0"/>
              <w:left w:val="nil"/>
              <w:bottom w:val="nil"/>
              <w:right w:val="nil"/>
            </w:tcBorders>
            <w:tcMar>
              <w:top w:w="60" w:type="dxa"/>
              <w:left w:w="120" w:type="dxa"/>
              <w:bottom w:w="30" w:type="dxa"/>
              <w:right w:w="120" w:type="dxa"/>
            </w:tcMar>
            <w:vAlign w:val="center"/>
          </w:tcPr>
          <w:p w14:paraId="7DC0A28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按需填写（如万元、人、枚）</w:t>
            </w:r>
          </w:p>
        </w:tc>
      </w:tr>
      <w:tr w14:paraId="402C64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7C26C4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yᵢ</w:t>
            </w:r>
          </w:p>
        </w:tc>
        <w:tc>
          <w:tcPr>
            <w:tcW w:w="5020" w:type="dxa"/>
            <w:tcBorders>
              <w:top w:val="nil"/>
              <w:left w:val="nil"/>
              <w:bottom w:val="nil"/>
              <w:right w:val="nil"/>
            </w:tcBorders>
            <w:tcMar>
              <w:top w:w="60" w:type="dxa"/>
              <w:left w:w="120" w:type="dxa"/>
              <w:bottom w:w="30" w:type="dxa"/>
              <w:right w:w="120" w:type="dxa"/>
            </w:tcMar>
            <w:vAlign w:val="center"/>
          </w:tcPr>
          <w:p w14:paraId="2AC4D6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第i个输出变量/实际值（如奖牌数量、生态质量评分）</w:t>
            </w:r>
          </w:p>
        </w:tc>
        <w:tc>
          <w:tcPr>
            <w:tcW w:w="2570" w:type="dxa"/>
            <w:tcBorders>
              <w:top w:val="nil"/>
              <w:left w:val="nil"/>
              <w:bottom w:val="nil"/>
              <w:right w:val="nil"/>
            </w:tcBorders>
            <w:tcMar>
              <w:top w:w="60" w:type="dxa"/>
              <w:left w:w="120" w:type="dxa"/>
              <w:bottom w:w="30" w:type="dxa"/>
              <w:right w:w="120" w:type="dxa"/>
            </w:tcMar>
            <w:vAlign w:val="center"/>
          </w:tcPr>
          <w:p w14:paraId="1D44415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按需填写</w:t>
            </w:r>
          </w:p>
        </w:tc>
      </w:tr>
      <w:tr w14:paraId="3A5DD7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40B9C1C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ŷᵢ</w:t>
            </w:r>
          </w:p>
        </w:tc>
        <w:tc>
          <w:tcPr>
            <w:tcW w:w="5020" w:type="dxa"/>
            <w:tcBorders>
              <w:top w:val="nil"/>
              <w:left w:val="nil"/>
              <w:bottom w:val="nil"/>
              <w:right w:val="nil"/>
            </w:tcBorders>
            <w:tcMar>
              <w:top w:w="60" w:type="dxa"/>
              <w:left w:w="120" w:type="dxa"/>
              <w:bottom w:w="30" w:type="dxa"/>
              <w:right w:w="120" w:type="dxa"/>
            </w:tcMar>
            <w:vAlign w:val="center"/>
          </w:tcPr>
          <w:p w14:paraId="626C329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第i个预测值/模型输出值</w:t>
            </w:r>
          </w:p>
        </w:tc>
        <w:tc>
          <w:tcPr>
            <w:tcW w:w="2570" w:type="dxa"/>
            <w:tcBorders>
              <w:top w:val="nil"/>
              <w:left w:val="nil"/>
              <w:bottom w:val="nil"/>
              <w:right w:val="nil"/>
            </w:tcBorders>
            <w:tcMar>
              <w:top w:w="60" w:type="dxa"/>
              <w:left w:w="120" w:type="dxa"/>
              <w:bottom w:w="30" w:type="dxa"/>
              <w:right w:w="120" w:type="dxa"/>
            </w:tcMar>
            <w:vAlign w:val="center"/>
          </w:tcPr>
          <w:p w14:paraId="5BF4A4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与yᵢ一致</w:t>
            </w:r>
          </w:p>
        </w:tc>
      </w:tr>
      <w:tr w14:paraId="45EC57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5BE099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MAE</w:t>
            </w:r>
          </w:p>
        </w:tc>
        <w:tc>
          <w:tcPr>
            <w:tcW w:w="5020" w:type="dxa"/>
            <w:tcBorders>
              <w:top w:val="nil"/>
              <w:left w:val="nil"/>
              <w:bottom w:val="nil"/>
              <w:right w:val="nil"/>
            </w:tcBorders>
            <w:tcMar>
              <w:top w:w="60" w:type="dxa"/>
              <w:left w:w="120" w:type="dxa"/>
              <w:bottom w:w="30" w:type="dxa"/>
              <w:right w:w="120" w:type="dxa"/>
            </w:tcMar>
            <w:vAlign w:val="center"/>
          </w:tcPr>
          <w:p w14:paraId="20DD78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平均绝对误差，反映模型拟合精度</w:t>
            </w:r>
          </w:p>
        </w:tc>
        <w:tc>
          <w:tcPr>
            <w:tcW w:w="2570" w:type="dxa"/>
            <w:tcBorders>
              <w:top w:val="nil"/>
              <w:left w:val="nil"/>
              <w:bottom w:val="nil"/>
              <w:right w:val="nil"/>
            </w:tcBorders>
            <w:tcMar>
              <w:top w:w="60" w:type="dxa"/>
              <w:left w:w="120" w:type="dxa"/>
              <w:bottom w:w="30" w:type="dxa"/>
              <w:right w:w="120" w:type="dxa"/>
            </w:tcMar>
            <w:vAlign w:val="center"/>
          </w:tcPr>
          <w:p w14:paraId="580D313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与yᵢ一致</w:t>
            </w:r>
          </w:p>
        </w:tc>
      </w:tr>
      <w:tr w14:paraId="2A82BF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7544252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RMSE</w:t>
            </w:r>
          </w:p>
        </w:tc>
        <w:tc>
          <w:tcPr>
            <w:tcW w:w="5020" w:type="dxa"/>
            <w:tcBorders>
              <w:top w:val="nil"/>
              <w:left w:val="nil"/>
              <w:bottom w:val="nil"/>
              <w:right w:val="nil"/>
            </w:tcBorders>
            <w:tcMar>
              <w:top w:w="60" w:type="dxa"/>
              <w:left w:w="120" w:type="dxa"/>
              <w:bottom w:w="30" w:type="dxa"/>
              <w:right w:w="120" w:type="dxa"/>
            </w:tcMar>
            <w:vAlign w:val="center"/>
          </w:tcPr>
          <w:p w14:paraId="5B628F4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均方根误差，反映模型拟合精度（放大极端误差）</w:t>
            </w:r>
          </w:p>
        </w:tc>
        <w:tc>
          <w:tcPr>
            <w:tcW w:w="2570" w:type="dxa"/>
            <w:tcBorders>
              <w:top w:val="nil"/>
              <w:left w:val="nil"/>
              <w:bottom w:val="nil"/>
              <w:right w:val="nil"/>
            </w:tcBorders>
            <w:tcMar>
              <w:top w:w="60" w:type="dxa"/>
              <w:left w:w="120" w:type="dxa"/>
              <w:bottom w:w="30" w:type="dxa"/>
              <w:right w:w="120" w:type="dxa"/>
            </w:tcMar>
            <w:vAlign w:val="center"/>
          </w:tcPr>
          <w:p w14:paraId="28B49A2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与yᵢ一致</w:t>
            </w:r>
          </w:p>
        </w:tc>
      </w:tr>
      <w:tr w14:paraId="37B705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1EF9C2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R²</w:t>
            </w:r>
          </w:p>
        </w:tc>
        <w:tc>
          <w:tcPr>
            <w:tcW w:w="5020" w:type="dxa"/>
            <w:tcBorders>
              <w:top w:val="nil"/>
              <w:left w:val="nil"/>
              <w:bottom w:val="nil"/>
              <w:right w:val="nil"/>
            </w:tcBorders>
            <w:tcMar>
              <w:top w:w="60" w:type="dxa"/>
              <w:left w:w="120" w:type="dxa"/>
              <w:bottom w:w="30" w:type="dxa"/>
              <w:right w:w="120" w:type="dxa"/>
            </w:tcMar>
            <w:vAlign w:val="center"/>
          </w:tcPr>
          <w:p w14:paraId="004062F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决定系数，反映模型拟合优度</w:t>
            </w:r>
          </w:p>
        </w:tc>
        <w:tc>
          <w:tcPr>
            <w:tcW w:w="2570" w:type="dxa"/>
            <w:tcBorders>
              <w:top w:val="nil"/>
              <w:left w:val="nil"/>
              <w:bottom w:val="nil"/>
              <w:right w:val="nil"/>
            </w:tcBorders>
            <w:tcMar>
              <w:top w:w="60" w:type="dxa"/>
              <w:left w:w="120" w:type="dxa"/>
              <w:bottom w:w="30" w:type="dxa"/>
              <w:right w:w="120" w:type="dxa"/>
            </w:tcMar>
            <w:vAlign w:val="center"/>
          </w:tcPr>
          <w:p w14:paraId="0DF6279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lang w:eastAsia="zh-CN"/>
              </w:rPr>
            </w:pPr>
            <w:r>
              <w:rPr>
                <w:rFonts w:hint="eastAsia" w:ascii="宋体" w:hAnsi="宋体" w:eastAsia="宋体" w:cs="宋体"/>
                <w:sz w:val="22"/>
                <w:lang w:val="en-US" w:eastAsia="zh-CN"/>
              </w:rPr>
              <w:t>/</w:t>
            </w:r>
          </w:p>
        </w:tc>
      </w:tr>
      <w:tr w14:paraId="32A46C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4A48C5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βᵢ</w:t>
            </w:r>
          </w:p>
        </w:tc>
        <w:tc>
          <w:tcPr>
            <w:tcW w:w="5020" w:type="dxa"/>
            <w:tcBorders>
              <w:top w:val="nil"/>
              <w:left w:val="nil"/>
              <w:bottom w:val="nil"/>
              <w:right w:val="nil"/>
            </w:tcBorders>
            <w:tcMar>
              <w:top w:w="60" w:type="dxa"/>
              <w:left w:w="120" w:type="dxa"/>
              <w:bottom w:w="30" w:type="dxa"/>
              <w:right w:w="120" w:type="dxa"/>
            </w:tcMar>
            <w:vAlign w:val="center"/>
          </w:tcPr>
          <w:p w14:paraId="4747ABD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第i个参数（如权重系数、贡献系数、回归系数）</w:t>
            </w:r>
          </w:p>
        </w:tc>
        <w:tc>
          <w:tcPr>
            <w:tcW w:w="2570" w:type="dxa"/>
            <w:tcBorders>
              <w:top w:val="nil"/>
              <w:left w:val="nil"/>
              <w:bottom w:val="nil"/>
              <w:right w:val="nil"/>
            </w:tcBorders>
            <w:tcMar>
              <w:top w:w="60" w:type="dxa"/>
              <w:left w:w="120" w:type="dxa"/>
              <w:bottom w:w="30" w:type="dxa"/>
              <w:right w:w="120" w:type="dxa"/>
            </w:tcMar>
            <w:vAlign w:val="center"/>
          </w:tcPr>
          <w:p w14:paraId="3BB3D69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无</w:t>
            </w:r>
          </w:p>
        </w:tc>
      </w:tr>
      <w:tr w14:paraId="044B79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5D13E1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α</w:t>
            </w:r>
          </w:p>
        </w:tc>
        <w:tc>
          <w:tcPr>
            <w:tcW w:w="5020" w:type="dxa"/>
            <w:tcBorders>
              <w:top w:val="nil"/>
              <w:left w:val="nil"/>
              <w:bottom w:val="nil"/>
              <w:right w:val="nil"/>
            </w:tcBorders>
            <w:tcMar>
              <w:top w:w="60" w:type="dxa"/>
              <w:left w:w="120" w:type="dxa"/>
              <w:bottom w:w="30" w:type="dxa"/>
              <w:right w:w="120" w:type="dxa"/>
            </w:tcMar>
            <w:vAlign w:val="center"/>
          </w:tcPr>
          <w:p w14:paraId="7762129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学习率（深度学习模型参数）</w:t>
            </w:r>
          </w:p>
        </w:tc>
        <w:tc>
          <w:tcPr>
            <w:tcW w:w="2570" w:type="dxa"/>
            <w:tcBorders>
              <w:top w:val="nil"/>
              <w:left w:val="nil"/>
              <w:bottom w:val="nil"/>
              <w:right w:val="nil"/>
            </w:tcBorders>
            <w:tcMar>
              <w:top w:w="60" w:type="dxa"/>
              <w:left w:w="120" w:type="dxa"/>
              <w:bottom w:w="30" w:type="dxa"/>
              <w:right w:w="120" w:type="dxa"/>
            </w:tcMar>
            <w:vAlign w:val="center"/>
          </w:tcPr>
          <w:p w14:paraId="07960D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无</w:t>
            </w:r>
          </w:p>
        </w:tc>
      </w:tr>
      <w:tr w14:paraId="3E1AAF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06A8AB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n</w:t>
            </w:r>
          </w:p>
        </w:tc>
        <w:tc>
          <w:tcPr>
            <w:tcW w:w="5020" w:type="dxa"/>
            <w:tcBorders>
              <w:top w:val="nil"/>
              <w:left w:val="nil"/>
              <w:bottom w:val="nil"/>
              <w:right w:val="nil"/>
            </w:tcBorders>
            <w:tcMar>
              <w:top w:w="60" w:type="dxa"/>
              <w:left w:w="120" w:type="dxa"/>
              <w:bottom w:w="30" w:type="dxa"/>
              <w:right w:w="120" w:type="dxa"/>
            </w:tcMar>
            <w:vAlign w:val="center"/>
          </w:tcPr>
          <w:p w14:paraId="032DE9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样本数量/迭代次数/节点数</w:t>
            </w:r>
          </w:p>
        </w:tc>
        <w:tc>
          <w:tcPr>
            <w:tcW w:w="2570" w:type="dxa"/>
            <w:tcBorders>
              <w:top w:val="nil"/>
              <w:left w:val="nil"/>
              <w:bottom w:val="nil"/>
              <w:right w:val="nil"/>
            </w:tcBorders>
            <w:tcMar>
              <w:top w:w="60" w:type="dxa"/>
              <w:left w:w="120" w:type="dxa"/>
              <w:bottom w:w="30" w:type="dxa"/>
              <w:right w:w="120" w:type="dxa"/>
            </w:tcMar>
            <w:vAlign w:val="center"/>
          </w:tcPr>
          <w:p w14:paraId="37ADD1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无（整数）</w:t>
            </w:r>
          </w:p>
        </w:tc>
      </w:tr>
      <w:tr w14:paraId="40A272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nil"/>
              <w:right w:val="nil"/>
            </w:tcBorders>
            <w:tcMar>
              <w:top w:w="60" w:type="dxa"/>
              <w:left w:w="120" w:type="dxa"/>
              <w:bottom w:w="30" w:type="dxa"/>
              <w:right w:w="120" w:type="dxa"/>
            </w:tcMar>
            <w:vAlign w:val="center"/>
          </w:tcPr>
          <w:p w14:paraId="63CF42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VIF</w:t>
            </w:r>
          </w:p>
        </w:tc>
        <w:tc>
          <w:tcPr>
            <w:tcW w:w="5020" w:type="dxa"/>
            <w:tcBorders>
              <w:top w:val="nil"/>
              <w:left w:val="nil"/>
              <w:bottom w:val="nil"/>
              <w:right w:val="nil"/>
            </w:tcBorders>
            <w:tcMar>
              <w:top w:w="60" w:type="dxa"/>
              <w:left w:w="120" w:type="dxa"/>
              <w:bottom w:w="30" w:type="dxa"/>
              <w:right w:w="120" w:type="dxa"/>
            </w:tcMar>
            <w:vAlign w:val="center"/>
          </w:tcPr>
          <w:p w14:paraId="14C99A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方差膨胀因子，检验多重共线性</w:t>
            </w:r>
          </w:p>
        </w:tc>
        <w:tc>
          <w:tcPr>
            <w:tcW w:w="2570" w:type="dxa"/>
            <w:tcBorders>
              <w:top w:val="nil"/>
              <w:left w:val="nil"/>
              <w:bottom w:val="nil"/>
              <w:right w:val="nil"/>
            </w:tcBorders>
            <w:tcMar>
              <w:top w:w="60" w:type="dxa"/>
              <w:left w:w="120" w:type="dxa"/>
              <w:bottom w:w="30" w:type="dxa"/>
              <w:right w:w="120" w:type="dxa"/>
            </w:tcMar>
            <w:vAlign w:val="center"/>
          </w:tcPr>
          <w:p w14:paraId="563BC44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无</w:t>
            </w:r>
          </w:p>
        </w:tc>
      </w:tr>
      <w:tr w14:paraId="29CBEF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0" w:type="dxa"/>
            <w:tcBorders>
              <w:top w:val="nil"/>
              <w:left w:val="nil"/>
              <w:bottom w:val="single" w:color="auto" w:sz="12" w:space="0"/>
              <w:right w:val="nil"/>
            </w:tcBorders>
            <w:tcMar>
              <w:top w:w="60" w:type="dxa"/>
              <w:left w:w="120" w:type="dxa"/>
              <w:bottom w:w="30" w:type="dxa"/>
              <w:right w:w="120" w:type="dxa"/>
            </w:tcMar>
            <w:vAlign w:val="center"/>
          </w:tcPr>
          <w:p w14:paraId="143B52D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sz w:val="22"/>
              </w:rPr>
            </w:pPr>
            <w:r>
              <w:rPr>
                <w:rFonts w:hint="default" w:ascii="Times New Roman" w:hAnsi="Times New Roman" w:eastAsia="宋体" w:cs="Times New Roman"/>
                <w:sz w:val="22"/>
              </w:rPr>
              <w:t>P</w:t>
            </w:r>
          </w:p>
        </w:tc>
        <w:tc>
          <w:tcPr>
            <w:tcW w:w="5020" w:type="dxa"/>
            <w:tcBorders>
              <w:top w:val="nil"/>
              <w:left w:val="nil"/>
              <w:bottom w:val="single" w:color="auto" w:sz="12" w:space="0"/>
              <w:right w:val="nil"/>
            </w:tcBorders>
            <w:tcMar>
              <w:top w:w="60" w:type="dxa"/>
              <w:left w:w="120" w:type="dxa"/>
              <w:bottom w:w="30" w:type="dxa"/>
              <w:right w:w="120" w:type="dxa"/>
            </w:tcMar>
            <w:vAlign w:val="center"/>
          </w:tcPr>
          <w:p w14:paraId="29A11BA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显著性检验P值，验证结果有效性</w:t>
            </w:r>
          </w:p>
        </w:tc>
        <w:tc>
          <w:tcPr>
            <w:tcW w:w="2570" w:type="dxa"/>
            <w:tcBorders>
              <w:top w:val="nil"/>
              <w:left w:val="nil"/>
              <w:bottom w:val="single" w:color="auto" w:sz="12" w:space="0"/>
              <w:right w:val="nil"/>
            </w:tcBorders>
            <w:tcMar>
              <w:top w:w="60" w:type="dxa"/>
              <w:left w:w="120" w:type="dxa"/>
              <w:bottom w:w="30" w:type="dxa"/>
              <w:right w:w="120" w:type="dxa"/>
            </w:tcMar>
            <w:vAlign w:val="center"/>
          </w:tcPr>
          <w:p w14:paraId="38717D1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2"/>
              </w:rPr>
            </w:pPr>
            <w:r>
              <w:rPr>
                <w:rFonts w:hint="eastAsia" w:ascii="宋体" w:hAnsi="宋体" w:eastAsia="宋体" w:cs="宋体"/>
                <w:sz w:val="22"/>
              </w:rPr>
              <w:t>无</w:t>
            </w:r>
          </w:p>
        </w:tc>
      </w:tr>
    </w:tbl>
    <w:p w14:paraId="43F4DD3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b/>
          <w:sz w:val="30"/>
        </w:rPr>
      </w:pPr>
      <w:bookmarkStart w:id="32" w:name="heading_32"/>
    </w:p>
    <w:p w14:paraId="2AB2AE1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b/>
          <w:sz w:val="30"/>
        </w:rPr>
        <w:t>补充说明</w:t>
      </w:r>
      <w:bookmarkEnd w:id="32"/>
    </w:p>
    <w:p w14:paraId="3D4AEF49">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上述符号为</w:t>
      </w:r>
      <w:r>
        <w:rPr>
          <w:rFonts w:hint="eastAsia" w:ascii="宋体" w:hAnsi="宋体" w:eastAsia="宋体" w:cs="宋体"/>
          <w:sz w:val="22"/>
          <w:lang w:val="en-US" w:eastAsia="zh-CN"/>
        </w:rPr>
        <w:t>全局通用</w:t>
      </w:r>
      <w:r>
        <w:rPr>
          <w:rFonts w:hint="eastAsia" w:ascii="宋体" w:hAnsi="宋体" w:eastAsia="宋体" w:cs="宋体"/>
          <w:sz w:val="22"/>
        </w:rPr>
        <w:t>符号，具体赛题可根据模型类型补充专属符号（如动力学模型的Kᵢ（环境承载力）、优化模型的s.t.（约束条件）），补充时遵循“分类清晰、一一对应”原则；</w:t>
      </w:r>
    </w:p>
    <w:p w14:paraId="483C67C3">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符号表述统一，避免同一含义使用不同符号（如预测值统一用ŷᵢ，不混用y'ᵢ）；</w:t>
      </w:r>
    </w:p>
    <w:p w14:paraId="1C118F7D">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辅助符号在对应模型推导中单独说明，确保全文符号无歧义、无冲突；</w:t>
      </w:r>
    </w:p>
    <w:p w14:paraId="57859C60">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符号表排版规范，可根据篇幅调整列宽，确保一页内清晰呈现核心符号，复杂模型可扩展为2页。</w:t>
      </w:r>
    </w:p>
    <w:p w14:paraId="3F1FC0CC">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rPr>
      </w:pPr>
    </w:p>
    <w:p w14:paraId="3603A28F">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rPr>
      </w:pPr>
    </w:p>
    <w:p w14:paraId="763E7EE6">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rPr>
      </w:pPr>
    </w:p>
    <w:p w14:paraId="2C616A0C">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color w:val="0A30F4"/>
          <w:sz w:val="30"/>
        </w:rPr>
      </w:pPr>
      <w:bookmarkStart w:id="33" w:name="heading_33"/>
      <w:r>
        <w:rPr>
          <w:rFonts w:hint="eastAsia" w:ascii="宋体" w:hAnsi="宋体" w:eastAsia="宋体" w:cs="宋体"/>
          <w:b/>
          <w:color w:val="0A30F4"/>
          <w:sz w:val="30"/>
        </w:rPr>
        <w:t>（二）具体案例符号表（预测类·奥运奖牌预测）</w:t>
      </w:r>
      <w:bookmarkEnd w:id="33"/>
    </w:p>
    <w:tbl>
      <w:tblPr>
        <w:tblStyle w:val="2"/>
        <w:tblW w:w="828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691"/>
        <w:gridCol w:w="5630"/>
        <w:gridCol w:w="1959"/>
      </w:tblGrid>
      <w:tr w14:paraId="14A033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691"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35F38F45">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rPr>
                <w:rFonts w:hint="eastAsia" w:ascii="宋体" w:hAnsi="宋体" w:eastAsia="宋体" w:cs="宋体"/>
                <w:b/>
                <w:color w:val="0A30F4"/>
                <w:sz w:val="22"/>
              </w:rPr>
            </w:pPr>
            <w:r>
              <w:rPr>
                <w:rFonts w:hint="eastAsia" w:ascii="宋体" w:hAnsi="宋体" w:eastAsia="宋体" w:cs="宋体"/>
                <w:b/>
                <w:color w:val="0A30F4"/>
                <w:sz w:val="22"/>
              </w:rPr>
              <w:t>符号</w:t>
            </w:r>
          </w:p>
        </w:tc>
        <w:tc>
          <w:tcPr>
            <w:tcW w:w="5630"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7AFC5487">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rPr>
                <w:rFonts w:hint="eastAsia" w:ascii="宋体" w:hAnsi="宋体" w:eastAsia="宋体" w:cs="宋体"/>
                <w:b/>
                <w:color w:val="0A30F4"/>
                <w:sz w:val="22"/>
              </w:rPr>
            </w:pPr>
            <w:r>
              <w:rPr>
                <w:rFonts w:hint="eastAsia" w:ascii="宋体" w:hAnsi="宋体" w:eastAsia="宋体" w:cs="宋体"/>
                <w:b/>
                <w:color w:val="0A30F4"/>
                <w:sz w:val="22"/>
              </w:rPr>
              <w:t>含义说明</w:t>
            </w:r>
          </w:p>
        </w:tc>
        <w:tc>
          <w:tcPr>
            <w:tcW w:w="1959"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6C49CE78">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rPr>
                <w:rFonts w:hint="eastAsia" w:ascii="宋体" w:hAnsi="宋体" w:eastAsia="宋体" w:cs="宋体"/>
                <w:b/>
                <w:color w:val="0A30F4"/>
                <w:sz w:val="22"/>
              </w:rPr>
            </w:pPr>
            <w:r>
              <w:rPr>
                <w:rFonts w:hint="eastAsia" w:ascii="宋体" w:hAnsi="宋体" w:eastAsia="宋体" w:cs="宋体"/>
                <w:b/>
                <w:color w:val="0A30F4"/>
                <w:sz w:val="22"/>
              </w:rPr>
              <w:t>单位</w:t>
            </w:r>
          </w:p>
        </w:tc>
      </w:tr>
      <w:tr w14:paraId="031CA1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single" w:color="auto" w:sz="4" w:space="0"/>
              <w:left w:val="nil"/>
              <w:bottom w:val="nil"/>
              <w:right w:val="nil"/>
            </w:tcBorders>
            <w:tcMar>
              <w:top w:w="60" w:type="dxa"/>
              <w:left w:w="120" w:type="dxa"/>
              <w:bottom w:w="30" w:type="dxa"/>
              <w:right w:w="120" w:type="dxa"/>
            </w:tcMar>
            <w:vAlign w:val="center"/>
          </w:tcPr>
          <w:p w14:paraId="36770122">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Xᵢ</w:t>
            </w:r>
          </w:p>
        </w:tc>
        <w:tc>
          <w:tcPr>
            <w:tcW w:w="5630" w:type="dxa"/>
            <w:tcBorders>
              <w:top w:val="single" w:color="auto" w:sz="4" w:space="0"/>
              <w:left w:val="nil"/>
              <w:bottom w:val="nil"/>
              <w:right w:val="nil"/>
            </w:tcBorders>
            <w:tcMar>
              <w:top w:w="60" w:type="dxa"/>
              <w:left w:w="120" w:type="dxa"/>
              <w:bottom w:w="30" w:type="dxa"/>
              <w:right w:w="120" w:type="dxa"/>
            </w:tcMar>
            <w:vAlign w:val="center"/>
          </w:tcPr>
          <w:p w14:paraId="182CC33F">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第i个输入变量（GDP总量、体育投入、优势项目数、训练人数）</w:t>
            </w:r>
          </w:p>
        </w:tc>
        <w:tc>
          <w:tcPr>
            <w:tcW w:w="1959" w:type="dxa"/>
            <w:tcBorders>
              <w:top w:val="single" w:color="auto" w:sz="4" w:space="0"/>
              <w:left w:val="nil"/>
              <w:bottom w:val="nil"/>
              <w:right w:val="nil"/>
            </w:tcBorders>
            <w:tcMar>
              <w:top w:w="60" w:type="dxa"/>
              <w:left w:w="120" w:type="dxa"/>
              <w:bottom w:w="30" w:type="dxa"/>
              <w:right w:w="120" w:type="dxa"/>
            </w:tcMar>
            <w:vAlign w:val="center"/>
          </w:tcPr>
          <w:p w14:paraId="20602288">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万元、万元、项、人</w:t>
            </w:r>
          </w:p>
        </w:tc>
      </w:tr>
      <w:tr w14:paraId="3C8840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5BDD8493">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yⱼₜ</w:t>
            </w:r>
          </w:p>
        </w:tc>
        <w:tc>
          <w:tcPr>
            <w:tcW w:w="5630" w:type="dxa"/>
            <w:tcBorders>
              <w:top w:val="nil"/>
              <w:left w:val="nil"/>
              <w:bottom w:val="nil"/>
              <w:right w:val="nil"/>
            </w:tcBorders>
            <w:tcMar>
              <w:top w:w="60" w:type="dxa"/>
              <w:left w:w="120" w:type="dxa"/>
              <w:bottom w:w="30" w:type="dxa"/>
              <w:right w:w="120" w:type="dxa"/>
            </w:tcMar>
            <w:vAlign w:val="center"/>
          </w:tcPr>
          <w:p w14:paraId="11369D0B">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第j个国家第t届奥运会的奖牌实际总数</w:t>
            </w:r>
          </w:p>
        </w:tc>
        <w:tc>
          <w:tcPr>
            <w:tcW w:w="1959" w:type="dxa"/>
            <w:tcBorders>
              <w:top w:val="nil"/>
              <w:left w:val="nil"/>
              <w:bottom w:val="nil"/>
              <w:right w:val="nil"/>
            </w:tcBorders>
            <w:tcMar>
              <w:top w:w="60" w:type="dxa"/>
              <w:left w:w="120" w:type="dxa"/>
              <w:bottom w:w="30" w:type="dxa"/>
              <w:right w:w="120" w:type="dxa"/>
            </w:tcMar>
            <w:vAlign w:val="center"/>
          </w:tcPr>
          <w:p w14:paraId="7E6240CF">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枚</w:t>
            </w:r>
          </w:p>
        </w:tc>
      </w:tr>
      <w:tr w14:paraId="09BB2F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7A3CAD39">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ŷⱼ</w:t>
            </w:r>
          </w:p>
        </w:tc>
        <w:tc>
          <w:tcPr>
            <w:tcW w:w="5630" w:type="dxa"/>
            <w:tcBorders>
              <w:top w:val="nil"/>
              <w:left w:val="nil"/>
              <w:bottom w:val="nil"/>
              <w:right w:val="nil"/>
            </w:tcBorders>
            <w:tcMar>
              <w:top w:w="60" w:type="dxa"/>
              <w:left w:w="120" w:type="dxa"/>
              <w:bottom w:w="30" w:type="dxa"/>
              <w:right w:w="120" w:type="dxa"/>
            </w:tcMar>
            <w:vAlign w:val="center"/>
          </w:tcPr>
          <w:p w14:paraId="2E6441FD">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第j个国家2028年奥运会奖牌预测数</w:t>
            </w:r>
          </w:p>
        </w:tc>
        <w:tc>
          <w:tcPr>
            <w:tcW w:w="1959" w:type="dxa"/>
            <w:tcBorders>
              <w:top w:val="nil"/>
              <w:left w:val="nil"/>
              <w:bottom w:val="nil"/>
              <w:right w:val="nil"/>
            </w:tcBorders>
            <w:tcMar>
              <w:top w:w="60" w:type="dxa"/>
              <w:left w:w="120" w:type="dxa"/>
              <w:bottom w:w="30" w:type="dxa"/>
              <w:right w:w="120" w:type="dxa"/>
            </w:tcMar>
            <w:vAlign w:val="center"/>
          </w:tcPr>
          <w:p w14:paraId="4F87E82E">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枚</w:t>
            </w:r>
          </w:p>
        </w:tc>
      </w:tr>
      <w:tr w14:paraId="1A93D2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1DD13645">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MAE</w:t>
            </w:r>
          </w:p>
        </w:tc>
        <w:tc>
          <w:tcPr>
            <w:tcW w:w="5630" w:type="dxa"/>
            <w:tcBorders>
              <w:top w:val="nil"/>
              <w:left w:val="nil"/>
              <w:bottom w:val="nil"/>
              <w:right w:val="nil"/>
            </w:tcBorders>
            <w:tcMar>
              <w:top w:w="60" w:type="dxa"/>
              <w:left w:w="120" w:type="dxa"/>
              <w:bottom w:w="30" w:type="dxa"/>
              <w:right w:w="120" w:type="dxa"/>
            </w:tcMar>
            <w:vAlign w:val="center"/>
          </w:tcPr>
          <w:p w14:paraId="5D6FA315">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平均绝对误差，反映奖牌预测精度</w:t>
            </w:r>
          </w:p>
        </w:tc>
        <w:tc>
          <w:tcPr>
            <w:tcW w:w="1959" w:type="dxa"/>
            <w:tcBorders>
              <w:top w:val="nil"/>
              <w:left w:val="nil"/>
              <w:bottom w:val="nil"/>
              <w:right w:val="nil"/>
            </w:tcBorders>
            <w:tcMar>
              <w:top w:w="60" w:type="dxa"/>
              <w:left w:w="120" w:type="dxa"/>
              <w:bottom w:w="30" w:type="dxa"/>
              <w:right w:w="120" w:type="dxa"/>
            </w:tcMar>
            <w:vAlign w:val="center"/>
          </w:tcPr>
          <w:p w14:paraId="542F6B5A">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枚</w:t>
            </w:r>
          </w:p>
        </w:tc>
      </w:tr>
      <w:tr w14:paraId="2596EA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3872DB94">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RMSE</w:t>
            </w:r>
          </w:p>
        </w:tc>
        <w:tc>
          <w:tcPr>
            <w:tcW w:w="5630" w:type="dxa"/>
            <w:tcBorders>
              <w:top w:val="nil"/>
              <w:left w:val="nil"/>
              <w:bottom w:val="nil"/>
              <w:right w:val="nil"/>
            </w:tcBorders>
            <w:tcMar>
              <w:top w:w="60" w:type="dxa"/>
              <w:left w:w="120" w:type="dxa"/>
              <w:bottom w:w="30" w:type="dxa"/>
              <w:right w:w="120" w:type="dxa"/>
            </w:tcMar>
            <w:vAlign w:val="center"/>
          </w:tcPr>
          <w:p w14:paraId="763AD979">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均方根误差，放大极端预测误差</w:t>
            </w:r>
          </w:p>
        </w:tc>
        <w:tc>
          <w:tcPr>
            <w:tcW w:w="1959" w:type="dxa"/>
            <w:tcBorders>
              <w:top w:val="nil"/>
              <w:left w:val="nil"/>
              <w:bottom w:val="nil"/>
              <w:right w:val="nil"/>
            </w:tcBorders>
            <w:tcMar>
              <w:top w:w="60" w:type="dxa"/>
              <w:left w:w="120" w:type="dxa"/>
              <w:bottom w:w="30" w:type="dxa"/>
              <w:right w:w="120" w:type="dxa"/>
            </w:tcMar>
            <w:vAlign w:val="center"/>
          </w:tcPr>
          <w:p w14:paraId="08280E3E">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枚</w:t>
            </w:r>
          </w:p>
        </w:tc>
      </w:tr>
      <w:tr w14:paraId="2FD1F6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5E1438D9">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R²</w:t>
            </w:r>
          </w:p>
        </w:tc>
        <w:tc>
          <w:tcPr>
            <w:tcW w:w="5630" w:type="dxa"/>
            <w:tcBorders>
              <w:top w:val="nil"/>
              <w:left w:val="nil"/>
              <w:bottom w:val="nil"/>
              <w:right w:val="nil"/>
            </w:tcBorders>
            <w:tcMar>
              <w:top w:w="60" w:type="dxa"/>
              <w:left w:w="120" w:type="dxa"/>
              <w:bottom w:w="30" w:type="dxa"/>
              <w:right w:w="120" w:type="dxa"/>
            </w:tcMar>
            <w:vAlign w:val="center"/>
          </w:tcPr>
          <w:p w14:paraId="1A8A64E0">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决定系数，反映模型拟合优度</w:t>
            </w:r>
          </w:p>
        </w:tc>
        <w:tc>
          <w:tcPr>
            <w:tcW w:w="1959" w:type="dxa"/>
            <w:tcBorders>
              <w:top w:val="nil"/>
              <w:left w:val="nil"/>
              <w:bottom w:val="nil"/>
              <w:right w:val="nil"/>
            </w:tcBorders>
            <w:tcMar>
              <w:top w:w="60" w:type="dxa"/>
              <w:left w:w="120" w:type="dxa"/>
              <w:bottom w:w="30" w:type="dxa"/>
              <w:right w:w="120" w:type="dxa"/>
            </w:tcMar>
            <w:vAlign w:val="center"/>
          </w:tcPr>
          <w:p w14:paraId="7E9D1811">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无</w:t>
            </w:r>
          </w:p>
        </w:tc>
      </w:tr>
      <w:tr w14:paraId="619175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0ADDE9FE">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α</w:t>
            </w:r>
          </w:p>
        </w:tc>
        <w:tc>
          <w:tcPr>
            <w:tcW w:w="5630" w:type="dxa"/>
            <w:tcBorders>
              <w:top w:val="nil"/>
              <w:left w:val="nil"/>
              <w:bottom w:val="nil"/>
              <w:right w:val="nil"/>
            </w:tcBorders>
            <w:tcMar>
              <w:top w:w="60" w:type="dxa"/>
              <w:left w:w="120" w:type="dxa"/>
              <w:bottom w:w="30" w:type="dxa"/>
              <w:right w:w="120" w:type="dxa"/>
            </w:tcMar>
            <w:vAlign w:val="center"/>
          </w:tcPr>
          <w:p w14:paraId="01412F18">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LSTM模型学习率</w:t>
            </w:r>
          </w:p>
        </w:tc>
        <w:tc>
          <w:tcPr>
            <w:tcW w:w="1959" w:type="dxa"/>
            <w:tcBorders>
              <w:top w:val="nil"/>
              <w:left w:val="nil"/>
              <w:bottom w:val="nil"/>
              <w:right w:val="nil"/>
            </w:tcBorders>
            <w:tcMar>
              <w:top w:w="60" w:type="dxa"/>
              <w:left w:w="120" w:type="dxa"/>
              <w:bottom w:w="30" w:type="dxa"/>
              <w:right w:w="120" w:type="dxa"/>
            </w:tcMar>
            <w:vAlign w:val="center"/>
          </w:tcPr>
          <w:p w14:paraId="4807B406">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无</w:t>
            </w:r>
          </w:p>
        </w:tc>
      </w:tr>
      <w:tr w14:paraId="2B9E43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073E31AA">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n</w:t>
            </w:r>
          </w:p>
        </w:tc>
        <w:tc>
          <w:tcPr>
            <w:tcW w:w="5630" w:type="dxa"/>
            <w:tcBorders>
              <w:top w:val="nil"/>
              <w:left w:val="nil"/>
              <w:bottom w:val="nil"/>
              <w:right w:val="nil"/>
            </w:tcBorders>
            <w:tcMar>
              <w:top w:w="60" w:type="dxa"/>
              <w:left w:w="120" w:type="dxa"/>
              <w:bottom w:w="30" w:type="dxa"/>
              <w:right w:w="120" w:type="dxa"/>
            </w:tcMar>
            <w:vAlign w:val="center"/>
          </w:tcPr>
          <w:p w14:paraId="77D83F2D">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LSTM隐藏层节点数、XGBoost决策树数量</w:t>
            </w:r>
          </w:p>
        </w:tc>
        <w:tc>
          <w:tcPr>
            <w:tcW w:w="1959" w:type="dxa"/>
            <w:tcBorders>
              <w:top w:val="nil"/>
              <w:left w:val="nil"/>
              <w:bottom w:val="nil"/>
              <w:right w:val="nil"/>
            </w:tcBorders>
            <w:tcMar>
              <w:top w:w="60" w:type="dxa"/>
              <w:left w:w="120" w:type="dxa"/>
              <w:bottom w:w="30" w:type="dxa"/>
              <w:right w:w="120" w:type="dxa"/>
            </w:tcMar>
            <w:vAlign w:val="center"/>
          </w:tcPr>
          <w:p w14:paraId="74D91174">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无（整数）</w:t>
            </w:r>
          </w:p>
        </w:tc>
      </w:tr>
      <w:tr w14:paraId="1D05CD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nil"/>
              <w:right w:val="nil"/>
            </w:tcBorders>
            <w:tcMar>
              <w:top w:w="60" w:type="dxa"/>
              <w:left w:w="120" w:type="dxa"/>
              <w:bottom w:w="30" w:type="dxa"/>
              <w:right w:w="120" w:type="dxa"/>
            </w:tcMar>
            <w:vAlign w:val="center"/>
          </w:tcPr>
          <w:p w14:paraId="71D81876">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VIF</w:t>
            </w:r>
          </w:p>
        </w:tc>
        <w:tc>
          <w:tcPr>
            <w:tcW w:w="5630" w:type="dxa"/>
            <w:tcBorders>
              <w:top w:val="nil"/>
              <w:left w:val="nil"/>
              <w:bottom w:val="nil"/>
              <w:right w:val="nil"/>
            </w:tcBorders>
            <w:tcMar>
              <w:top w:w="60" w:type="dxa"/>
              <w:left w:w="120" w:type="dxa"/>
              <w:bottom w:w="30" w:type="dxa"/>
              <w:right w:w="120" w:type="dxa"/>
            </w:tcMar>
            <w:vAlign w:val="center"/>
          </w:tcPr>
          <w:p w14:paraId="0C089333">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方差膨胀因子，检验多重共线性</w:t>
            </w:r>
          </w:p>
        </w:tc>
        <w:tc>
          <w:tcPr>
            <w:tcW w:w="1959" w:type="dxa"/>
            <w:tcBorders>
              <w:top w:val="nil"/>
              <w:left w:val="nil"/>
              <w:bottom w:val="nil"/>
              <w:right w:val="nil"/>
            </w:tcBorders>
            <w:tcMar>
              <w:top w:w="60" w:type="dxa"/>
              <w:left w:w="120" w:type="dxa"/>
              <w:bottom w:w="30" w:type="dxa"/>
              <w:right w:w="120" w:type="dxa"/>
            </w:tcMar>
            <w:vAlign w:val="center"/>
          </w:tcPr>
          <w:p w14:paraId="399205A5">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无</w:t>
            </w:r>
          </w:p>
        </w:tc>
      </w:tr>
      <w:tr w14:paraId="6CD9E5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1" w:type="dxa"/>
            <w:tcBorders>
              <w:top w:val="nil"/>
              <w:left w:val="nil"/>
              <w:bottom w:val="single" w:color="auto" w:sz="12" w:space="0"/>
              <w:right w:val="nil"/>
            </w:tcBorders>
            <w:tcMar>
              <w:top w:w="60" w:type="dxa"/>
              <w:left w:w="120" w:type="dxa"/>
              <w:bottom w:w="30" w:type="dxa"/>
              <w:right w:w="120" w:type="dxa"/>
            </w:tcMar>
            <w:vAlign w:val="center"/>
          </w:tcPr>
          <w:p w14:paraId="20C67A1C">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P</w:t>
            </w:r>
          </w:p>
        </w:tc>
        <w:tc>
          <w:tcPr>
            <w:tcW w:w="5630" w:type="dxa"/>
            <w:tcBorders>
              <w:top w:val="nil"/>
              <w:left w:val="nil"/>
              <w:bottom w:val="single" w:color="auto" w:sz="12" w:space="0"/>
              <w:right w:val="nil"/>
            </w:tcBorders>
            <w:tcMar>
              <w:top w:w="60" w:type="dxa"/>
              <w:left w:w="120" w:type="dxa"/>
              <w:bottom w:w="30" w:type="dxa"/>
              <w:right w:w="120" w:type="dxa"/>
            </w:tcMar>
            <w:vAlign w:val="center"/>
          </w:tcPr>
          <w:p w14:paraId="08E5A323">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正态性检验、平行趋势检验P值</w:t>
            </w:r>
          </w:p>
        </w:tc>
        <w:tc>
          <w:tcPr>
            <w:tcW w:w="1959" w:type="dxa"/>
            <w:tcBorders>
              <w:top w:val="nil"/>
              <w:left w:val="nil"/>
              <w:bottom w:val="single" w:color="auto" w:sz="12" w:space="0"/>
              <w:right w:val="nil"/>
            </w:tcBorders>
            <w:tcMar>
              <w:top w:w="60" w:type="dxa"/>
              <w:left w:w="120" w:type="dxa"/>
              <w:bottom w:w="30" w:type="dxa"/>
              <w:right w:w="120" w:type="dxa"/>
            </w:tcMar>
            <w:vAlign w:val="center"/>
          </w:tcPr>
          <w:p w14:paraId="50ED2DF8">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left"/>
              <w:textAlignment w:val="auto"/>
              <w:rPr>
                <w:rFonts w:hint="eastAsia" w:ascii="宋体" w:hAnsi="宋体" w:eastAsia="宋体" w:cs="宋体"/>
                <w:color w:val="0A30F4"/>
                <w:sz w:val="22"/>
              </w:rPr>
            </w:pPr>
            <w:r>
              <w:rPr>
                <w:rFonts w:hint="eastAsia" w:ascii="宋体" w:hAnsi="宋体" w:eastAsia="宋体" w:cs="宋体"/>
                <w:color w:val="0A30F4"/>
                <w:sz w:val="22"/>
              </w:rPr>
              <w:t>无</w:t>
            </w:r>
          </w:p>
        </w:tc>
      </w:tr>
    </w:tbl>
    <w:p w14:paraId="5C82F86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32"/>
        </w:rPr>
      </w:pPr>
      <w:bookmarkStart w:id="34" w:name="heading_34"/>
    </w:p>
    <w:p w14:paraId="3CBE64ED">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r>
        <w:rPr>
          <w:rFonts w:hint="eastAsia" w:ascii="宋体" w:hAnsi="宋体" w:eastAsia="宋体" w:cs="宋体"/>
          <w:b/>
          <w:sz w:val="32"/>
          <w:lang w:val="en-US" w:eastAsia="zh-CN"/>
        </w:rPr>
        <w:t>七</w:t>
      </w:r>
      <w:r>
        <w:rPr>
          <w:rFonts w:hint="eastAsia" w:ascii="宋体" w:hAnsi="宋体" w:eastAsia="宋体" w:cs="宋体"/>
          <w:b/>
          <w:sz w:val="32"/>
        </w:rPr>
        <w:t>、模型建立与求解</w:t>
      </w:r>
      <w:bookmarkEnd w:id="34"/>
    </w:p>
    <w:p w14:paraId="0117787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FF0000"/>
          <w:sz w:val="30"/>
        </w:rPr>
      </w:pPr>
      <w:bookmarkStart w:id="35" w:name="heading_35"/>
      <w:r>
        <w:rPr>
          <w:rFonts w:hint="eastAsia" w:ascii="宋体" w:hAnsi="宋体" w:eastAsia="宋体" w:cs="宋体"/>
          <w:b/>
          <w:bCs w:val="0"/>
          <w:color w:val="FF0000"/>
          <w:sz w:val="30"/>
        </w:rPr>
        <w:t>（一）填空式模板（分</w:t>
      </w:r>
      <w:r>
        <w:rPr>
          <w:rFonts w:hint="eastAsia" w:ascii="宋体" w:hAnsi="宋体" w:eastAsia="宋体" w:cs="宋体"/>
          <w:b/>
          <w:bCs w:val="0"/>
          <w:color w:val="FF0000"/>
          <w:sz w:val="30"/>
          <w:lang w:val="en-US" w:eastAsia="zh-CN"/>
        </w:rPr>
        <w:t>问题和分</w:t>
      </w:r>
      <w:r>
        <w:rPr>
          <w:rFonts w:hint="eastAsia" w:ascii="宋体" w:hAnsi="宋体" w:eastAsia="宋体" w:cs="宋体"/>
          <w:b/>
          <w:bCs w:val="0"/>
          <w:color w:val="FF0000"/>
          <w:sz w:val="30"/>
        </w:rPr>
        <w:t>模块详细阐述，每部分均“逻辑+步骤+公式+细节”）</w:t>
      </w:r>
      <w:bookmarkEnd w:id="35"/>
    </w:p>
    <w:p w14:paraId="698B59D7">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36" w:name="heading_36"/>
      <w:r>
        <w:rPr>
          <w:rFonts w:hint="eastAsia" w:ascii="宋体" w:hAnsi="宋体" w:eastAsia="宋体" w:cs="宋体"/>
          <w:b/>
          <w:bCs w:val="0"/>
          <w:sz w:val="28"/>
          <w:szCs w:val="28"/>
          <w:lang w:val="en-US" w:eastAsia="zh-CN"/>
        </w:rPr>
        <w:t>7</w:t>
      </w:r>
      <w:r>
        <w:rPr>
          <w:rFonts w:hint="eastAsia" w:ascii="宋体" w:hAnsi="宋体" w:eastAsia="宋体" w:cs="宋体"/>
          <w:b/>
          <w:bCs w:val="0"/>
          <w:sz w:val="28"/>
          <w:szCs w:val="28"/>
        </w:rPr>
        <w:t>.1</w:t>
      </w:r>
      <w:r>
        <w:rPr>
          <w:rFonts w:hint="eastAsia" w:ascii="宋体" w:hAnsi="宋体" w:eastAsia="宋体" w:cs="宋体"/>
          <w:b/>
          <w:bCs w:val="0"/>
          <w:sz w:val="28"/>
          <w:szCs w:val="28"/>
          <w:lang w:val="en-US" w:eastAsia="zh-CN"/>
        </w:rPr>
        <w:t>问题一的模型建立与求解</w:t>
      </w:r>
      <w:bookmarkEnd w:id="36"/>
    </w:p>
    <w:p w14:paraId="4C422CC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2"/>
        <w:rPr>
          <w:rFonts w:hint="eastAsia" w:ascii="宋体" w:hAnsi="宋体" w:eastAsia="宋体" w:cs="宋体"/>
        </w:rPr>
      </w:pPr>
      <w:bookmarkStart w:id="37" w:name="heading_37"/>
      <w:r>
        <w:rPr>
          <w:rFonts w:hint="eastAsia" w:ascii="宋体" w:hAnsi="宋体" w:eastAsia="宋体" w:cs="宋体"/>
          <w:b/>
          <w:sz w:val="24"/>
          <w:lang w:val="en-US" w:eastAsia="zh-CN"/>
        </w:rPr>
        <w:t>7</w:t>
      </w:r>
      <w:r>
        <w:rPr>
          <w:rFonts w:hint="eastAsia" w:ascii="宋体" w:hAnsi="宋体" w:eastAsia="宋体" w:cs="宋体"/>
          <w:b/>
          <w:sz w:val="24"/>
        </w:rPr>
        <w:t>.1.1 模型设计依据</w:t>
      </w:r>
      <w:bookmarkEnd w:id="37"/>
      <w:r>
        <w:rPr>
          <w:rFonts w:hint="eastAsia" w:ascii="宋体" w:hAnsi="宋体" w:eastAsia="宋体" w:cs="宋体"/>
          <w:b/>
          <w:sz w:val="24"/>
          <w:lang w:eastAsia="zh-CN"/>
        </w:rPr>
        <w:t>（</w:t>
      </w:r>
      <w:r>
        <w:rPr>
          <w:rFonts w:hint="eastAsia" w:ascii="宋体" w:hAnsi="宋体" w:eastAsia="宋体" w:cs="宋体"/>
          <w:b/>
          <w:sz w:val="24"/>
        </w:rPr>
        <w:t>模型构建整体逻辑）</w:t>
      </w:r>
    </w:p>
    <w:p w14:paraId="406B21E2">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rPr>
          <w:rFonts w:hint="eastAsia" w:ascii="宋体" w:hAnsi="宋体" w:eastAsia="宋体" w:cs="宋体"/>
        </w:rPr>
      </w:pPr>
      <w:r>
        <w:rPr>
          <w:rFonts w:hint="eastAsia" w:ascii="宋体" w:hAnsi="宋体" w:eastAsia="宋体" w:cs="宋体"/>
          <w:sz w:val="22"/>
          <w:lang w:val="en-US" w:eastAsia="zh-CN"/>
        </w:rPr>
        <w:t>问题一[描述问题核心，阐明要解决的主要问题]，</w:t>
      </w:r>
      <w:r>
        <w:rPr>
          <w:rFonts w:hint="eastAsia" w:ascii="宋体" w:hAnsi="宋体" w:eastAsia="宋体" w:cs="宋体"/>
          <w:sz w:val="22"/>
        </w:rPr>
        <w:t>针对[</w:t>
      </w:r>
      <w:r>
        <w:rPr>
          <w:rFonts w:hint="eastAsia" w:ascii="宋体" w:hAnsi="宋体" w:eastAsia="宋体" w:cs="宋体"/>
          <w:sz w:val="22"/>
          <w:lang w:val="en-US" w:eastAsia="zh-CN"/>
        </w:rPr>
        <w:t>问题一</w:t>
      </w:r>
      <w:r>
        <w:rPr>
          <w:rFonts w:hint="eastAsia" w:ascii="宋体" w:hAnsi="宋体" w:eastAsia="宋体" w:cs="宋体"/>
          <w:sz w:val="22"/>
        </w:rPr>
        <w:t>痛点，如“多因素耦合、时序动态性强、维度冗余”/“指标体系复杂、静态评价与动态预测脱节”]，传统模型存在明显短板：单一LSTM模型擅长捕捉时序特征，但在小样本、高维度数据下易过拟合；单一XGBoost模型精度高，但缺乏动态捕捉能力；传统评价模型（如TOPSIS）仅能实现静态评价，无法预判动态趋势。基于此，本文结合[核心理论，如“时序预测理论+深度学习原理+维度优化理论”/“生态动力学原理+多目标优化理论+静态评价理论”]，设计[融合/改进逻辑，如“数据预处理-维度优化-时序捕捉-精度优化”全链条融合逻辑/“静态评价-动态预测-协同耦合”逻辑]，构建[核心模型名称，如“PCA-LSTM-XGBoost融合模型”/“熵权-TOPSIS与系统动力学耦合模型”]，实现“功能互补、精度迭代、场景适配”的核心目标。</w:t>
      </w:r>
    </w:p>
    <w:p w14:paraId="20E0102F">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rPr>
          <w:rFonts w:hint="eastAsia" w:ascii="宋体" w:hAnsi="宋体" w:eastAsia="宋体" w:cs="宋体"/>
        </w:rPr>
      </w:pPr>
      <w:r>
        <w:rPr>
          <w:rFonts w:hint="eastAsia" w:ascii="宋体" w:hAnsi="宋体" w:eastAsia="宋体" w:cs="宋体"/>
          <w:sz w:val="22"/>
        </w:rPr>
        <w:t>本文构建的模型整体分为四大模块，形成“输入-处理-建模-输出”的完整逻辑闭环，各模块衔接流畅、功能明确，具体框架如下：</w:t>
      </w:r>
    </w:p>
    <w:p w14:paraId="3DD35537">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40" w:firstLineChars="200"/>
        <w:jc w:val="both"/>
        <w:textAlignment w:val="auto"/>
        <w:rPr>
          <w:rFonts w:hint="eastAsia" w:ascii="宋体" w:hAnsi="宋体" w:eastAsia="宋体" w:cs="宋体"/>
        </w:rPr>
      </w:pPr>
      <w:r>
        <w:rPr>
          <w:rFonts w:hint="eastAsia" w:ascii="宋体" w:hAnsi="宋体" w:eastAsia="宋体" w:cs="宋体"/>
          <w:sz w:val="22"/>
        </w:rPr>
        <w:t>数据预处理模块：核心功能是去噪、补全、标准化，解决原始数据可靠性问题，输出干净数据；</w:t>
      </w:r>
    </w:p>
    <w:p w14:paraId="35297378">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40" w:firstLineChars="200"/>
        <w:jc w:val="both"/>
        <w:textAlignment w:val="auto"/>
        <w:rPr>
          <w:rFonts w:hint="eastAsia" w:ascii="宋体" w:hAnsi="宋体" w:eastAsia="宋体" w:cs="宋体"/>
        </w:rPr>
      </w:pPr>
      <w:r>
        <w:rPr>
          <w:rFonts w:hint="eastAsia" w:ascii="宋体" w:hAnsi="宋体" w:eastAsia="宋体" w:cs="宋体"/>
          <w:sz w:val="22"/>
        </w:rPr>
        <w:t>维度优化模块：核心功能是降维、去共线性，简化模型输入，提升求解效率，输出低维度主成分/核心指标；</w:t>
      </w:r>
    </w:p>
    <w:p w14:paraId="7CCE1320">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40" w:firstLineChars="200"/>
        <w:jc w:val="both"/>
        <w:textAlignment w:val="auto"/>
        <w:rPr>
          <w:rFonts w:hint="eastAsia" w:ascii="宋体" w:hAnsi="宋体" w:eastAsia="宋体" w:cs="宋体"/>
        </w:rPr>
      </w:pPr>
      <w:r>
        <w:rPr>
          <w:rFonts w:hint="eastAsia" w:ascii="宋体" w:hAnsi="宋体" w:eastAsia="宋体" w:cs="宋体"/>
          <w:sz w:val="22"/>
        </w:rPr>
        <w:t>核心建模与参数优化模块：核心功能是构建融合/改进模型，通过智能算法优化参数，实现精准建模与求解，输出核心量化结果；</w:t>
      </w:r>
    </w:p>
    <w:p w14:paraId="71A97414">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40" w:firstLineChars="200"/>
        <w:jc w:val="both"/>
        <w:textAlignment w:val="auto"/>
        <w:rPr>
          <w:rFonts w:hint="eastAsia" w:ascii="宋体" w:hAnsi="宋体" w:eastAsia="宋体" w:cs="宋体"/>
        </w:rPr>
      </w:pPr>
      <w:r>
        <w:rPr>
          <w:rFonts w:hint="eastAsia" w:ascii="宋体" w:hAnsi="宋体" w:eastAsia="宋体" w:cs="宋体"/>
          <w:sz w:val="22"/>
        </w:rPr>
        <w:t>结果验证与优化模块：核心功能是通过多维度检验验证模型有效性，针对短板优化调整，输出最终可靠结果。</w:t>
      </w:r>
    </w:p>
    <w:p w14:paraId="18490BB8">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2"/>
        <w:rPr>
          <w:rFonts w:hint="eastAsia" w:ascii="宋体" w:hAnsi="宋体" w:eastAsia="宋体" w:cs="宋体"/>
          <w:b/>
          <w:sz w:val="24"/>
        </w:rPr>
      </w:pPr>
      <w:bookmarkStart w:id="38" w:name="heading_39"/>
      <w:r>
        <w:rPr>
          <w:rFonts w:hint="eastAsia" w:ascii="宋体" w:hAnsi="宋体" w:eastAsia="宋体" w:cs="宋体"/>
          <w:b/>
          <w:sz w:val="24"/>
          <w:lang w:val="en-US" w:eastAsia="zh-CN"/>
        </w:rPr>
        <w:t>7</w:t>
      </w:r>
      <w:r>
        <w:rPr>
          <w:rFonts w:hint="eastAsia" w:ascii="宋体" w:hAnsi="宋体" w:eastAsia="宋体" w:cs="宋体"/>
          <w:b/>
          <w:sz w:val="24"/>
        </w:rPr>
        <w:t>.</w:t>
      </w:r>
      <w:r>
        <w:rPr>
          <w:rFonts w:hint="eastAsia" w:ascii="宋体" w:hAnsi="宋体" w:eastAsia="宋体" w:cs="宋体"/>
          <w:b/>
          <w:sz w:val="24"/>
          <w:lang w:val="en-US" w:eastAsia="zh-CN"/>
        </w:rPr>
        <w:t>1.</w:t>
      </w:r>
      <w:r>
        <w:rPr>
          <w:rFonts w:hint="eastAsia" w:ascii="宋体" w:hAnsi="宋体" w:eastAsia="宋体" w:cs="宋体"/>
          <w:b/>
          <w:sz w:val="24"/>
        </w:rPr>
        <w:t>2 数据预处理与维度优化模块（步骤量化+公式支撑）</w:t>
      </w:r>
      <w:bookmarkEnd w:id="38"/>
    </w:p>
    <w:p w14:paraId="3B52125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24"/>
        </w:rPr>
      </w:pPr>
      <w:bookmarkStart w:id="39" w:name="heading_40"/>
      <w:r>
        <w:rPr>
          <w:rFonts w:hint="eastAsia" w:ascii="宋体" w:hAnsi="宋体" w:eastAsia="宋体" w:cs="宋体"/>
          <w:b/>
          <w:sz w:val="24"/>
          <w:lang w:val="en-US" w:eastAsia="zh-CN"/>
        </w:rPr>
        <w:t xml:space="preserve">（1） </w:t>
      </w:r>
      <w:r>
        <w:rPr>
          <w:rFonts w:hint="eastAsia" w:ascii="宋体" w:hAnsi="宋体" w:eastAsia="宋体" w:cs="宋体"/>
          <w:b/>
          <w:sz w:val="24"/>
        </w:rPr>
        <w:t>数据预处理三步法（每步附逻辑+公式+结果）</w:t>
      </w:r>
      <w:bookmarkEnd w:id="39"/>
    </w:p>
    <w:p w14:paraId="2C89ED8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针对原始数据存在的异常值、缺失值问题，本文采用“异常值剔除-缺失值补全-数据标准化”三步法处理，确保输入数据的可靠性，具体步骤如下：</w:t>
      </w:r>
    </w:p>
    <w:p w14:paraId="223AF570">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3σ准则异常值剔除：基于正态分布特性，若数据服从N(μ,σ²)，则99.73%的数据落在[μ-3σ,μ+3σ]区间内，超出该区间的数据判定为极端异常值并剔除。其中μ为变量均值，σ为标准差，计算公式如下：</w:t>
      </w:r>
    </w:p>
    <w:p w14:paraId="04FBBEB0">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rPr>
      </w:pPr>
      <w:r>
        <w:rPr>
          <w:rFonts w:hint="eastAsia" w:ascii="宋体" w:hAnsi="宋体" w:eastAsia="宋体" w:cs="宋体"/>
          <w:sz w:val="22"/>
        </w:rPr>
        <w:t>μ = 1/n × Σ（从i=1到n）Xᵢ</w:t>
      </w:r>
    </w:p>
    <w:p w14:paraId="39B975AE">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rPr>
      </w:pPr>
      <w:r>
        <w:rPr>
          <w:rFonts w:hint="eastAsia" w:ascii="宋体" w:hAnsi="宋体" w:eastAsia="宋体" w:cs="宋体"/>
          <w:sz w:val="22"/>
        </w:rPr>
        <w:t>σ = √[1/(n-1) × Σ（从i=1到n）(Xᵢ - μ)²]</w:t>
      </w:r>
    </w:p>
    <w:p w14:paraId="5C00A5B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式中，X_i为第i个原始数据，n为样本数量。以奥运奖牌预测案例为例，对1984-2024年20个国家的体育投入数据处理后，共剔除异常值8个，异常值占比3.2%，剔除后数据的正态性拟合度提升12.5%，有效避免极端数据对建模精度的干扰。</w:t>
      </w:r>
    </w:p>
    <w:p w14:paraId="4FB53C7E">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sz w:val="22"/>
        </w:rPr>
      </w:pPr>
      <w:r>
        <w:rPr>
          <w:rFonts w:hint="eastAsia" w:ascii="宋体" w:hAnsi="宋体" w:eastAsia="宋体" w:cs="宋体"/>
          <w:sz w:val="22"/>
        </w:rPr>
        <w:t>灰色GM(1,1)模型缺失值补全：针对个别国家部分年份的训练人数、优势项目数量等缺失数据（缺失率1.8%），考虑到数据具有时序性且样本量有限，采用灰色GM(1,1)模型补全，相较于线性插值、均值填充，其对小样本时序数据的补全精度更高。GM(1,1)模型核心公式如下：</w:t>
      </w:r>
    </w:p>
    <w:p w14:paraId="71B4792D">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sz w:val="22"/>
        </w:rPr>
      </w:pPr>
      <w:r>
        <w:rPr>
          <w:rFonts w:hint="eastAsia" w:ascii="宋体" w:hAnsi="宋体" w:eastAsia="宋体" w:cs="宋体"/>
          <w:sz w:val="22"/>
        </w:rPr>
        <w:t>累加生成序列：X⁽¹⁾(k) = Σ（从i=1到k）X⁽⁰⁾(i)（k=1,2,...,n）</w:t>
      </w:r>
    </w:p>
    <w:p w14:paraId="15388D3E">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sz w:val="22"/>
        </w:rPr>
      </w:pPr>
      <w:r>
        <w:rPr>
          <w:rFonts w:hint="eastAsia" w:ascii="宋体" w:hAnsi="宋体" w:eastAsia="宋体" w:cs="宋体"/>
          <w:sz w:val="22"/>
        </w:rPr>
        <w:t>白化微分方程：dX⁽¹⁾/dt + aX⁽¹⁾ = b</w:t>
      </w:r>
    </w:p>
    <w:p w14:paraId="311D5E9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式中，X^(0)为原始缺失序列，X^(1)为累加生成序列，a为发展系数，b为灰作用量，通过最小二乘法求解参数向量â = [a,b]^T = (B^TB)⁻¹B^TY_N。补全后数据与后续年份实测数据对比，平均误差为2.8%，相较于线性插值法误差降低15.7%，补全效果优异。</w:t>
      </w:r>
    </w:p>
    <w:p w14:paraId="2FB16E89">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sz w:val="22"/>
        </w:rPr>
      </w:pPr>
      <w:r>
        <w:rPr>
          <w:rFonts w:hint="eastAsia" w:ascii="宋体" w:hAnsi="宋体" w:eastAsia="宋体" w:cs="宋体"/>
          <w:sz w:val="22"/>
        </w:rPr>
        <w:t>Z-score标准化处理：由于不同变量的量纲存在差异（如GDP为万元、训练人数为人），直接输入模型会导致特征权重失衡，需进行标准化处理，将所有变量映射至[0,1]区间，公式如下：</w:t>
      </w:r>
    </w:p>
    <w:p w14:paraId="7DECA58A">
      <w:pPr>
        <w:keepNext w:val="0"/>
        <w:keepLines w:val="0"/>
        <w:pageBreakBefore w:val="0"/>
        <w:widowControl w:val="0"/>
        <w:numPr>
          <w:numId w:val="0"/>
        </w:numPr>
        <w:kinsoku/>
        <w:wordWrap/>
        <w:overflowPunct/>
        <w:topLinePunct w:val="0"/>
        <w:autoSpaceDE/>
        <w:autoSpaceDN/>
        <w:bidi w:val="0"/>
        <w:adjustRightInd/>
        <w:snapToGrid/>
        <w:spacing w:line="360" w:lineRule="auto"/>
        <w:jc w:val="right"/>
        <w:textAlignment w:val="auto"/>
        <w:outlineLvl w:val="9"/>
        <w:rPr>
          <w:rFonts w:hint="eastAsia" w:ascii="宋体" w:hAnsi="宋体" w:eastAsia="宋体" w:cs="宋体"/>
          <w:lang w:eastAsia="zh-CN"/>
        </w:rPr>
      </w:pPr>
      <w:r>
        <w:rPr>
          <w:rFonts w:hint="eastAsia" w:ascii="宋体" w:hAnsi="宋体" w:eastAsia="宋体" w:cs="宋体"/>
          <w:sz w:val="22"/>
        </w:rPr>
        <w:t>Xᵢ* = (Xᵢ - μ)/σ</w:t>
      </w:r>
      <w:r>
        <w:rPr>
          <w:rFonts w:hint="eastAsia" w:ascii="宋体" w:hAnsi="宋体" w:eastAsia="宋体" w:cs="宋体"/>
          <w:sz w:val="22"/>
          <w:lang w:val="en-US" w:eastAsia="zh-CN"/>
        </w:rPr>
        <w:t xml:space="preserve">                          </w:t>
      </w:r>
      <w:r>
        <w:rPr>
          <w:rFonts w:hint="eastAsia" w:ascii="宋体" w:hAnsi="宋体" w:eastAsia="宋体" w:cs="宋体"/>
          <w:sz w:val="22"/>
          <w:lang w:eastAsia="zh-CN"/>
        </w:rPr>
        <w:t>（</w:t>
      </w:r>
      <w:r>
        <w:rPr>
          <w:rFonts w:hint="eastAsia" w:ascii="宋体" w:hAnsi="宋体" w:eastAsia="宋体" w:cs="宋体"/>
          <w:sz w:val="22"/>
          <w:lang w:val="en-US" w:eastAsia="zh-CN"/>
        </w:rPr>
        <w:t>1</w:t>
      </w:r>
      <w:r>
        <w:rPr>
          <w:rFonts w:hint="eastAsia" w:ascii="宋体" w:hAnsi="宋体" w:eastAsia="宋体" w:cs="宋体"/>
          <w:sz w:val="22"/>
          <w:lang w:eastAsia="zh-CN"/>
        </w:rPr>
        <w:t>）</w:t>
      </w:r>
    </w:p>
    <w:p w14:paraId="422E5F7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式中，X_i^*为标准化后的数据，X_i为原始数据，μ、σ分别为该变量的均值与标准差。标准化后所有变量的方差统一，避免量纲差异对模型参数估计的干扰，为后续维度优化与核心建模奠定基础。</w:t>
      </w:r>
    </w:p>
    <w:p w14:paraId="1DA6BE93">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24"/>
        </w:rPr>
      </w:pPr>
      <w:bookmarkStart w:id="40" w:name="heading_41"/>
      <w:r>
        <w:rPr>
          <w:rFonts w:hint="eastAsia" w:ascii="宋体" w:hAnsi="宋体" w:eastAsia="宋体" w:cs="宋体"/>
          <w:b/>
          <w:sz w:val="24"/>
          <w:lang w:eastAsia="zh-CN"/>
        </w:rPr>
        <w:t>（</w:t>
      </w:r>
      <w:r>
        <w:rPr>
          <w:rFonts w:hint="eastAsia" w:ascii="宋体" w:hAnsi="宋体" w:eastAsia="宋体" w:cs="宋体"/>
          <w:b/>
          <w:sz w:val="24"/>
          <w:lang w:val="en-US" w:eastAsia="zh-CN"/>
        </w:rPr>
        <w:t>2</w:t>
      </w:r>
      <w:r>
        <w:rPr>
          <w:rFonts w:hint="eastAsia" w:ascii="宋体" w:hAnsi="宋体" w:eastAsia="宋体" w:cs="宋体"/>
          <w:b/>
          <w:sz w:val="24"/>
          <w:lang w:eastAsia="zh-CN"/>
        </w:rPr>
        <w:t>）</w:t>
      </w:r>
      <w:r>
        <w:rPr>
          <w:rFonts w:hint="eastAsia" w:ascii="宋体" w:hAnsi="宋体" w:eastAsia="宋体" w:cs="宋体"/>
          <w:b/>
          <w:sz w:val="24"/>
          <w:lang w:val="en-US" w:eastAsia="zh-CN"/>
        </w:rPr>
        <w:t xml:space="preserve"> </w:t>
      </w:r>
      <w:r>
        <w:rPr>
          <w:rFonts w:hint="eastAsia" w:ascii="宋体" w:hAnsi="宋体" w:eastAsia="宋体" w:cs="宋体"/>
          <w:b/>
          <w:sz w:val="24"/>
        </w:rPr>
        <w:t>PCA主成分分析维度优化（去共线性+降维，附检验指标）</w:t>
      </w:r>
      <w:bookmarkEnd w:id="40"/>
    </w:p>
    <w:p w14:paraId="5CDC274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完成数据预处理后，为解决多变量间的多重共线性问题、简化模型输入维度，采用PCA主成分分析提取核心主成分。核心逻辑是通过线性变换将多个相关变量转化为少数互不相关的主成分，且保留原始数据的主要信息（累计方差贡献率≥85%）。具体步骤如下：</w:t>
      </w:r>
    </w:p>
    <w:p w14:paraId="63D103F6">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构建标准化数据矩阵Xₘₓₙ（m为样本数，n为变量数），计算变量间的相关系数矩阵R；</w:t>
      </w:r>
    </w:p>
    <w:p w14:paraId="514D8439">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求解相关系数矩阵R的特征值λ₁≥λ₂≥...≥λₙ≥0及对应特征向量ξ₁,ξ₂,...,ξₙ；</w:t>
      </w:r>
    </w:p>
    <w:p w14:paraId="20E74C1C">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计算主成分贡献率ηᵢ = λᵢ / Σ（从i=1到n）λᵢ 及累计贡献率Σ（从i=1到k）ηᵢ，选取累计贡献率≥85%的前k个主成分；</w:t>
      </w:r>
    </w:p>
    <w:p w14:paraId="09BA92E8">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宋体" w:hAnsi="宋体" w:eastAsia="宋体" w:cs="宋体"/>
        </w:rPr>
      </w:pPr>
      <w:r>
        <w:rPr>
          <w:rFonts w:hint="eastAsia" w:ascii="宋体" w:hAnsi="宋体" w:eastAsia="宋体" w:cs="宋体"/>
          <w:sz w:val="22"/>
        </w:rPr>
        <w:t>构建主成分矩阵F = X × Ξ（Ξ为前k个特征向量组成的矩阵），得到低维数据集。</w:t>
      </w:r>
    </w:p>
    <w:p w14:paraId="463460E2">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sz w:val="22"/>
        </w:rPr>
      </w:pPr>
      <w:r>
        <w:rPr>
          <w:rFonts w:hint="eastAsia" w:ascii="宋体" w:hAnsi="宋体" w:eastAsia="宋体" w:cs="宋体"/>
          <w:sz w:val="22"/>
        </w:rPr>
        <w:t>以奥运奖牌预测案例为例，原始数据含5个变量（GDP、体育投入、训练人数、优势项目数、过往奖牌数），经PCA处理后，提取前4个主成分，累计方差贡献率达88.6%，保留了原始数据的核心信息。同时通过方差膨胀因子（VIF）检验共线性问题，处理前“GDP”与“体育投入”的VIF=12.3（存在共线性），处理后主成分VIF均＜5，完全消除多重共线性，模型求解效率提升30%以上。</w:t>
      </w:r>
    </w:p>
    <w:p w14:paraId="46394B94">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24"/>
        </w:rPr>
      </w:pPr>
      <w:bookmarkStart w:id="41" w:name="heading_42"/>
      <w:r>
        <w:rPr>
          <w:rFonts w:hint="eastAsia" w:ascii="宋体" w:hAnsi="宋体" w:eastAsia="宋体" w:cs="宋体"/>
          <w:b/>
          <w:sz w:val="24"/>
          <w:lang w:eastAsia="zh-CN"/>
        </w:rPr>
        <w:t>（</w:t>
      </w:r>
      <w:r>
        <w:rPr>
          <w:rFonts w:hint="eastAsia" w:ascii="宋体" w:hAnsi="宋体" w:eastAsia="宋体" w:cs="宋体"/>
          <w:b/>
          <w:sz w:val="24"/>
          <w:lang w:val="en-US" w:eastAsia="zh-CN"/>
        </w:rPr>
        <w:t>3</w:t>
      </w:r>
      <w:r>
        <w:rPr>
          <w:rFonts w:hint="eastAsia" w:ascii="宋体" w:hAnsi="宋体" w:eastAsia="宋体" w:cs="宋体"/>
          <w:b/>
          <w:sz w:val="24"/>
          <w:lang w:eastAsia="zh-CN"/>
        </w:rPr>
        <w:t>）</w:t>
      </w:r>
      <w:r>
        <w:rPr>
          <w:rFonts w:hint="eastAsia" w:ascii="宋体" w:hAnsi="宋体" w:eastAsia="宋体" w:cs="宋体"/>
          <w:b/>
          <w:sz w:val="24"/>
          <w:lang w:val="en-US" w:eastAsia="zh-CN"/>
        </w:rPr>
        <w:t xml:space="preserve"> </w:t>
      </w:r>
      <w:r>
        <w:rPr>
          <w:rFonts w:hint="eastAsia" w:ascii="宋体" w:hAnsi="宋体" w:eastAsia="宋体" w:cs="宋体"/>
          <w:b/>
          <w:sz w:val="24"/>
        </w:rPr>
        <w:t>数据可靠性验证</w:t>
      </w:r>
      <w:bookmarkEnd w:id="41"/>
    </w:p>
    <w:p w14:paraId="439C39B1">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rPr>
      </w:pPr>
      <w:r>
        <w:rPr>
          <w:rFonts w:hint="eastAsia" w:ascii="宋体" w:hAnsi="宋体" w:eastAsia="宋体" w:cs="宋体"/>
          <w:sz w:val="22"/>
        </w:rPr>
        <w:t>为确保预处理后数据符合建模要求，通过双重检验验证可靠性：一是正态性检验（K-S检验），所有主成分的P值均＞0.05（案例中P=0.13），服从正态分布；二是一致性检验，一致性系数=0.87≥0.8，数据无系统性偏差。最终得到的标准化低维数据集可信度达96.8%，为核心建模提供高质量输入。</w:t>
      </w:r>
    </w:p>
    <w:p w14:paraId="3CE13929">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2"/>
        <w:rPr>
          <w:rFonts w:hint="eastAsia" w:ascii="宋体" w:hAnsi="宋体" w:eastAsia="宋体" w:cs="宋体"/>
          <w:b/>
          <w:sz w:val="24"/>
        </w:rPr>
      </w:pPr>
      <w:bookmarkStart w:id="42" w:name="heading_43"/>
      <w:r>
        <w:rPr>
          <w:rFonts w:hint="eastAsia" w:ascii="宋体" w:hAnsi="宋体" w:eastAsia="宋体" w:cs="宋体"/>
          <w:b/>
          <w:sz w:val="24"/>
          <w:lang w:val="en-US" w:eastAsia="zh-CN"/>
        </w:rPr>
        <w:t>7</w:t>
      </w:r>
      <w:r>
        <w:rPr>
          <w:rFonts w:hint="eastAsia" w:ascii="宋体" w:hAnsi="宋体" w:eastAsia="宋体" w:cs="宋体"/>
          <w:b/>
          <w:sz w:val="24"/>
        </w:rPr>
        <w:t>.</w:t>
      </w:r>
      <w:r>
        <w:rPr>
          <w:rFonts w:hint="eastAsia" w:ascii="宋体" w:hAnsi="宋体" w:eastAsia="宋体" w:cs="宋体"/>
          <w:b/>
          <w:sz w:val="24"/>
          <w:lang w:val="en-US" w:eastAsia="zh-CN"/>
        </w:rPr>
        <w:t>1.</w:t>
      </w:r>
      <w:r>
        <w:rPr>
          <w:rFonts w:hint="eastAsia" w:ascii="宋体" w:hAnsi="宋体" w:eastAsia="宋体" w:cs="宋体"/>
          <w:b/>
          <w:sz w:val="24"/>
        </w:rPr>
        <w:t>3 核心模型构建与参数优化模块</w:t>
      </w:r>
      <w:bookmarkEnd w:id="42"/>
    </w:p>
    <w:p w14:paraId="79B75BF3">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24"/>
        </w:rPr>
      </w:pPr>
      <w:bookmarkStart w:id="43" w:name="heading_44"/>
      <w:r>
        <w:rPr>
          <w:rFonts w:hint="eastAsia" w:ascii="宋体" w:hAnsi="宋体" w:eastAsia="宋体" w:cs="宋体"/>
          <w:b/>
          <w:sz w:val="24"/>
          <w:lang w:val="en-US" w:eastAsia="zh-CN"/>
        </w:rPr>
        <w:t xml:space="preserve">(1) </w:t>
      </w:r>
      <w:r>
        <w:rPr>
          <w:rFonts w:hint="eastAsia" w:ascii="宋体" w:hAnsi="宋体" w:eastAsia="宋体" w:cs="宋体"/>
          <w:b/>
          <w:sz w:val="24"/>
        </w:rPr>
        <w:t>融合/改进模型核心构建（分模型阐述，讲清耦合逻辑，O奖创新点重点突出）</w:t>
      </w:r>
      <w:bookmarkEnd w:id="43"/>
    </w:p>
    <w:p w14:paraId="13AE7F0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本文以PCA-LSTM-XGBoost融合模型（预测类案例）为例，构建核心建模框架，实现时序特征捕捉与预测精度优化的协同，模型核心分为“特征输入-LSTM时序建模-XGBoost精度优化”三部分，耦合逻辑区别于传统简单叠加，具体如下：</w:t>
      </w:r>
    </w:p>
    <w:p w14:paraId="539DDE70">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40" w:firstLineChars="200"/>
        <w:jc w:val="both"/>
        <w:textAlignment w:val="auto"/>
        <w:outlineLvl w:val="9"/>
        <w:rPr>
          <w:rFonts w:hint="eastAsia" w:ascii="宋体" w:hAnsi="宋体" w:eastAsia="宋体" w:cs="宋体"/>
        </w:rPr>
      </w:pPr>
      <w:r>
        <w:rPr>
          <w:rFonts w:hint="eastAsia" w:ascii="宋体" w:hAnsi="宋体" w:eastAsia="宋体" w:cs="宋体"/>
          <w:sz w:val="22"/>
        </w:rPr>
        <w:t>特征输入层：将PCA提取的4个主成分作为模型输入，既简化了输入维度，又消除了共线性干扰，同时标准化处理后的数据集可加速模型收敛，避免梯度消失问题。</w:t>
      </w:r>
    </w:p>
    <w:p w14:paraId="21AA13E6">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40" w:firstLineChars="200"/>
        <w:jc w:val="both"/>
        <w:textAlignment w:val="auto"/>
        <w:outlineLvl w:val="9"/>
        <w:rPr>
          <w:rFonts w:hint="eastAsia" w:ascii="宋体" w:hAnsi="宋体" w:eastAsia="宋体" w:cs="宋体"/>
        </w:rPr>
      </w:pPr>
      <w:r>
        <w:rPr>
          <w:rFonts w:hint="eastAsia" w:ascii="宋体" w:hAnsi="宋体" w:eastAsia="宋体" w:cs="宋体"/>
          <w:sz w:val="22"/>
        </w:rPr>
        <w:t>LSTM时序建模层：LSTM（长短期记忆网络）通过遗忘门、输入门、输出门的协同作用，有效捕捉时序数据的长期依赖关系，适配奖牌数量的时序波动特征。各大门控核心公式如下：</w:t>
      </w:r>
    </w:p>
    <w:p w14:paraId="008BFE07">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rPr>
      </w:pPr>
      <w:r>
        <w:rPr>
          <w:rFonts w:hint="eastAsia" w:ascii="宋体" w:hAnsi="宋体" w:eastAsia="宋体" w:cs="宋体"/>
          <w:sz w:val="22"/>
        </w:rPr>
        <w:t>遗忘门：fₜ = σ(Wf·[hₜ₋₁, xₜ] + bf)</w:t>
      </w:r>
    </w:p>
    <w:p w14:paraId="79B29010">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rPr>
      </w:pPr>
      <w:r>
        <w:rPr>
          <w:rFonts w:hint="eastAsia" w:ascii="宋体" w:hAnsi="宋体" w:eastAsia="宋体" w:cs="宋体"/>
          <w:sz w:val="22"/>
        </w:rPr>
        <w:t>输入门：iₜ = σ(Wi·[hₜ₋₁, xₜ] + bi)，Ĉₜ = tanh(Wc·[hₜ₋₁, xₜ] + bc)</w:t>
      </w:r>
    </w:p>
    <w:p w14:paraId="75492DF3">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rPr>
      </w:pPr>
      <w:r>
        <w:rPr>
          <w:rFonts w:hint="eastAsia" w:ascii="宋体" w:hAnsi="宋体" w:eastAsia="宋体" w:cs="宋体"/>
          <w:sz w:val="22"/>
        </w:rPr>
        <w:t>细胞状态更新：Cₜ = fₜ⊙Cₜ₋₁ + iₜ⊙Ĉₜ</w:t>
      </w:r>
    </w:p>
    <w:p w14:paraId="14F691BF">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840" w:leftChars="200" w:hanging="420" w:firstLineChars="0"/>
        <w:jc w:val="both"/>
        <w:textAlignment w:val="auto"/>
        <w:outlineLvl w:val="9"/>
        <w:rPr>
          <w:rFonts w:hint="eastAsia" w:ascii="宋体" w:hAnsi="宋体" w:eastAsia="宋体" w:cs="宋体"/>
        </w:rPr>
      </w:pPr>
      <w:r>
        <w:rPr>
          <w:rFonts w:hint="eastAsia" w:ascii="宋体" w:hAnsi="宋体" w:eastAsia="宋体" w:cs="宋体"/>
          <w:sz w:val="22"/>
        </w:rPr>
        <w:t>输出门：oₜ = σ(Wo·[hₜ₋₁, xₜ] + bo)，hₜ = oₜ⊙tanh(Cₜ)</w:t>
      </w:r>
    </w:p>
    <w:p w14:paraId="0A4A8AB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式中，σ为sigmoid激活函数，⊙为元素积，Wf、Wi、Wc、Wo为权重矩阵，bf、bi、bc、bo为偏置项，hₜ为t时刻隐藏层输出，Cₜ为t时刻细胞状态。通过该层处理，可精准捕捉奥运奖牌数量随时间变化的动态特征，输出初步时序预测结果ŷ_LSTM。</w:t>
      </w:r>
    </w:p>
    <w:p w14:paraId="54F9D1D7">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40" w:firstLineChars="200"/>
        <w:jc w:val="both"/>
        <w:textAlignment w:val="auto"/>
        <w:outlineLvl w:val="9"/>
        <w:rPr>
          <w:rFonts w:hint="eastAsia" w:ascii="宋体" w:hAnsi="宋体" w:eastAsia="宋体" w:cs="宋体"/>
          <w:sz w:val="22"/>
        </w:rPr>
      </w:pPr>
      <w:r>
        <w:rPr>
          <w:rFonts w:hint="eastAsia" w:ascii="宋体" w:hAnsi="宋体" w:eastAsia="宋体" w:cs="宋体"/>
          <w:sz w:val="22"/>
        </w:rPr>
        <w:t>XGBoost精度优化层：针对LSTM在小样本场景下易过拟合、预测精度有限的问题，引入XGBoost模型对初步结果进行优化。XGBoost基于梯度提升树算法，通过最小化损失函数迭代生成决策树，核心损失函数如下：</w:t>
      </w:r>
    </w:p>
    <w:p w14:paraId="55D4EED2">
      <w:pPr>
        <w:keepNext w:val="0"/>
        <w:keepLines w:val="0"/>
        <w:pageBreakBefore w:val="0"/>
        <w:widowControl w:val="0"/>
        <w:numPr>
          <w:numId w:val="0"/>
        </w:numPr>
        <w:kinsoku/>
        <w:wordWrap/>
        <w:overflowPunct/>
        <w:topLinePunct w:val="0"/>
        <w:autoSpaceDE/>
        <w:autoSpaceDN/>
        <w:bidi w:val="0"/>
        <w:adjustRightInd/>
        <w:snapToGrid/>
        <w:spacing w:line="360" w:lineRule="auto"/>
        <w:jc w:val="right"/>
        <w:textAlignment w:val="auto"/>
        <w:outlineLvl w:val="9"/>
        <w:rPr>
          <w:rFonts w:hint="eastAsia" w:ascii="宋体" w:hAnsi="宋体" w:eastAsia="宋体" w:cs="宋体"/>
        </w:rPr>
      </w:pPr>
      <w:r>
        <w:rPr>
          <w:rFonts w:hint="eastAsia" w:ascii="宋体" w:hAnsi="宋体" w:eastAsia="宋体" w:cs="宋体"/>
          <w:sz w:val="22"/>
        </w:rPr>
        <w:t>L(θ) = Σ（从i=1到n）l(yᵢ, ŷᵢ) + Ω(fₖ)</w:t>
      </w:r>
      <w:r>
        <w:rPr>
          <w:rFonts w:hint="eastAsia" w:ascii="宋体" w:hAnsi="宋体" w:eastAsia="宋体" w:cs="宋体"/>
          <w:sz w:val="22"/>
          <w:lang w:val="en-US" w:eastAsia="zh-CN"/>
        </w:rPr>
        <w:t xml:space="preserve">            </w:t>
      </w:r>
      <w:r>
        <w:rPr>
          <w:rFonts w:hint="eastAsia" w:ascii="宋体" w:hAnsi="宋体" w:eastAsia="宋体" w:cs="宋体"/>
          <w:sz w:val="22"/>
          <w:lang w:eastAsia="zh-CN"/>
        </w:rPr>
        <w:t>（</w:t>
      </w:r>
      <w:r>
        <w:rPr>
          <w:rFonts w:hint="eastAsia" w:ascii="宋体" w:hAnsi="宋体" w:eastAsia="宋体" w:cs="宋体"/>
          <w:sz w:val="22"/>
          <w:lang w:val="en-US" w:eastAsia="zh-CN"/>
        </w:rPr>
        <w:t>2</w:t>
      </w:r>
      <w:r>
        <w:rPr>
          <w:rFonts w:hint="eastAsia" w:ascii="宋体" w:hAnsi="宋体" w:eastAsia="宋体" w:cs="宋体"/>
          <w:sz w:val="22"/>
          <w:lang w:eastAsia="zh-CN"/>
        </w:rPr>
        <w:t>）</w:t>
      </w:r>
    </w:p>
    <w:p w14:paraId="4D89976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式中，l(yᵢ, ŷᵢ)为预测误差损失（本文采用平方损失），Ω(fₖ)为正则化项，用于避免过拟合，Ω(fₖ) = γT + 1/2λ||w||²（T为决策树叶子节点数，w为叶子节点权重，γ、λ为正则化参数）。将LSTM输出的ŷ_LSTM作为XGBoost的输入特征之一，结合原始主成分特征，迭代生成100棵决策树，输出最终预测结果ŷ，有效修正LSTM的过拟合偏差，提升预测精度。</w:t>
      </w:r>
    </w:p>
    <w:p w14:paraId="2B68366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模型创新点：并非简单叠加LSTM与XGBoost，而是构建“时序特征捕捉-精度优化”的递进式耦合逻辑，LSTM负责动态特征提取，XGBoost针对性修正偏差，同时PCA降维为模型轻量化提供支撑，三者协同实现“动态捕捉准、预测精度高、求解效率快”的目标，相较于单一模型优势显著。</w:t>
      </w:r>
    </w:p>
    <w:p w14:paraId="2F44354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24"/>
        </w:rPr>
      </w:pPr>
      <w:bookmarkStart w:id="44" w:name="heading_45"/>
      <w:r>
        <w:rPr>
          <w:rFonts w:hint="eastAsia" w:ascii="宋体" w:hAnsi="宋体" w:eastAsia="宋体" w:cs="宋体"/>
          <w:b/>
          <w:sz w:val="24"/>
          <w:lang w:val="en-US" w:eastAsia="zh-CN"/>
        </w:rPr>
        <w:t xml:space="preserve">(2) </w:t>
      </w:r>
      <w:r>
        <w:rPr>
          <w:rFonts w:hint="eastAsia" w:ascii="宋体" w:hAnsi="宋体" w:eastAsia="宋体" w:cs="宋体"/>
          <w:b/>
          <w:sz w:val="24"/>
        </w:rPr>
        <w:t>核心参数优化（微分进化算法，步骤量化+收敛性验证）</w:t>
      </w:r>
      <w:bookmarkEnd w:id="44"/>
    </w:p>
    <w:p w14:paraId="0E4A751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r>
        <w:rPr>
          <w:rFonts w:hint="eastAsia" w:ascii="宋体" w:hAnsi="宋体" w:eastAsia="宋体" w:cs="宋体"/>
          <w:sz w:val="22"/>
        </w:rPr>
        <w:t>模型核心参数的取值直接影响求解精度与稳定性，本文采用微分进化算法（DE）对核心参数进行全局优化，相较于遗传算法、粒子群算法，其收敛速度更快、优化精度更高，具体步骤如下：</w:t>
      </w:r>
    </w:p>
    <w:p w14:paraId="5CD52ECF">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确定优化参数及范围：选取5个核心参数（LSTM隐藏层节点数n：16-64、学习率α：0.001-0.01；XGBoost决策树数量T：50-200、最大深度d：3-10、叶子节点权重w：0.5-2.0）；</w:t>
      </w:r>
    </w:p>
    <w:p w14:paraId="289A9CA4">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初始化种群：生成N=50个初始参数个体，组成初始种群X = {X₁, X₂, ..., X₅₀}，每个个体对应一组参数组合；</w:t>
      </w:r>
    </w:p>
    <w:p w14:paraId="558BB130">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变异与交叉操作：变异操作生成变异向量Vᵢ = Xᵣ₁ + F·(Xᵣ₂ - Xᵣ₃)（r1、r2、r3为随机整数，F为变异因子，取0.5）；交叉操作生成试验向量Uᵢ，交叉概率CR取0.8；</w:t>
      </w:r>
    </w:p>
    <w:p w14:paraId="1CC59397">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选择操作：比较个体Xᵢ与试验向量Uᵢ的适应度（以R²最大化为适应度函数），保留适应度更优的个体进入下一代种群；</w:t>
      </w:r>
    </w:p>
    <w:p w14:paraId="33ABC67C">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迭代收敛：重复步骤3-4，直至迭代次数达到300次或参数收敛误差≤0.001，输出最优参数组合。</w:t>
      </w:r>
    </w:p>
    <w:p w14:paraId="2F090A48">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rPr>
      </w:pPr>
      <w:r>
        <w:rPr>
          <w:rFonts w:hint="eastAsia" w:ascii="宋体" w:hAnsi="宋体" w:eastAsia="宋体" w:cs="宋体"/>
          <w:sz w:val="22"/>
        </w:rPr>
        <w:t>优化结果：最终得到最优参数组合为（n=32、α=0.005、T=100、d=6、w=1.0），参数收敛误差=0.0008，重复优化5次，结果变异系数=0.018，表明收敛稳定。优化后模型MAE=1.87、RMSE=2.32、R²=0.94，相较于优化前精度提升18.3%，过拟合现象完全消除。</w:t>
      </w:r>
    </w:p>
    <w:p w14:paraId="0C847E0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9"/>
        <w:rPr>
          <w:rFonts w:hint="eastAsia" w:ascii="宋体" w:hAnsi="宋体" w:eastAsia="宋体" w:cs="宋体"/>
          <w:b/>
          <w:sz w:val="24"/>
        </w:rPr>
      </w:pPr>
      <w:bookmarkStart w:id="45" w:name="heading_46"/>
      <w:r>
        <w:rPr>
          <w:rFonts w:hint="eastAsia" w:ascii="宋体" w:hAnsi="宋体" w:eastAsia="宋体" w:cs="宋体"/>
          <w:b/>
          <w:sz w:val="24"/>
          <w:lang w:eastAsia="zh-CN"/>
        </w:rPr>
        <w:t>（</w:t>
      </w:r>
      <w:r>
        <w:rPr>
          <w:rFonts w:hint="eastAsia" w:ascii="宋体" w:hAnsi="宋体" w:eastAsia="宋体" w:cs="宋体"/>
          <w:b/>
          <w:sz w:val="24"/>
          <w:lang w:val="en-US" w:eastAsia="zh-CN"/>
        </w:rPr>
        <w:t>3</w:t>
      </w:r>
      <w:r>
        <w:rPr>
          <w:rFonts w:hint="eastAsia" w:ascii="宋体" w:hAnsi="宋体" w:eastAsia="宋体" w:cs="宋体"/>
          <w:b/>
          <w:sz w:val="24"/>
          <w:lang w:eastAsia="zh-CN"/>
        </w:rPr>
        <w:t>）</w:t>
      </w:r>
      <w:r>
        <w:rPr>
          <w:rFonts w:hint="eastAsia" w:ascii="宋体" w:hAnsi="宋体" w:eastAsia="宋体" w:cs="宋体"/>
          <w:b/>
          <w:sz w:val="24"/>
          <w:lang w:val="en-US" w:eastAsia="zh-CN"/>
        </w:rPr>
        <w:t xml:space="preserve"> </w:t>
      </w:r>
      <w:r>
        <w:rPr>
          <w:rFonts w:hint="eastAsia" w:ascii="宋体" w:hAnsi="宋体" w:eastAsia="宋体" w:cs="宋体"/>
          <w:b/>
          <w:sz w:val="24"/>
        </w:rPr>
        <w:t>模型求解与结果输出（工具说明+量化结果，贴合赛题需求）</w:t>
      </w:r>
      <w:bookmarkEnd w:id="45"/>
    </w:p>
    <w:p w14:paraId="70987BA7">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rPr>
      </w:pPr>
      <w:r>
        <w:rPr>
          <w:rFonts w:hint="eastAsia" w:ascii="宋体" w:hAnsi="宋体" w:eastAsia="宋体" w:cs="宋体"/>
          <w:sz w:val="22"/>
        </w:rPr>
        <w:t>基于Python平台实现模型求解，调用TensorFlow框架搭建LSTM模型，XGBoost库实现梯度提升树优化，数据处理采用Pandas、Numpy库，求解硬件配置为Intel i7-12700H、16GB内存，单次求解时间约15分钟，效率满足赛题要求。</w:t>
      </w:r>
    </w:p>
    <w:p w14:paraId="7F8C075C">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rPr>
      </w:pPr>
      <w:r>
        <w:rPr>
          <w:rFonts w:hint="eastAsia" w:ascii="宋体" w:hAnsi="宋体" w:eastAsia="宋体" w:cs="宋体"/>
          <w:sz w:val="22"/>
        </w:rPr>
        <w:t>以奥运奖牌预测案例为例，最终输出2028年夏季奥运会20个样本国家的奖牌预测区间及突破概率，核心结果如下：中国奖牌预测区间为[88,95]枚，突破概率89.2%；美国预测区间为[92,98]枚，突破概率85.7%；俄罗斯预测区间为[65,72]枚，突破概率78.3%。预测结果精准度高、实用性强，可直接为体育管理部门提供决策支撑。</w:t>
      </w:r>
    </w:p>
    <w:p w14:paraId="320BCF8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2"/>
        <w:rPr>
          <w:rFonts w:hint="eastAsia" w:ascii="宋体" w:hAnsi="宋体" w:eastAsia="宋体" w:cs="宋体"/>
          <w:b/>
          <w:bCs w:val="0"/>
          <w:sz w:val="28"/>
          <w:szCs w:val="28"/>
        </w:rPr>
      </w:pPr>
      <w:bookmarkStart w:id="46" w:name="heading_47"/>
      <w:r>
        <w:rPr>
          <w:rFonts w:hint="eastAsia" w:ascii="宋体" w:hAnsi="宋体" w:eastAsia="宋体" w:cs="宋体"/>
          <w:b/>
          <w:bCs w:val="0"/>
          <w:sz w:val="28"/>
          <w:szCs w:val="28"/>
          <w:lang w:val="en-US" w:eastAsia="zh-CN"/>
        </w:rPr>
        <w:t>7</w:t>
      </w:r>
      <w:r>
        <w:rPr>
          <w:rFonts w:hint="eastAsia" w:ascii="宋体" w:hAnsi="宋体" w:eastAsia="宋体" w:cs="宋体"/>
          <w:b/>
          <w:bCs w:val="0"/>
          <w:sz w:val="28"/>
          <w:szCs w:val="28"/>
        </w:rPr>
        <w:t>.</w:t>
      </w:r>
      <w:r>
        <w:rPr>
          <w:rFonts w:hint="eastAsia" w:ascii="宋体" w:hAnsi="宋体" w:eastAsia="宋体" w:cs="宋体"/>
          <w:b/>
          <w:bCs w:val="0"/>
          <w:sz w:val="28"/>
          <w:szCs w:val="28"/>
          <w:lang w:val="en-US" w:eastAsia="zh-CN"/>
        </w:rPr>
        <w:t>1.</w:t>
      </w:r>
      <w:r>
        <w:rPr>
          <w:rFonts w:hint="eastAsia" w:ascii="宋体" w:hAnsi="宋体" w:eastAsia="宋体" w:cs="宋体"/>
          <w:b/>
          <w:bCs w:val="0"/>
          <w:sz w:val="28"/>
          <w:szCs w:val="28"/>
        </w:rPr>
        <w:t>4 结果验证与优化模块（多维度检验+短板优化）</w:t>
      </w:r>
      <w:bookmarkEnd w:id="46"/>
    </w:p>
    <w:p w14:paraId="762A280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bookmarkStart w:id="47" w:name="heading_48"/>
      <w:r>
        <w:rPr>
          <w:rFonts w:hint="eastAsia" w:ascii="宋体" w:hAnsi="宋体" w:eastAsia="宋体" w:cs="宋体"/>
          <w:b/>
          <w:sz w:val="24"/>
          <w:lang w:eastAsia="zh-CN"/>
        </w:rPr>
        <w:t>（</w:t>
      </w:r>
      <w:r>
        <w:rPr>
          <w:rFonts w:hint="eastAsia" w:ascii="宋体" w:hAnsi="宋体" w:eastAsia="宋体" w:cs="宋体"/>
          <w:b/>
          <w:sz w:val="24"/>
          <w:lang w:val="en-US" w:eastAsia="zh-CN"/>
        </w:rPr>
        <w:t>1</w:t>
      </w:r>
      <w:r>
        <w:rPr>
          <w:rFonts w:hint="eastAsia" w:ascii="宋体" w:hAnsi="宋体" w:eastAsia="宋体" w:cs="宋体"/>
          <w:b/>
          <w:sz w:val="24"/>
          <w:lang w:eastAsia="zh-CN"/>
        </w:rPr>
        <w:t>）</w:t>
      </w:r>
      <w:r>
        <w:rPr>
          <w:rFonts w:hint="eastAsia" w:ascii="宋体" w:hAnsi="宋体" w:eastAsia="宋体" w:cs="宋体"/>
          <w:b/>
          <w:sz w:val="24"/>
        </w:rPr>
        <w:t>四层检验体系落地（全维度验证，每类检验附指标+结果）</w:t>
      </w:r>
      <w:bookmarkEnd w:id="47"/>
    </w:p>
    <w:p w14:paraId="3C5B57EE">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rPr>
      </w:pPr>
      <w:r>
        <w:rPr>
          <w:rFonts w:hint="eastAsia" w:ascii="宋体" w:hAnsi="宋体" w:eastAsia="宋体" w:cs="宋体"/>
          <w:sz w:val="22"/>
        </w:rPr>
        <w:t>为全面验证模型有效性，本文严格执行“拟合有效性-稳定性与鲁棒性-优越性-场景拓展”四层检验体系，具体结果如下：</w:t>
      </w:r>
    </w:p>
    <w:p w14:paraId="0F98956A">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拟合有效性检验：采用MAE、RMSE、R²三项指标量化拟合效果，案例中MAE=1.87枚、RMSE=2.32枚、R²=0.94，均优于美赛O奖平均水平（通常R²≥0.9）；同时残差服从N(0,0.82²)正态分布，K-S检验P=0.13＞0.05，无系统性偏差，拟合效果优秀。</w:t>
      </w:r>
    </w:p>
    <w:p w14:paraId="282C7670">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稳定性与鲁棒性检验：选取3个核心参数（α、T、d）在±10%范围内波动，核心指标R²波动幅度分别为0.8%、1.2%、0.5%，均＜5%；对输入数据加入±5%扰动，重复测试10次，MAE变异系数=0.025≤0.03，模型抗干扰能力强，稳定性优异。</w:t>
      </w:r>
    </w:p>
    <w:p w14:paraId="15EB7A5A">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rPr>
      </w:pPr>
      <w:r>
        <w:rPr>
          <w:rFonts w:hint="eastAsia" w:ascii="宋体" w:hAnsi="宋体" w:eastAsia="宋体" w:cs="宋体"/>
          <w:sz w:val="22"/>
        </w:rPr>
        <w:t>优越性检验：与单一模型（LSTM、XGBoost、GM(1,1)）、传统算法（ARIMA）对比，核心指标提升显著，具体对比结果如下表所示。融合模型在精度、稳定性上均全面领先，凸显创新优势。</w:t>
      </w:r>
    </w:p>
    <w:p w14:paraId="1F282FC9">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lang w:val="en-US" w:eastAsia="zh-CN"/>
        </w:rPr>
      </w:pPr>
      <w:r>
        <w:rPr>
          <w:rFonts w:hint="eastAsia" w:ascii="宋体" w:hAnsi="宋体" w:eastAsia="宋体" w:cs="宋体"/>
          <w:sz w:val="22"/>
          <w:lang w:val="en-US" w:eastAsia="zh-CN"/>
        </w:rPr>
        <w:t>表1 不同模型检验结果对比</w:t>
      </w:r>
    </w:p>
    <w:tbl>
      <w:tblPr>
        <w:tblStyle w:val="2"/>
        <w:tblW w:w="828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776"/>
        <w:gridCol w:w="1449"/>
        <w:gridCol w:w="1350"/>
        <w:gridCol w:w="680"/>
        <w:gridCol w:w="2026"/>
      </w:tblGrid>
      <w:tr w14:paraId="1DE93F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2776"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2D05539B">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both"/>
              <w:textAlignment w:val="auto"/>
              <w:outlineLvl w:val="9"/>
              <w:rPr>
                <w:rFonts w:hint="eastAsia" w:ascii="宋体" w:hAnsi="宋体" w:eastAsia="宋体" w:cs="宋体"/>
                <w:b/>
                <w:sz w:val="22"/>
              </w:rPr>
            </w:pPr>
            <w:r>
              <w:rPr>
                <w:rFonts w:hint="eastAsia" w:ascii="宋体" w:hAnsi="宋体" w:eastAsia="宋体" w:cs="宋体"/>
                <w:b/>
                <w:sz w:val="22"/>
              </w:rPr>
              <w:t>模型类型</w:t>
            </w:r>
          </w:p>
        </w:tc>
        <w:tc>
          <w:tcPr>
            <w:tcW w:w="1449"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3A8452A3">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both"/>
              <w:textAlignment w:val="auto"/>
              <w:outlineLvl w:val="9"/>
              <w:rPr>
                <w:rFonts w:hint="eastAsia" w:ascii="宋体" w:hAnsi="宋体" w:eastAsia="宋体" w:cs="宋体"/>
                <w:b/>
                <w:sz w:val="22"/>
              </w:rPr>
            </w:pPr>
            <w:r>
              <w:rPr>
                <w:rFonts w:hint="eastAsia" w:ascii="宋体" w:hAnsi="宋体" w:eastAsia="宋体" w:cs="宋体"/>
                <w:b/>
                <w:sz w:val="22"/>
              </w:rPr>
              <w:t>MAE（枚）</w:t>
            </w:r>
          </w:p>
        </w:tc>
        <w:tc>
          <w:tcPr>
            <w:tcW w:w="1350"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6A8F3CAE">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both"/>
              <w:textAlignment w:val="auto"/>
              <w:outlineLvl w:val="9"/>
              <w:rPr>
                <w:rFonts w:hint="eastAsia" w:ascii="宋体" w:hAnsi="宋体" w:eastAsia="宋体" w:cs="宋体"/>
                <w:b/>
                <w:sz w:val="22"/>
              </w:rPr>
            </w:pPr>
            <w:r>
              <w:rPr>
                <w:rFonts w:hint="eastAsia" w:ascii="宋体" w:hAnsi="宋体" w:eastAsia="宋体" w:cs="宋体"/>
                <w:b/>
                <w:sz w:val="22"/>
              </w:rPr>
              <w:t>RMSE（枚）</w:t>
            </w:r>
          </w:p>
        </w:tc>
        <w:tc>
          <w:tcPr>
            <w:tcW w:w="680"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258EE2C6">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both"/>
              <w:textAlignment w:val="auto"/>
              <w:outlineLvl w:val="9"/>
              <w:rPr>
                <w:rFonts w:hint="eastAsia" w:ascii="宋体" w:hAnsi="宋体" w:eastAsia="宋体" w:cs="宋体"/>
                <w:b/>
                <w:sz w:val="22"/>
              </w:rPr>
            </w:pPr>
            <w:r>
              <w:rPr>
                <w:rFonts w:hint="eastAsia" w:ascii="宋体" w:hAnsi="宋体" w:eastAsia="宋体" w:cs="宋体"/>
                <w:b/>
                <w:sz w:val="22"/>
              </w:rPr>
              <w:t>R²</w:t>
            </w:r>
          </w:p>
        </w:tc>
        <w:tc>
          <w:tcPr>
            <w:tcW w:w="2026" w:type="dxa"/>
            <w:tcBorders>
              <w:top w:val="single" w:color="auto" w:sz="12" w:space="0"/>
              <w:left w:val="nil"/>
              <w:bottom w:val="single" w:color="auto" w:sz="4" w:space="0"/>
              <w:right w:val="nil"/>
            </w:tcBorders>
            <w:tcMar>
              <w:top w:w="60" w:type="dxa"/>
              <w:left w:w="120" w:type="dxa"/>
              <w:bottom w:w="30" w:type="dxa"/>
              <w:right w:w="120" w:type="dxa"/>
            </w:tcMar>
            <w:vAlign w:val="center"/>
          </w:tcPr>
          <w:p w14:paraId="1362515F">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both"/>
              <w:textAlignment w:val="auto"/>
              <w:outlineLvl w:val="9"/>
              <w:rPr>
                <w:rFonts w:hint="eastAsia" w:ascii="宋体" w:hAnsi="宋体" w:eastAsia="宋体" w:cs="宋体"/>
                <w:b/>
                <w:sz w:val="22"/>
              </w:rPr>
            </w:pPr>
            <w:r>
              <w:rPr>
                <w:rFonts w:hint="eastAsia" w:ascii="宋体" w:hAnsi="宋体" w:eastAsia="宋体" w:cs="宋体"/>
                <w:b/>
                <w:sz w:val="22"/>
              </w:rPr>
              <w:t>求解效率（分钟）</w:t>
            </w:r>
          </w:p>
        </w:tc>
      </w:tr>
      <w:tr w14:paraId="710434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776" w:type="dxa"/>
            <w:tcBorders>
              <w:top w:val="single" w:color="auto" w:sz="4" w:space="0"/>
              <w:left w:val="nil"/>
              <w:bottom w:val="nil"/>
              <w:right w:val="nil"/>
            </w:tcBorders>
            <w:tcMar>
              <w:top w:w="60" w:type="dxa"/>
              <w:left w:w="120" w:type="dxa"/>
              <w:bottom w:w="30" w:type="dxa"/>
              <w:right w:w="120" w:type="dxa"/>
            </w:tcMar>
            <w:vAlign w:val="center"/>
          </w:tcPr>
          <w:p w14:paraId="0620626E">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单一LSTM模型</w:t>
            </w:r>
          </w:p>
        </w:tc>
        <w:tc>
          <w:tcPr>
            <w:tcW w:w="1449" w:type="dxa"/>
            <w:tcBorders>
              <w:top w:val="single" w:color="auto" w:sz="4" w:space="0"/>
              <w:left w:val="nil"/>
              <w:bottom w:val="nil"/>
              <w:right w:val="nil"/>
            </w:tcBorders>
            <w:tcMar>
              <w:top w:w="60" w:type="dxa"/>
              <w:left w:w="120" w:type="dxa"/>
              <w:bottom w:w="30" w:type="dxa"/>
              <w:right w:w="120" w:type="dxa"/>
            </w:tcMar>
            <w:vAlign w:val="center"/>
          </w:tcPr>
          <w:p w14:paraId="1A0AEFE1">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2.75</w:t>
            </w:r>
          </w:p>
        </w:tc>
        <w:tc>
          <w:tcPr>
            <w:tcW w:w="1350" w:type="dxa"/>
            <w:tcBorders>
              <w:top w:val="single" w:color="auto" w:sz="4" w:space="0"/>
              <w:left w:val="nil"/>
              <w:bottom w:val="nil"/>
              <w:right w:val="nil"/>
            </w:tcBorders>
            <w:tcMar>
              <w:top w:w="60" w:type="dxa"/>
              <w:left w:w="120" w:type="dxa"/>
              <w:bottom w:w="30" w:type="dxa"/>
              <w:right w:w="120" w:type="dxa"/>
            </w:tcMar>
            <w:vAlign w:val="center"/>
          </w:tcPr>
          <w:p w14:paraId="5DDED46C">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3.41</w:t>
            </w:r>
          </w:p>
        </w:tc>
        <w:tc>
          <w:tcPr>
            <w:tcW w:w="680" w:type="dxa"/>
            <w:tcBorders>
              <w:top w:val="single" w:color="auto" w:sz="4" w:space="0"/>
              <w:left w:val="nil"/>
              <w:bottom w:val="nil"/>
              <w:right w:val="nil"/>
            </w:tcBorders>
            <w:tcMar>
              <w:top w:w="60" w:type="dxa"/>
              <w:left w:w="120" w:type="dxa"/>
              <w:bottom w:w="30" w:type="dxa"/>
              <w:right w:w="120" w:type="dxa"/>
            </w:tcMar>
            <w:vAlign w:val="center"/>
          </w:tcPr>
          <w:p w14:paraId="3E06E290">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0.86</w:t>
            </w:r>
          </w:p>
        </w:tc>
        <w:tc>
          <w:tcPr>
            <w:tcW w:w="2026" w:type="dxa"/>
            <w:tcBorders>
              <w:top w:val="single" w:color="auto" w:sz="4" w:space="0"/>
              <w:left w:val="nil"/>
              <w:bottom w:val="nil"/>
              <w:right w:val="nil"/>
            </w:tcBorders>
            <w:tcMar>
              <w:top w:w="60" w:type="dxa"/>
              <w:left w:w="120" w:type="dxa"/>
              <w:bottom w:w="30" w:type="dxa"/>
              <w:right w:w="120" w:type="dxa"/>
            </w:tcMar>
            <w:vAlign w:val="center"/>
          </w:tcPr>
          <w:p w14:paraId="66D0D83A">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12</w:t>
            </w:r>
          </w:p>
        </w:tc>
      </w:tr>
      <w:tr w14:paraId="20E38C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776" w:type="dxa"/>
            <w:tcBorders>
              <w:top w:val="nil"/>
              <w:left w:val="nil"/>
              <w:bottom w:val="nil"/>
              <w:right w:val="nil"/>
            </w:tcBorders>
            <w:tcMar>
              <w:top w:w="60" w:type="dxa"/>
              <w:left w:w="120" w:type="dxa"/>
              <w:bottom w:w="30" w:type="dxa"/>
              <w:right w:w="120" w:type="dxa"/>
            </w:tcMar>
            <w:vAlign w:val="center"/>
          </w:tcPr>
          <w:p w14:paraId="1F90185F">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单一XGBoost模型</w:t>
            </w:r>
          </w:p>
        </w:tc>
        <w:tc>
          <w:tcPr>
            <w:tcW w:w="1449" w:type="dxa"/>
            <w:tcBorders>
              <w:top w:val="nil"/>
              <w:left w:val="nil"/>
              <w:bottom w:val="nil"/>
              <w:right w:val="nil"/>
            </w:tcBorders>
            <w:tcMar>
              <w:top w:w="60" w:type="dxa"/>
              <w:left w:w="120" w:type="dxa"/>
              <w:bottom w:w="30" w:type="dxa"/>
              <w:right w:w="120" w:type="dxa"/>
            </w:tcMar>
            <w:vAlign w:val="center"/>
          </w:tcPr>
          <w:p w14:paraId="6463C9CE">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2.42</w:t>
            </w:r>
          </w:p>
        </w:tc>
        <w:tc>
          <w:tcPr>
            <w:tcW w:w="1350" w:type="dxa"/>
            <w:tcBorders>
              <w:top w:val="nil"/>
              <w:left w:val="nil"/>
              <w:bottom w:val="nil"/>
              <w:right w:val="nil"/>
            </w:tcBorders>
            <w:tcMar>
              <w:top w:w="60" w:type="dxa"/>
              <w:left w:w="120" w:type="dxa"/>
              <w:bottom w:w="30" w:type="dxa"/>
              <w:right w:w="120" w:type="dxa"/>
            </w:tcMar>
            <w:vAlign w:val="center"/>
          </w:tcPr>
          <w:p w14:paraId="195133BC">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2.98</w:t>
            </w:r>
          </w:p>
        </w:tc>
        <w:tc>
          <w:tcPr>
            <w:tcW w:w="680" w:type="dxa"/>
            <w:tcBorders>
              <w:top w:val="nil"/>
              <w:left w:val="nil"/>
              <w:bottom w:val="nil"/>
              <w:right w:val="nil"/>
            </w:tcBorders>
            <w:tcMar>
              <w:top w:w="60" w:type="dxa"/>
              <w:left w:w="120" w:type="dxa"/>
              <w:bottom w:w="30" w:type="dxa"/>
              <w:right w:w="120" w:type="dxa"/>
            </w:tcMar>
            <w:vAlign w:val="center"/>
          </w:tcPr>
          <w:p w14:paraId="6E4CBAE3">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0.89</w:t>
            </w:r>
          </w:p>
        </w:tc>
        <w:tc>
          <w:tcPr>
            <w:tcW w:w="2026" w:type="dxa"/>
            <w:tcBorders>
              <w:top w:val="nil"/>
              <w:left w:val="nil"/>
              <w:bottom w:val="nil"/>
              <w:right w:val="nil"/>
            </w:tcBorders>
            <w:tcMar>
              <w:top w:w="60" w:type="dxa"/>
              <w:left w:w="120" w:type="dxa"/>
              <w:bottom w:w="30" w:type="dxa"/>
              <w:right w:w="120" w:type="dxa"/>
            </w:tcMar>
            <w:vAlign w:val="center"/>
          </w:tcPr>
          <w:p w14:paraId="4F055FF6">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10</w:t>
            </w:r>
          </w:p>
        </w:tc>
      </w:tr>
      <w:tr w14:paraId="3356FC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776" w:type="dxa"/>
            <w:tcBorders>
              <w:top w:val="nil"/>
              <w:left w:val="nil"/>
              <w:bottom w:val="nil"/>
              <w:right w:val="nil"/>
            </w:tcBorders>
            <w:tcMar>
              <w:top w:w="60" w:type="dxa"/>
              <w:left w:w="120" w:type="dxa"/>
              <w:bottom w:w="30" w:type="dxa"/>
              <w:right w:w="120" w:type="dxa"/>
            </w:tcMar>
            <w:vAlign w:val="center"/>
          </w:tcPr>
          <w:p w14:paraId="02BC1ED7">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GM(1,1)模型</w:t>
            </w:r>
          </w:p>
        </w:tc>
        <w:tc>
          <w:tcPr>
            <w:tcW w:w="1449" w:type="dxa"/>
            <w:tcBorders>
              <w:top w:val="nil"/>
              <w:left w:val="nil"/>
              <w:bottom w:val="nil"/>
              <w:right w:val="nil"/>
            </w:tcBorders>
            <w:tcMar>
              <w:top w:w="60" w:type="dxa"/>
              <w:left w:w="120" w:type="dxa"/>
              <w:bottom w:w="30" w:type="dxa"/>
              <w:right w:w="120" w:type="dxa"/>
            </w:tcMar>
            <w:vAlign w:val="center"/>
          </w:tcPr>
          <w:p w14:paraId="7B0C06F8">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3.89</w:t>
            </w:r>
          </w:p>
        </w:tc>
        <w:tc>
          <w:tcPr>
            <w:tcW w:w="1350" w:type="dxa"/>
            <w:tcBorders>
              <w:top w:val="nil"/>
              <w:left w:val="nil"/>
              <w:bottom w:val="nil"/>
              <w:right w:val="nil"/>
            </w:tcBorders>
            <w:tcMar>
              <w:top w:w="60" w:type="dxa"/>
              <w:left w:w="120" w:type="dxa"/>
              <w:bottom w:w="30" w:type="dxa"/>
              <w:right w:w="120" w:type="dxa"/>
            </w:tcMar>
            <w:vAlign w:val="center"/>
          </w:tcPr>
          <w:p w14:paraId="6569195F">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4.52</w:t>
            </w:r>
          </w:p>
        </w:tc>
        <w:tc>
          <w:tcPr>
            <w:tcW w:w="680" w:type="dxa"/>
            <w:tcBorders>
              <w:top w:val="nil"/>
              <w:left w:val="nil"/>
              <w:bottom w:val="nil"/>
              <w:right w:val="nil"/>
            </w:tcBorders>
            <w:tcMar>
              <w:top w:w="60" w:type="dxa"/>
              <w:left w:w="120" w:type="dxa"/>
              <w:bottom w:w="30" w:type="dxa"/>
              <w:right w:w="120" w:type="dxa"/>
            </w:tcMar>
            <w:vAlign w:val="center"/>
          </w:tcPr>
          <w:p w14:paraId="55CA0688">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0.78</w:t>
            </w:r>
          </w:p>
        </w:tc>
        <w:tc>
          <w:tcPr>
            <w:tcW w:w="2026" w:type="dxa"/>
            <w:tcBorders>
              <w:top w:val="nil"/>
              <w:left w:val="nil"/>
              <w:bottom w:val="nil"/>
              <w:right w:val="nil"/>
            </w:tcBorders>
            <w:tcMar>
              <w:top w:w="60" w:type="dxa"/>
              <w:left w:w="120" w:type="dxa"/>
              <w:bottom w:w="30" w:type="dxa"/>
              <w:right w:w="120" w:type="dxa"/>
            </w:tcMar>
            <w:vAlign w:val="center"/>
          </w:tcPr>
          <w:p w14:paraId="79336D64">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8</w:t>
            </w:r>
          </w:p>
        </w:tc>
      </w:tr>
      <w:tr w14:paraId="6D60C1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776" w:type="dxa"/>
            <w:tcBorders>
              <w:top w:val="nil"/>
              <w:left w:val="nil"/>
              <w:bottom w:val="nil"/>
              <w:right w:val="nil"/>
            </w:tcBorders>
            <w:tcMar>
              <w:top w:w="60" w:type="dxa"/>
              <w:left w:w="120" w:type="dxa"/>
              <w:bottom w:w="30" w:type="dxa"/>
              <w:right w:w="120" w:type="dxa"/>
            </w:tcMar>
            <w:vAlign w:val="center"/>
          </w:tcPr>
          <w:p w14:paraId="77B1E861">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ARIMA算法</w:t>
            </w:r>
          </w:p>
        </w:tc>
        <w:tc>
          <w:tcPr>
            <w:tcW w:w="1449" w:type="dxa"/>
            <w:tcBorders>
              <w:top w:val="nil"/>
              <w:left w:val="nil"/>
              <w:bottom w:val="nil"/>
              <w:right w:val="nil"/>
            </w:tcBorders>
            <w:tcMar>
              <w:top w:w="60" w:type="dxa"/>
              <w:left w:w="120" w:type="dxa"/>
              <w:bottom w:w="30" w:type="dxa"/>
              <w:right w:w="120" w:type="dxa"/>
            </w:tcMar>
            <w:vAlign w:val="center"/>
          </w:tcPr>
          <w:p w14:paraId="1D02F632">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3.21</w:t>
            </w:r>
          </w:p>
        </w:tc>
        <w:tc>
          <w:tcPr>
            <w:tcW w:w="1350" w:type="dxa"/>
            <w:tcBorders>
              <w:top w:val="nil"/>
              <w:left w:val="nil"/>
              <w:bottom w:val="nil"/>
              <w:right w:val="nil"/>
            </w:tcBorders>
            <w:tcMar>
              <w:top w:w="60" w:type="dxa"/>
              <w:left w:w="120" w:type="dxa"/>
              <w:bottom w:w="30" w:type="dxa"/>
              <w:right w:w="120" w:type="dxa"/>
            </w:tcMar>
            <w:vAlign w:val="center"/>
          </w:tcPr>
          <w:p w14:paraId="30622C6B">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3.87</w:t>
            </w:r>
          </w:p>
        </w:tc>
        <w:tc>
          <w:tcPr>
            <w:tcW w:w="680" w:type="dxa"/>
            <w:tcBorders>
              <w:top w:val="nil"/>
              <w:left w:val="nil"/>
              <w:bottom w:val="nil"/>
              <w:right w:val="nil"/>
            </w:tcBorders>
            <w:tcMar>
              <w:top w:w="60" w:type="dxa"/>
              <w:left w:w="120" w:type="dxa"/>
              <w:bottom w:w="30" w:type="dxa"/>
              <w:right w:w="120" w:type="dxa"/>
            </w:tcMar>
            <w:vAlign w:val="center"/>
          </w:tcPr>
          <w:p w14:paraId="56DF32C9">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0.82</w:t>
            </w:r>
          </w:p>
        </w:tc>
        <w:tc>
          <w:tcPr>
            <w:tcW w:w="2026" w:type="dxa"/>
            <w:tcBorders>
              <w:top w:val="nil"/>
              <w:left w:val="nil"/>
              <w:bottom w:val="nil"/>
              <w:right w:val="nil"/>
            </w:tcBorders>
            <w:tcMar>
              <w:top w:w="60" w:type="dxa"/>
              <w:left w:w="120" w:type="dxa"/>
              <w:bottom w:w="30" w:type="dxa"/>
              <w:right w:w="120" w:type="dxa"/>
            </w:tcMar>
            <w:vAlign w:val="center"/>
          </w:tcPr>
          <w:p w14:paraId="4F633541">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9</w:t>
            </w:r>
          </w:p>
        </w:tc>
      </w:tr>
      <w:tr w14:paraId="3CCF3E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776" w:type="dxa"/>
            <w:tcBorders>
              <w:top w:val="nil"/>
              <w:left w:val="nil"/>
              <w:bottom w:val="single" w:color="auto" w:sz="12" w:space="0"/>
              <w:right w:val="nil"/>
            </w:tcBorders>
            <w:tcMar>
              <w:top w:w="60" w:type="dxa"/>
              <w:left w:w="120" w:type="dxa"/>
              <w:bottom w:w="30" w:type="dxa"/>
              <w:right w:w="120" w:type="dxa"/>
            </w:tcMar>
            <w:vAlign w:val="center"/>
          </w:tcPr>
          <w:p w14:paraId="71D9516C">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PCA-LSTM-XGBoost融合模型</w:t>
            </w:r>
          </w:p>
        </w:tc>
        <w:tc>
          <w:tcPr>
            <w:tcW w:w="1449" w:type="dxa"/>
            <w:tcBorders>
              <w:top w:val="nil"/>
              <w:left w:val="nil"/>
              <w:bottom w:val="single" w:color="auto" w:sz="12" w:space="0"/>
              <w:right w:val="nil"/>
            </w:tcBorders>
            <w:tcMar>
              <w:top w:w="60" w:type="dxa"/>
              <w:left w:w="120" w:type="dxa"/>
              <w:bottom w:w="30" w:type="dxa"/>
              <w:right w:w="120" w:type="dxa"/>
            </w:tcMar>
            <w:vAlign w:val="center"/>
          </w:tcPr>
          <w:p w14:paraId="4DCF03FA">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1.87</w:t>
            </w:r>
          </w:p>
        </w:tc>
        <w:tc>
          <w:tcPr>
            <w:tcW w:w="1350" w:type="dxa"/>
            <w:tcBorders>
              <w:top w:val="nil"/>
              <w:left w:val="nil"/>
              <w:bottom w:val="single" w:color="auto" w:sz="12" w:space="0"/>
              <w:right w:val="nil"/>
            </w:tcBorders>
            <w:tcMar>
              <w:top w:w="60" w:type="dxa"/>
              <w:left w:w="120" w:type="dxa"/>
              <w:bottom w:w="30" w:type="dxa"/>
              <w:right w:w="120" w:type="dxa"/>
            </w:tcMar>
            <w:vAlign w:val="center"/>
          </w:tcPr>
          <w:p w14:paraId="0C9AD103">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2.32</w:t>
            </w:r>
          </w:p>
        </w:tc>
        <w:tc>
          <w:tcPr>
            <w:tcW w:w="680" w:type="dxa"/>
            <w:tcBorders>
              <w:top w:val="nil"/>
              <w:left w:val="nil"/>
              <w:bottom w:val="single" w:color="auto" w:sz="12" w:space="0"/>
              <w:right w:val="nil"/>
            </w:tcBorders>
            <w:tcMar>
              <w:top w:w="60" w:type="dxa"/>
              <w:left w:w="120" w:type="dxa"/>
              <w:bottom w:w="30" w:type="dxa"/>
              <w:right w:w="120" w:type="dxa"/>
            </w:tcMar>
            <w:vAlign w:val="center"/>
          </w:tcPr>
          <w:p w14:paraId="5AAF2D5B">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0.94</w:t>
            </w:r>
          </w:p>
        </w:tc>
        <w:tc>
          <w:tcPr>
            <w:tcW w:w="2026" w:type="dxa"/>
            <w:tcBorders>
              <w:top w:val="nil"/>
              <w:left w:val="nil"/>
              <w:bottom w:val="single" w:color="auto" w:sz="12" w:space="0"/>
              <w:right w:val="nil"/>
            </w:tcBorders>
            <w:tcMar>
              <w:top w:w="60" w:type="dxa"/>
              <w:left w:w="120" w:type="dxa"/>
              <w:bottom w:w="30" w:type="dxa"/>
              <w:right w:w="120" w:type="dxa"/>
            </w:tcMar>
            <w:vAlign w:val="center"/>
          </w:tcPr>
          <w:p w14:paraId="3E0DB19D">
            <w:pPr>
              <w:keepNext w:val="0"/>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sz w:val="22"/>
              </w:rPr>
            </w:pPr>
            <w:r>
              <w:rPr>
                <w:rFonts w:hint="eastAsia" w:ascii="宋体" w:hAnsi="宋体" w:eastAsia="宋体" w:cs="宋体"/>
                <w:sz w:val="22"/>
              </w:rPr>
              <w:t>15</w:t>
            </w:r>
          </w:p>
        </w:tc>
      </w:tr>
    </w:tbl>
    <w:p w14:paraId="71C1BB9D">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00" w:firstLineChars="0"/>
        <w:jc w:val="both"/>
        <w:textAlignment w:val="auto"/>
        <w:outlineLvl w:val="9"/>
        <w:rPr>
          <w:rFonts w:hint="eastAsia" w:ascii="宋体" w:hAnsi="宋体" w:eastAsia="宋体" w:cs="宋体"/>
          <w:sz w:val="22"/>
        </w:rPr>
      </w:pPr>
      <w:r>
        <w:rPr>
          <w:rFonts w:hint="eastAsia" w:ascii="宋体" w:hAnsi="宋体" w:eastAsia="宋体" w:cs="宋体"/>
          <w:sz w:val="22"/>
        </w:rPr>
        <w:t>场景拓展检验：将模型迁移至2022年亚运会奖牌预测场景，采用相同数据处理与建模逻辑，最终预测结果MAE=1.63枚、RMSE=2.01枚、R²=0.93，精度保持优秀水平，验证模型可迁移性强，推广价值显著。</w:t>
      </w:r>
    </w:p>
    <w:p w14:paraId="32D3543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宋体" w:hAnsi="宋体" w:eastAsia="宋体" w:cs="宋体"/>
        </w:rPr>
      </w:pPr>
      <w:bookmarkStart w:id="48" w:name="heading_49"/>
      <w:r>
        <w:rPr>
          <w:rFonts w:hint="eastAsia" w:ascii="宋体" w:hAnsi="宋体" w:eastAsia="宋体" w:cs="宋体"/>
          <w:b/>
          <w:sz w:val="24"/>
          <w:lang w:eastAsia="zh-CN"/>
        </w:rPr>
        <w:t>（</w:t>
      </w:r>
      <w:r>
        <w:rPr>
          <w:rFonts w:hint="eastAsia" w:ascii="宋体" w:hAnsi="宋体" w:eastAsia="宋体" w:cs="宋体"/>
          <w:b/>
          <w:sz w:val="24"/>
          <w:lang w:val="en-US" w:eastAsia="zh-CN"/>
        </w:rPr>
        <w:t>2</w:t>
      </w:r>
      <w:r>
        <w:rPr>
          <w:rFonts w:hint="eastAsia" w:ascii="宋体" w:hAnsi="宋体" w:eastAsia="宋体" w:cs="宋体"/>
          <w:b/>
          <w:sz w:val="24"/>
          <w:lang w:eastAsia="zh-CN"/>
        </w:rPr>
        <w:t>）</w:t>
      </w:r>
      <w:r>
        <w:rPr>
          <w:rFonts w:hint="eastAsia" w:ascii="宋体" w:hAnsi="宋体" w:eastAsia="宋体" w:cs="宋体"/>
          <w:b/>
          <w:sz w:val="24"/>
          <w:lang w:val="en-US" w:eastAsia="zh-CN"/>
        </w:rPr>
        <w:t xml:space="preserve"> </w:t>
      </w:r>
      <w:r>
        <w:rPr>
          <w:rFonts w:hint="eastAsia" w:ascii="宋体" w:hAnsi="宋体" w:eastAsia="宋体" w:cs="宋体"/>
          <w:b/>
          <w:sz w:val="24"/>
        </w:rPr>
        <w:t>针对性检验与短板优化</w:t>
      </w:r>
      <w:bookmarkEnd w:id="48"/>
    </w:p>
    <w:p w14:paraId="3E9F91A0">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rPr>
      </w:pPr>
      <w:r>
        <w:rPr>
          <w:rFonts w:hint="eastAsia" w:ascii="宋体" w:hAnsi="宋体" w:eastAsia="宋体" w:cs="宋体"/>
          <w:sz w:val="22"/>
        </w:rPr>
        <w:t>结合赛题类型补充针对性检验：预测类补充趋势一致性检验（案例中趋势一致率85%，奖牌大国一致率达92%），确保预测结果符合历史规律；因果类补充平行趋势检验（P＜0.05），验证因果关系有效性；优化类补充敏感性分析，明确参数对结果的影响程度。</w:t>
      </w:r>
    </w:p>
    <w:p w14:paraId="48835319">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outlineLvl w:val="9"/>
        <w:rPr>
          <w:rFonts w:hint="eastAsia" w:ascii="宋体" w:hAnsi="宋体" w:eastAsia="宋体" w:cs="宋体"/>
        </w:rPr>
      </w:pPr>
      <w:r>
        <w:rPr>
          <w:rFonts w:hint="eastAsia" w:ascii="宋体" w:hAnsi="宋体" w:eastAsia="宋体" w:cs="宋体"/>
          <w:sz w:val="22"/>
        </w:rPr>
        <w:t>针对模型可能存在的短板（如小样本极端场景适配不足），提出优化方案：引入注意力机制（Attention）改进LSTM层，强化关键时序节点的特征捕捉；增加样本扩充技术（SMOTE），提升小样本场景下的模型适配能力，进一步提升模型的通用性与鲁棒性。</w:t>
      </w:r>
    </w:p>
    <w:p w14:paraId="6C3F074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2"/>
        <w:rPr>
          <w:rFonts w:hint="eastAsia" w:ascii="宋体" w:hAnsi="宋体" w:eastAsia="宋体" w:cs="宋体"/>
        </w:rPr>
      </w:pPr>
      <w:bookmarkStart w:id="49" w:name="heading_50"/>
      <w:r>
        <w:rPr>
          <w:rFonts w:hint="eastAsia" w:ascii="宋体" w:hAnsi="宋体" w:eastAsia="宋体" w:cs="宋体"/>
          <w:b/>
          <w:sz w:val="28"/>
          <w:lang w:val="en-US" w:eastAsia="zh-CN"/>
        </w:rPr>
        <w:t>7</w:t>
      </w:r>
      <w:r>
        <w:rPr>
          <w:rFonts w:hint="eastAsia" w:ascii="宋体" w:hAnsi="宋体" w:eastAsia="宋体" w:cs="宋体"/>
          <w:b/>
          <w:sz w:val="28"/>
        </w:rPr>
        <w:t>.</w:t>
      </w:r>
      <w:r>
        <w:rPr>
          <w:rFonts w:hint="eastAsia" w:ascii="宋体" w:hAnsi="宋体" w:eastAsia="宋体" w:cs="宋体"/>
          <w:b/>
          <w:sz w:val="28"/>
          <w:lang w:val="en-US" w:eastAsia="zh-CN"/>
        </w:rPr>
        <w:t>1.</w:t>
      </w:r>
      <w:r>
        <w:rPr>
          <w:rFonts w:hint="eastAsia" w:ascii="宋体" w:hAnsi="宋体" w:eastAsia="宋体" w:cs="宋体"/>
          <w:b/>
          <w:sz w:val="28"/>
        </w:rPr>
        <w:t>5 模型求解结果分析（量化解读+逻辑关联）</w:t>
      </w:r>
      <w:bookmarkEnd w:id="49"/>
    </w:p>
    <w:p w14:paraId="742F276B">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rPr>
          <w:rFonts w:hint="eastAsia" w:ascii="宋体" w:hAnsi="宋体" w:eastAsia="宋体" w:cs="宋体"/>
        </w:rPr>
      </w:pPr>
      <w:r>
        <w:rPr>
          <w:rFonts w:hint="eastAsia" w:ascii="宋体" w:hAnsi="宋体" w:eastAsia="宋体" w:cs="宋体"/>
          <w:sz w:val="22"/>
        </w:rPr>
        <w:t>基于模型求解结果，从“核心结论-特征关联-异常解读”三方面展开分析，贴合赛题需求输出有价值的结论，为决策提供精准支撑：</w:t>
      </w:r>
    </w:p>
    <w:p w14:paraId="577565C8">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宋体" w:hAnsi="宋体" w:eastAsia="宋体" w:cs="宋体"/>
        </w:rPr>
      </w:pPr>
      <w:r>
        <w:rPr>
          <w:rFonts w:hint="eastAsia" w:ascii="宋体" w:hAnsi="宋体" w:eastAsia="宋体" w:cs="宋体"/>
          <w:sz w:val="22"/>
        </w:rPr>
        <w:t>核心结论：明确2028年奥运奖牌分布核心特征，中美俄仍占据奖牌榜前三，预测奖牌区间分别为[88,95]枚、[92,98]枚、[65,72]枚，综合突破概率均超78%；优势项目高度集中，田径、游泳、体操三大项目贡献度达62.3%，占各国奖牌总数的一半以上。突破国家主要集中在亚洲（如韩国、日本）、欧洲（如德国、法国）新兴体育强国，其奖牌突破概率与体育投入增幅（相关系数0.79）、优势项目数量（相关系数0.83）呈强正相关，印证了资源配置对竞技成绩的关键作用。</w:t>
      </w:r>
    </w:p>
    <w:p w14:paraId="5D6C1ACF">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宋体" w:hAnsi="宋体" w:eastAsia="宋体" w:cs="宋体"/>
        </w:rPr>
      </w:pPr>
      <w:r>
        <w:rPr>
          <w:rFonts w:hint="eastAsia" w:ascii="宋体" w:hAnsi="宋体" w:eastAsia="宋体" w:cs="宋体"/>
          <w:sz w:val="22"/>
        </w:rPr>
        <w:t>特征关联：通过Pearson相关性分析与熵权法量化，明确各因素对奖牌数量的贡献权重与关联强度。其中体育投入贡献度最高（35.2%），每增加10%的体育投入，奖牌数量平均提升4.8枚；优势项目数量次之（28.7%），新增1个优势项目可提升奖牌数3.2枚；GDP总量贡献度相对较低（18.3%），表明经济基础是支撑但非核心决定因素；过往奖牌数惯性影响（17.8%），反映竞技体育成绩的连续性。该关联规律为体育管理部门优化资源配置提供明确方向，建议优先向高贡献度因素倾斜。</w:t>
      </w:r>
    </w:p>
    <w:p w14:paraId="26E0BE2E">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宋体" w:hAnsi="宋体" w:eastAsia="宋体" w:cs="宋体"/>
        </w:rPr>
      </w:pPr>
      <w:r>
        <w:rPr>
          <w:rFonts w:hint="eastAsia" w:ascii="宋体" w:hAnsi="宋体" w:eastAsia="宋体" w:cs="宋体"/>
          <w:sz w:val="22"/>
        </w:rPr>
        <w:t>异常解读：针对个别国家预测结果与历史趋势存在偏差的情况，结合模型参数与实际场景深度剖析，确保结论合理性。例如，某东南亚国家预测奖牌数较上届提升20%（从12枚增至15枚），核心原因的为：该国近期新增3个优势项目（举重、羽毛球），体育投入增幅达15%，且通过人才引进优化了训练体系，模型中该国家的主成分特征向量权重较上届提升0.12，符合实际发展逻辑；另有某欧洲国家预测奖牌数小幅下滑8%，因该国核心项目面临规则调整，且部分顶尖运动员退役，模型通过时序特征捕捉到该衰退趋势，偏差处于合理误差范围（±5%）。</w:t>
      </w:r>
    </w:p>
    <w:p w14:paraId="08D0FA6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r>
        <w:rPr>
          <w:rFonts w:hint="eastAsia" w:ascii="宋体" w:hAnsi="宋体" w:eastAsia="宋体" w:cs="宋体"/>
          <w:b/>
          <w:bCs w:val="0"/>
          <w:sz w:val="28"/>
          <w:szCs w:val="28"/>
          <w:lang w:val="en-US" w:eastAsia="zh-CN"/>
        </w:rPr>
        <w:t>7</w:t>
      </w:r>
      <w:r>
        <w:rPr>
          <w:rFonts w:hint="eastAsia" w:ascii="宋体" w:hAnsi="宋体" w:eastAsia="宋体" w:cs="宋体"/>
          <w:b/>
          <w:bCs w:val="0"/>
          <w:sz w:val="28"/>
          <w:szCs w:val="28"/>
        </w:rPr>
        <w:t>.</w:t>
      </w:r>
      <w:r>
        <w:rPr>
          <w:rFonts w:hint="eastAsia" w:ascii="宋体" w:hAnsi="宋体" w:eastAsia="宋体" w:cs="宋体"/>
          <w:b/>
          <w:bCs w:val="0"/>
          <w:sz w:val="28"/>
          <w:szCs w:val="28"/>
          <w:lang w:val="en-US" w:eastAsia="zh-CN"/>
        </w:rPr>
        <w:t>2 问题二的模型建立与求解</w:t>
      </w:r>
    </w:p>
    <w:p w14:paraId="7CECA8A5">
      <w:pPr>
        <w:keepNext w:val="0"/>
        <w:keepLines w:val="0"/>
        <w:pageBreakBefore w:val="0"/>
        <w:widowControl w:val="0"/>
        <w:numPr>
          <w:numId w:val="0"/>
        </w:numPr>
        <w:kinsoku/>
        <w:wordWrap/>
        <w:overflowPunct/>
        <w:topLinePunct w:val="0"/>
        <w:autoSpaceDE/>
        <w:autoSpaceDN/>
        <w:bidi w:val="0"/>
        <w:adjustRightInd/>
        <w:snapToGrid/>
        <w:spacing w:line="360" w:lineRule="auto"/>
        <w:ind w:left="400" w:leftChars="0"/>
        <w:jc w:val="both"/>
        <w:textAlignment w:val="auto"/>
        <w:rPr>
          <w:rFonts w:hint="eastAsia" w:ascii="宋体" w:hAnsi="宋体" w:eastAsia="宋体" w:cs="宋体"/>
          <w:sz w:val="22"/>
          <w:lang w:val="en-US" w:eastAsia="zh-CN"/>
        </w:rPr>
      </w:pPr>
      <w:r>
        <w:rPr>
          <w:rFonts w:hint="eastAsia" w:ascii="宋体" w:hAnsi="宋体" w:eastAsia="宋体" w:cs="宋体"/>
          <w:sz w:val="22"/>
          <w:lang w:val="en-US" w:eastAsia="zh-CN"/>
        </w:rPr>
        <w:t>XXXXXXXXXXXXXXXXXXXXXXXXXXXXXXXX</w:t>
      </w:r>
    </w:p>
    <w:p w14:paraId="5FFB90D5">
      <w:pPr>
        <w:keepNext w:val="0"/>
        <w:keepLines w:val="0"/>
        <w:pageBreakBefore w:val="0"/>
        <w:widowControl w:val="0"/>
        <w:numPr>
          <w:numId w:val="0"/>
        </w:numPr>
        <w:kinsoku/>
        <w:wordWrap/>
        <w:overflowPunct/>
        <w:topLinePunct w:val="0"/>
        <w:autoSpaceDE/>
        <w:autoSpaceDN/>
        <w:bidi w:val="0"/>
        <w:adjustRightInd/>
        <w:snapToGrid/>
        <w:spacing w:line="360" w:lineRule="auto"/>
        <w:ind w:left="400" w:leftChars="0"/>
        <w:jc w:val="both"/>
        <w:textAlignment w:val="auto"/>
        <w:rPr>
          <w:rFonts w:hint="default" w:ascii="宋体" w:hAnsi="宋体" w:eastAsia="宋体" w:cs="宋体"/>
          <w:sz w:val="22"/>
          <w:lang w:val="en-US" w:eastAsia="zh-CN"/>
        </w:rPr>
      </w:pPr>
    </w:p>
    <w:p w14:paraId="5397303C">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bookmarkStart w:id="50" w:name="heading_51"/>
      <w:r>
        <w:rPr>
          <w:rFonts w:hint="eastAsia" w:ascii="宋体" w:hAnsi="宋体" w:eastAsia="宋体" w:cs="宋体"/>
          <w:b/>
          <w:sz w:val="32"/>
          <w:lang w:val="en-US" w:eastAsia="zh-CN"/>
        </w:rPr>
        <w:t>八</w:t>
      </w:r>
      <w:r>
        <w:rPr>
          <w:rFonts w:hint="eastAsia" w:ascii="宋体" w:hAnsi="宋体" w:eastAsia="宋体" w:cs="宋体"/>
          <w:b/>
          <w:sz w:val="32"/>
        </w:rPr>
        <w:t>、模型评价与推广（辩证客观，凸显价值）</w:t>
      </w:r>
      <w:bookmarkEnd w:id="50"/>
    </w:p>
    <w:p w14:paraId="66E5D412">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FF0000"/>
          <w:sz w:val="30"/>
        </w:rPr>
      </w:pPr>
      <w:bookmarkStart w:id="51" w:name="heading_52"/>
      <w:r>
        <w:rPr>
          <w:rFonts w:hint="eastAsia" w:ascii="宋体" w:hAnsi="宋体" w:eastAsia="宋体" w:cs="宋体"/>
          <w:b/>
          <w:bCs w:val="0"/>
          <w:color w:val="FF0000"/>
          <w:sz w:val="30"/>
        </w:rPr>
        <w:t>（一）填空式模板</w:t>
      </w:r>
      <w:bookmarkEnd w:id="51"/>
    </w:p>
    <w:p w14:paraId="4232F684">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lang w:val="en-US" w:eastAsia="zh-CN"/>
        </w:rPr>
      </w:pPr>
      <w:bookmarkStart w:id="52" w:name="heading_53"/>
      <w:r>
        <w:rPr>
          <w:rFonts w:hint="eastAsia" w:ascii="宋体" w:hAnsi="宋体" w:eastAsia="宋体" w:cs="宋体"/>
          <w:b/>
          <w:bCs w:val="0"/>
          <w:sz w:val="28"/>
          <w:szCs w:val="28"/>
          <w:lang w:val="en-US" w:eastAsia="zh-CN"/>
        </w:rPr>
        <w:t>8.1 模型优势（结合创新点，量化凸显优势，3点核心）</w:t>
      </w:r>
      <w:bookmarkEnd w:id="52"/>
    </w:p>
    <w:p w14:paraId="18BE7F6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本文构建的[核心模型名称，如“PCA-LSTM-XGBoost融合模型”/“熵权-TOPSIS与系统动力学耦合模型”]，针对性解决赛题核心痛点，在精度、创新性、落地性上形成三重优势，具体如下：</w:t>
      </w:r>
    </w:p>
    <w:p w14:paraId="2E189C27">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精度与稳定性双优：经[检验体系，如“四层检验体系”/“多维度验证”]验证，核心指标（预测类：MAE=XX、RMSE=XX、R²=XX≥0.9；评价类：准确率=XX%、Kappa系数=XX≥0.85）均达领域优秀水平，相较于单一模型/传统算法精度平均提升XX%；参数波动±10%时核心指标波动幅度＜5%，数据扰动下变异系数≤0.03，抗干扰能力与稳定性显著优于同类模型。</w:t>
      </w:r>
    </w:p>
    <w:p w14:paraId="75C4786E">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创新逻辑贴合场景：并非简单叠加多模型/算法，而是构建[创新逻辑，如“数据预处理-维度优化-核心建模-检验优化”全链条闭环/“静态评价-动态预测-协同耦合”逻辑]，各模块功能互补、递进衔接，针对性解决[赛题痛点，如“多因素耦合、小样本过拟合”/“静态与动态脱节、权重主观”]，创新点兼具理论深度与场景适配性，区别于传统建模思路。</w:t>
      </w:r>
    </w:p>
    <w:p w14:paraId="21149E98">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落地性与可操作性强：模型基于[工具，如Python/R/MATLAB]平台实现，求解流程标准化、代码可复用，单次求解时间≤XX分钟，效率满足赛题时间约束；输出结果为[量化形式，如“预测区间+突破概率”/“评价等级+治理路径”]，而非抽象结论，可直接为[决策主体，如“体育管理部门”/“环保部门”]提供精准决策支撑，实用性远超纯理论模型。</w:t>
      </w:r>
    </w:p>
    <w:p w14:paraId="2823D3C6">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53" w:name="heading_54"/>
      <w:r>
        <w:rPr>
          <w:rFonts w:hint="eastAsia" w:ascii="宋体" w:hAnsi="宋体" w:eastAsia="宋体" w:cs="宋体"/>
          <w:b/>
          <w:bCs w:val="0"/>
          <w:sz w:val="28"/>
          <w:szCs w:val="28"/>
          <w:lang w:val="en-US" w:eastAsia="zh-CN"/>
        </w:rPr>
        <w:t>8</w:t>
      </w:r>
      <w:r>
        <w:rPr>
          <w:rFonts w:hint="eastAsia" w:ascii="宋体" w:hAnsi="宋体" w:eastAsia="宋体" w:cs="宋体"/>
          <w:b/>
          <w:bCs w:val="0"/>
          <w:sz w:val="28"/>
          <w:szCs w:val="28"/>
        </w:rPr>
        <w:t>.2 模型不足（辩证客观，不回避短板，体现严谨性，2-3点）</w:t>
      </w:r>
      <w:bookmarkEnd w:id="53"/>
    </w:p>
    <w:p w14:paraId="37DAB91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结合建模过程与场景特性，模型存在固有短板，需客观正视，且经验证短板对核心结论影响可控，具体如下：</w:t>
      </w:r>
    </w:p>
    <w:p w14:paraId="2B41BA55">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场景适配局限：模型对[常规场景/样本，如“常规时序样本、中大型样本”/“全域指标数据、稳定场景”]拟合效果优异，但在[极端场景/样本，如“极端小样本、突发场景”/“局部小众指标、波动场景”]下，存在[具体不足，如“时序特征捕捉不充分、误差偏高”/“评价精度下降、适配性不足”]问题，误差较常规场景高3-5%，虽通过[缓解措施，如“样本补全、参数调整”/“指标筛选、权重修正”]缓解，但未完全消除。</w:t>
      </w:r>
    </w:p>
    <w:p w14:paraId="3DC5E750">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因素/维度考量边界：建模中暂忽略[次要因素/维度，如“极低概率不可抗力、微观偶然因素”/“小众次要指标、短期波动因素”]，经验证此类因素对核心结果影响＜1%，可显著简化模型复杂度、提升求解效率，但在极端特殊场景下，可能导致结果与实际存在轻微偏差，模型通用性受一定限制。</w:t>
      </w:r>
    </w:p>
    <w:p w14:paraId="349E177C">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技术层面短板（可选）：模型在[技术环节，如“求解效率、结构复杂度”/“参数迭代速度、数据依赖度”]上存在优化空间，如当前求解时间略长、模型结构较复杂，对硬件配置有一定要求，不利于快速部署与推广。</w:t>
      </w:r>
    </w:p>
    <w:p w14:paraId="1DF1A238">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54" w:name="heading_55"/>
      <w:r>
        <w:rPr>
          <w:rFonts w:hint="eastAsia" w:ascii="宋体" w:hAnsi="宋体" w:eastAsia="宋体" w:cs="宋体"/>
          <w:b/>
          <w:bCs w:val="0"/>
          <w:sz w:val="28"/>
          <w:szCs w:val="28"/>
          <w:lang w:val="en-US" w:eastAsia="zh-CN"/>
        </w:rPr>
        <w:t>8</w:t>
      </w:r>
      <w:r>
        <w:rPr>
          <w:rFonts w:hint="eastAsia" w:ascii="宋体" w:hAnsi="宋体" w:eastAsia="宋体" w:cs="宋体"/>
          <w:b/>
          <w:bCs w:val="0"/>
          <w:sz w:val="28"/>
          <w:szCs w:val="28"/>
        </w:rPr>
        <w:t>.3 模型改进方向（针对性解决不足，提出可落地方案）</w:t>
      </w:r>
      <w:bookmarkEnd w:id="54"/>
    </w:p>
    <w:p w14:paraId="268ABDC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针对上述不足，结合领域前沿技术与建模需求，提出具体改进方案，可进一步提升模型性能与通用性，具体如下：</w:t>
      </w:r>
    </w:p>
    <w:p w14:paraId="68FC0DA0">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优化场景适配能力：针对[极端场景/样本]适配不足问题，引入[技术/方法，如“注意力机制（Attention）+SMOTE样本扩充”/“自适应权重调整+局部插值”]，强化关键特征捕捉/样本代表性，预计可将极端场景误差降低40%以上，提升模型对小众场景/样本的适配精度。</w:t>
      </w:r>
    </w:p>
    <w:p w14:paraId="24DDCDCC">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完善因素/维度体系：构建“核心因素+次要因素+突发因素”三层指标/因素体系，通过[方法，如“熵权法动态调整权重”/“阈值触发机制”]平衡核心与次要因素影响，引入[模拟方法，如“蒙特卡洛模拟”/“情景分析法”]量化突发因素对结果的影响，增强模型抗突发风险能力与通用性。</w:t>
      </w:r>
    </w:p>
    <w:p w14:paraId="44D3AD83">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轻量化与高效化优化（可选）：针对技术层面短板，采用[方法，如“剪枝算法、维度压缩”/“自适应参数初始化、并行计算”]优化模型结构/求解流程，预计可将求解效率提升XX%，降低硬件配置依赖，实现模型快速部署与推广。</w:t>
      </w:r>
    </w:p>
    <w:p w14:paraId="31941A7F">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55" w:name="heading_56"/>
      <w:r>
        <w:rPr>
          <w:rFonts w:hint="eastAsia" w:ascii="宋体" w:hAnsi="宋体" w:eastAsia="宋体" w:cs="宋体"/>
          <w:b/>
          <w:bCs w:val="0"/>
          <w:sz w:val="28"/>
          <w:szCs w:val="28"/>
          <w:lang w:val="en-US" w:eastAsia="zh-CN"/>
        </w:rPr>
        <w:t>8</w:t>
      </w:r>
      <w:r>
        <w:rPr>
          <w:rFonts w:hint="eastAsia" w:ascii="宋体" w:hAnsi="宋体" w:eastAsia="宋体" w:cs="宋体"/>
          <w:b/>
          <w:bCs w:val="0"/>
          <w:sz w:val="28"/>
          <w:szCs w:val="28"/>
        </w:rPr>
        <w:t>.4 模型推广价值（多维拓展，凸显理论与现实意义）</w:t>
      </w:r>
      <w:bookmarkEnd w:id="55"/>
    </w:p>
    <w:p w14:paraId="39D9EE4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模型核心逻辑与技术框架具有极强的可迁移性，可推广至多领域同类问题，理论与现实价值显著，具体如下：</w:t>
      </w:r>
    </w:p>
    <w:p w14:paraId="2E2531A1">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同类场景推广：可直接迁移至[同类场景，如“亚运会/世锦赛成绩预测”/“相邻区域生态环境评价”]，仅需调整[适配内容，如“输入变量、数据范围”/“指标体系、约束条件”]，即可快速适配，经[验证场景，如“2022年亚运会”/“某区域试点”]验证，核心精度指标保持优秀水平（R²/准确率≥XX）。</w:t>
      </w:r>
    </w:p>
    <w:p w14:paraId="025A8A98">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跨领域推广：核心建模逻辑/框架可推广至[跨领域问题，如“客流预测、经济指标时序预测”/“公共服务质量评价、资源配置优化”]，对同类[问题类型，如“多因素时序预测”/“静态动态协同评价”]问题具有普适性，可有效解决行业核心痛点。</w:t>
      </w:r>
    </w:p>
    <w:p w14:paraId="081D13C0">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理论与实践价值：模型构建的[核心范式，如“全链条闭环建模+多维度检验”/“静态评价与动态预测耦合”]，可为同类建模提供标准化范式；落地成果可为[相关领域，如“体育、交通”/“环保、公共管理”]部门决策提供科学支撑，助力提升决策效率与精准度，兼具理论参考与现实应用意义。</w:t>
      </w:r>
    </w:p>
    <w:p w14:paraId="3AD1EDEE">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color w:val="0A30F4"/>
          <w:sz w:val="30"/>
        </w:rPr>
      </w:pPr>
      <w:bookmarkStart w:id="56" w:name="heading_57"/>
      <w:r>
        <w:rPr>
          <w:rFonts w:hint="eastAsia" w:ascii="宋体" w:hAnsi="宋体" w:eastAsia="宋体" w:cs="宋体"/>
          <w:b/>
          <w:color w:val="0A30F4"/>
          <w:sz w:val="30"/>
        </w:rPr>
        <w:t>（二）具体写作案例（预测类·奥运奖牌预测）</w:t>
      </w:r>
      <w:bookmarkEnd w:id="56"/>
    </w:p>
    <w:p w14:paraId="12FB4D0C">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57" w:name="heading_58"/>
      <w:r>
        <w:rPr>
          <w:rFonts w:hint="eastAsia" w:ascii="宋体" w:hAnsi="宋体" w:eastAsia="宋体" w:cs="宋体"/>
          <w:b/>
          <w:bCs w:val="0"/>
          <w:color w:val="0A30F4"/>
          <w:sz w:val="28"/>
          <w:szCs w:val="28"/>
          <w:lang w:val="en-US" w:eastAsia="zh-CN"/>
        </w:rPr>
        <w:t>8</w:t>
      </w:r>
      <w:r>
        <w:rPr>
          <w:rFonts w:hint="eastAsia" w:ascii="宋体" w:hAnsi="宋体" w:eastAsia="宋体" w:cs="宋体"/>
          <w:b/>
          <w:bCs w:val="0"/>
          <w:color w:val="0A30F4"/>
          <w:sz w:val="28"/>
          <w:szCs w:val="28"/>
        </w:rPr>
        <w:t>.1 模型优势（结合创新点，量化凸显优势）</w:t>
      </w:r>
      <w:bookmarkEnd w:id="57"/>
    </w:p>
    <w:p w14:paraId="5352BED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本文构建的PCA-LSTM-XGBoost融合模型，在精度、鲁棒性、创新性与落地性上形成多重优势，完全适配赛题复杂场景需求，具体体现在三方面：</w:t>
      </w:r>
    </w:p>
    <w:p w14:paraId="7A041A6E">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精度与稳定性双优：经四层检验体系验证，模型MAE=1.87、RMSE=2.32、R²=0.94，相较于单一模型精度平均提升18.3%，参数波动±10%时核心指标波动幅度＜1.2%，数据扰动下变异系数≤0.025，抗干扰能力与稳定性显著优于传统模型，达到美赛O奖核心精度标准。</w:t>
      </w:r>
    </w:p>
    <w:p w14:paraId="5DB814AD">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创新逻辑贴合场景：并非简单叠加多模型，而是构建“数据预处理-维度优化-时序捕捉-精度优化”全链条闭环，PCA降维解决维度冗余问题，LSTM捕捉时序动态特征，XGBoost修正过拟合偏差，三者功能互补、递进耦合，针对性解决“多因素耦合、时序性强、小样本过拟合”的赛题痛点，创新点兼具理论深度与场景适配性。</w:t>
      </w:r>
    </w:p>
    <w:p w14:paraId="3917AC58">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落地性与可操作性强：模型基于Python平台实现，求解流程标准化、代码可复用，单次求解时间仅15分钟，效率满足赛题时间约束；输出结果为量化区间与概率值（如奖牌预测区间、突破概率），而非抽象结论，可直接为体育管理部门制定训练计划、配置资源提供明确依据，实用性远超纯理论模型。</w:t>
      </w:r>
    </w:p>
    <w:p w14:paraId="462A7487">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58" w:name="heading_59"/>
      <w:r>
        <w:rPr>
          <w:rFonts w:hint="eastAsia" w:ascii="宋体" w:hAnsi="宋体" w:eastAsia="宋体" w:cs="宋体"/>
          <w:b/>
          <w:bCs w:val="0"/>
          <w:color w:val="0A30F4"/>
          <w:sz w:val="28"/>
          <w:szCs w:val="28"/>
          <w:lang w:val="en-US" w:eastAsia="zh-CN"/>
        </w:rPr>
        <w:t>8</w:t>
      </w:r>
      <w:r>
        <w:rPr>
          <w:rFonts w:hint="eastAsia" w:ascii="宋体" w:hAnsi="宋体" w:eastAsia="宋体" w:cs="宋体"/>
          <w:b/>
          <w:bCs w:val="0"/>
          <w:color w:val="0A30F4"/>
          <w:sz w:val="28"/>
          <w:szCs w:val="28"/>
        </w:rPr>
        <w:t>.2 模型不足（辩证客观，不回避短板，体现严谨性）</w:t>
      </w:r>
      <w:bookmarkEnd w:id="58"/>
    </w:p>
    <w:p w14:paraId="3BFC5F0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结合建模过程与场景特性，模型存在两点固有不足，需客观正视：</w:t>
      </w:r>
    </w:p>
    <w:p w14:paraId="795C31AF">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小样本极端场景适配有限：模型对常规时序数据拟合精度优异，但在极端小样本场景（如某国家仅3届参赛数据）下，LSTM层时序特征捕捉不充分，预测误差较常规样本高3-5%，虽通过灰色GM(1,1)模型补全数据缓解该问题，但未完全消除短板。</w:t>
      </w:r>
    </w:p>
    <w:p w14:paraId="5216FB0B">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因素考量存在边界局限：建模中暂忽略极低概率不可抗力因素（如重大疫情、赛事规则剧变）与次要微观因素（如运动员心理状态、临场发挥），虽经验证对核心结果影响＜1%，但在极端特殊场景下，可能导致预测结果与实际存在偏差，模型通用性受一定限制。</w:t>
      </w:r>
    </w:p>
    <w:p w14:paraId="5457532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59" w:name="heading_60"/>
      <w:r>
        <w:rPr>
          <w:rFonts w:hint="eastAsia" w:ascii="宋体" w:hAnsi="宋体" w:eastAsia="宋体" w:cs="宋体"/>
          <w:b/>
          <w:bCs w:val="0"/>
          <w:color w:val="0A30F4"/>
          <w:sz w:val="28"/>
          <w:szCs w:val="28"/>
          <w:lang w:val="en-US" w:eastAsia="zh-CN"/>
        </w:rPr>
        <w:t>8</w:t>
      </w:r>
      <w:r>
        <w:rPr>
          <w:rFonts w:hint="eastAsia" w:ascii="宋体" w:hAnsi="宋体" w:eastAsia="宋体" w:cs="宋体"/>
          <w:b/>
          <w:bCs w:val="0"/>
          <w:color w:val="0A30F4"/>
          <w:sz w:val="28"/>
          <w:szCs w:val="28"/>
        </w:rPr>
        <w:t>.3 模型改进方向（针对性解决不足，提出可落地优化方案）</w:t>
      </w:r>
      <w:bookmarkEnd w:id="59"/>
    </w:p>
    <w:p w14:paraId="2224CF7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针对上述不足，结合领域前沿技术，提出三点具体改进方案，进一步提升模型性能：</w:t>
      </w:r>
    </w:p>
    <w:p w14:paraId="1C0904B4">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优化小样本适配能力：引入注意力机制（Attention）改进LSTM层，强化关键时序节点的特征权重，同时结合SMOTE样本扩充技术，对小样本数据进行合理扩充，预计可将极端小样本场景误差降低40%以上，提升模型对小众国家的预测精度。</w:t>
      </w:r>
    </w:p>
    <w:p w14:paraId="2135F5B0">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完善因素考量体系：构建“核心因素+次要因素+突发因素”三层指标体系，通过熵权法动态调整各因素权重，对突发因素设置阈值触发机制（如规则调整时权重临时修正），同时引入蒙特卡洛模拟，量化突发因素对结果的影响，增强模型抗突发风险能力。</w:t>
      </w:r>
    </w:p>
    <w:p w14:paraId="7B9CDCC7">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轻量化模型结构：针对当前模型求解时间略长的问题，采用剪枝算法对XGBoost决策树进行优化，剔除冗余分支，同时简化PCA主成分提取维度（在累计方差贡献率≥85%前提下压缩至3个主成分），预计可将求解效率提升25%，兼顾精度与速度。</w:t>
      </w:r>
    </w:p>
    <w:p w14:paraId="46B8B04D">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60" w:name="heading_61"/>
      <w:r>
        <w:rPr>
          <w:rFonts w:hint="eastAsia" w:ascii="宋体" w:hAnsi="宋体" w:eastAsia="宋体" w:cs="宋体"/>
          <w:b/>
          <w:bCs w:val="0"/>
          <w:color w:val="0A30F4"/>
          <w:sz w:val="28"/>
          <w:szCs w:val="28"/>
          <w:lang w:val="en-US" w:eastAsia="zh-CN"/>
        </w:rPr>
        <w:t>8</w:t>
      </w:r>
      <w:r>
        <w:rPr>
          <w:rFonts w:hint="eastAsia" w:ascii="宋体" w:hAnsi="宋体" w:eastAsia="宋体" w:cs="宋体"/>
          <w:b/>
          <w:bCs w:val="0"/>
          <w:color w:val="0A30F4"/>
          <w:sz w:val="28"/>
          <w:szCs w:val="28"/>
        </w:rPr>
        <w:t>.4 模型推广价值（多维拓展，凸显理论与现实意义）</w:t>
      </w:r>
      <w:bookmarkEnd w:id="60"/>
    </w:p>
    <w:p w14:paraId="2462482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模型核心逻辑与技术框架具有极强的可迁移性，可推广至多领域同类问题，价值显著：</w:t>
      </w:r>
    </w:p>
    <w:p w14:paraId="6F525C09">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同类赛事场景推广：可直接迁移至亚运会、世锦赛、冬奥会等赛事的成绩预测与突破国家识别，仅需调整输入变量（如冬季项目指标、区域赛事数据），即可实现快速适配，已通过2022年亚运会场景验证，精度保持R²≥0.93。</w:t>
      </w:r>
    </w:p>
    <w:p w14:paraId="45DDCD73">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时序预测领域推广：核心融合逻辑可推广至客流预测、经济指标预测、环境质量时序预测等同类问题，PCA-LSTM-XGBoost框架对多因素时序数据的处理优势，可有效解决此类问题的核心痛点，具备广泛应用前景。</w:t>
      </w:r>
    </w:p>
    <w:p w14:paraId="30F0E8FE">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理论与实践价值：模型构建的“全链条闭环+四层检验体系”，可为同类融合建模提供标准化范式；落地成果可为体育、交通、环保等领域决策提供科学支撑，助力提升决策效率与精准度，兼具理论参考价值与现实应用意义。</w:t>
      </w:r>
    </w:p>
    <w:p w14:paraId="16C2E326">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A30F4"/>
          <w:sz w:val="22"/>
        </w:rPr>
      </w:pPr>
    </w:p>
    <w:p w14:paraId="6C13411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A30F4"/>
          <w:sz w:val="22"/>
        </w:rPr>
      </w:pPr>
    </w:p>
    <w:p w14:paraId="700A32C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0"/>
        <w:rPr>
          <w:rFonts w:hint="eastAsia" w:ascii="宋体" w:hAnsi="宋体" w:eastAsia="宋体" w:cs="宋体"/>
          <w:b/>
          <w:sz w:val="32"/>
        </w:rPr>
      </w:pPr>
      <w:bookmarkStart w:id="61" w:name="heading_62"/>
      <w:r>
        <w:rPr>
          <w:rFonts w:hint="eastAsia" w:ascii="宋体" w:hAnsi="宋体" w:eastAsia="宋体" w:cs="宋体"/>
          <w:b/>
          <w:sz w:val="32"/>
          <w:lang w:val="en-US" w:eastAsia="zh-CN"/>
        </w:rPr>
        <w:t>九</w:t>
      </w:r>
      <w:r>
        <w:rPr>
          <w:rFonts w:hint="eastAsia" w:ascii="宋体" w:hAnsi="宋体" w:eastAsia="宋体" w:cs="宋体"/>
          <w:b/>
          <w:sz w:val="32"/>
        </w:rPr>
        <w:t>、结论与展望（总结凝练，升华价值）</w:t>
      </w:r>
      <w:bookmarkEnd w:id="61"/>
    </w:p>
    <w:p w14:paraId="0AE3EDEC">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color w:val="FF0000"/>
          <w:sz w:val="30"/>
        </w:rPr>
      </w:pPr>
      <w:bookmarkStart w:id="62" w:name="heading_63"/>
      <w:r>
        <w:rPr>
          <w:rFonts w:hint="eastAsia" w:ascii="宋体" w:hAnsi="宋体" w:eastAsia="宋体" w:cs="宋体"/>
          <w:b/>
          <w:color w:val="FF0000"/>
          <w:sz w:val="30"/>
        </w:rPr>
        <w:t>（一）填空式模板（分核心结论、研究展望，逻辑递进）</w:t>
      </w:r>
      <w:bookmarkEnd w:id="62"/>
    </w:p>
    <w:p w14:paraId="43D52B9C">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63" w:name="heading_64"/>
      <w:r>
        <w:rPr>
          <w:rFonts w:hint="eastAsia" w:ascii="宋体" w:hAnsi="宋体" w:eastAsia="宋体" w:cs="宋体"/>
          <w:b/>
          <w:bCs w:val="0"/>
          <w:sz w:val="28"/>
          <w:szCs w:val="28"/>
          <w:lang w:val="en-US" w:eastAsia="zh-CN"/>
        </w:rPr>
        <w:t>9</w:t>
      </w:r>
      <w:r>
        <w:rPr>
          <w:rFonts w:hint="eastAsia" w:ascii="宋体" w:hAnsi="宋体" w:eastAsia="宋体" w:cs="宋体"/>
          <w:b/>
          <w:bCs w:val="0"/>
          <w:sz w:val="28"/>
          <w:szCs w:val="28"/>
        </w:rPr>
        <w:t>.1 核心结论（精准对应赛题，凝练全文成果，量化呈现）</w:t>
      </w:r>
      <w:bookmarkEnd w:id="63"/>
    </w:p>
    <w:p w14:paraId="52B36BC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本文围绕[赛题主问题，如“2028年奥运奖牌数量精准预测与突破国家识别”/“区域生态环境质量综合评价与治理路径”]问题，构建[核心模型名称]，经数据处理、建模求解、多维度检验，形成三大核心结论，全面回应赛题需求：</w:t>
      </w:r>
    </w:p>
    <w:p w14:paraId="728581B8">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数据处理层面：采用[数据处理方法，如“3σ准则+灰色GM(1,1)+PCA”/“异常值剔除+标准化+指标筛选”]方法，有效解决原始数据[问题，如“异常值、缺失值、维度冗余”/“量纲不统一、指标重叠”]问题，处理后数据可信度达XX%，累计方差贡献率/指标一致性系数≥XX%，为后续建模提供高质量输入，该方法对[数据类型，如“小样本、高维度时序数据”/“多指标、混合类型数据”]具有普适性。</w:t>
      </w:r>
    </w:p>
    <w:p w14:paraId="0F69C372">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建模求解层面：通过[建模逻辑，如“递进式耦合、参数优化”/“静态与动态协同、多目标优化”]，模型核心指标达[量化值]，输出[核心结果，如“奖牌预测区间及突破概率、影响因素贡献度排序”/“生态质量等级、治理路径优先级”]，核心影响因素贡献度排序为：[因素1（XX%）＞因素2（XX%）＞因素3（XX%）]，明确核心驱动/制约因素，为决策提供精准依据。</w:t>
      </w:r>
    </w:p>
    <w:p w14:paraId="27116204">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模型价值层面：构建的[核心模型/框架]兼具高精度、强鲁棒性与高落地性，有效弥补传统单一模型/算法的短板，不仅能精准解决本次赛题问题，其核心逻辑与技术框架可迁移至同类[问题类型，如“时序预测、多因素优化”/“综合评价、动态预判”]问题，具备广泛的推广价值与应用前景。</w:t>
      </w:r>
    </w:p>
    <w:p w14:paraId="08CA938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sz w:val="28"/>
          <w:szCs w:val="28"/>
        </w:rPr>
      </w:pPr>
      <w:bookmarkStart w:id="64" w:name="heading_65"/>
      <w:r>
        <w:rPr>
          <w:rFonts w:hint="eastAsia" w:ascii="宋体" w:hAnsi="宋体" w:eastAsia="宋体" w:cs="宋体"/>
          <w:b/>
          <w:bCs w:val="0"/>
          <w:sz w:val="28"/>
          <w:szCs w:val="28"/>
          <w:lang w:val="en-US" w:eastAsia="zh-CN"/>
        </w:rPr>
        <w:t>9</w:t>
      </w:r>
      <w:r>
        <w:rPr>
          <w:rFonts w:hint="eastAsia" w:ascii="宋体" w:hAnsi="宋体" w:eastAsia="宋体" w:cs="宋体"/>
          <w:b/>
          <w:bCs w:val="0"/>
          <w:sz w:val="28"/>
          <w:szCs w:val="28"/>
        </w:rPr>
        <w:t>.2 研究展望（立足前沿，拓展维度，升华全文）</w:t>
      </w:r>
      <w:bookmarkEnd w:id="64"/>
    </w:p>
    <w:p w14:paraId="382F985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rPr>
      </w:pPr>
      <w:r>
        <w:rPr>
          <w:rFonts w:hint="eastAsia" w:ascii="宋体" w:hAnsi="宋体" w:eastAsia="宋体" w:cs="宋体"/>
          <w:sz w:val="22"/>
        </w:rPr>
        <w:t>基于本文研究成果，结合领域发展趋势与模型短板，从技术升级、范围拓展、跨领域应用三个维度提出未来研究方向，进一步拓展研究深度与广度：</w:t>
      </w:r>
    </w:p>
    <w:p w14:paraId="3EE89076">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技术融合升级：未来可引入[前沿技术/方法，如“强化学习（RL）+深度学习”/“大数据+物联网技术”]，优化模型核心结构，让模型具备[能力，如“动态自适应调整、实时响应变化”/“实时数据采集、动态建模预判”]能力，实现从“静态建模/预测”向“动态自适应优化”的升级，进一步提升结果精准度与通用性。</w:t>
      </w:r>
    </w:p>
    <w:p w14:paraId="6D54D054">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研究范围拓展：可将研究范围从[当前范围，如“国家层面、全域指标”/“区域层面、核心因素”]延伸至[拓展范围，如“项目层面、细分指标”/“微观层面、小众场景”]，构建细分模型，聚焦[具体对象，如“单项奖牌分布、专项治理措施”/“微观指标影响、小众群体适配”]，细化研究成果的落地场景，提升成果的针对性与实用性。</w:t>
      </w:r>
    </w:p>
    <w:p w14:paraId="611EF722">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rPr>
      </w:pPr>
      <w:r>
        <w:rPr>
          <w:rFonts w:hint="eastAsia" w:ascii="宋体" w:hAnsi="宋体" w:eastAsia="宋体" w:cs="宋体"/>
          <w:sz w:val="22"/>
        </w:rPr>
        <w:t>跨领域融合应用：推动模型框架与[跨领域技术/场景，如“智慧城市、生态治理”/“公共服务、产业优化”]深度融合，引入[数据类型，如“实时动态数据、微观监测数据”/“多源异构数据、行业专项数据”]，构建“数据采集-建模预测-决策输出”的智能决策体系，最大化研究成果的理论价值与现实应用价值。</w:t>
      </w:r>
    </w:p>
    <w:p w14:paraId="6BF80D0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color w:val="0A30F4"/>
          <w:sz w:val="30"/>
        </w:rPr>
      </w:pPr>
      <w:bookmarkStart w:id="65" w:name="heading_66"/>
      <w:r>
        <w:rPr>
          <w:rFonts w:hint="eastAsia" w:ascii="宋体" w:hAnsi="宋体" w:eastAsia="宋体" w:cs="宋体"/>
          <w:b/>
          <w:color w:val="0A30F4"/>
          <w:sz w:val="30"/>
        </w:rPr>
        <w:t>（二）具体写作案例（预测类·奥运奖牌预测）</w:t>
      </w:r>
      <w:bookmarkEnd w:id="65"/>
    </w:p>
    <w:p w14:paraId="5ADB7AC0">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66" w:name="heading_67"/>
      <w:r>
        <w:rPr>
          <w:rFonts w:hint="eastAsia" w:ascii="宋体" w:hAnsi="宋体" w:eastAsia="宋体" w:cs="宋体"/>
          <w:b/>
          <w:bCs w:val="0"/>
          <w:color w:val="0A30F4"/>
          <w:sz w:val="28"/>
          <w:szCs w:val="28"/>
          <w:lang w:val="en-US" w:eastAsia="zh-CN"/>
        </w:rPr>
        <w:t>9</w:t>
      </w:r>
      <w:r>
        <w:rPr>
          <w:rFonts w:hint="eastAsia" w:ascii="宋体" w:hAnsi="宋体" w:eastAsia="宋体" w:cs="宋体"/>
          <w:b/>
          <w:bCs w:val="0"/>
          <w:color w:val="0A30F4"/>
          <w:sz w:val="28"/>
          <w:szCs w:val="28"/>
        </w:rPr>
        <w:t>.1 核心结论（精准对应赛题，凝练全文成果，量化呈现）</w:t>
      </w:r>
      <w:bookmarkEnd w:id="66"/>
    </w:p>
    <w:p w14:paraId="4CD39F8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本文围绕2028年夏季奥运会奖牌数量精准预测与突破国家识别问题，构建PCA-LSTM-XGBoost融合模型，经数据处理、建模求解、多维度检验，形成三大核心结论，全面回应赛题需求：</w:t>
      </w:r>
    </w:p>
    <w:p w14:paraId="5A55329D">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数据处理层面：采用“3σ准则+灰色GM(1,1)+PCA”三步法，可有效解决原始数据异常值、缺失值与维度冗余问题，处理后数据可信度达96.8%，累计方差贡献率88.6%，为后续建模提供高质量输入，该方法对小样本、高维度时序数据具有普适性。</w:t>
      </w:r>
    </w:p>
    <w:p w14:paraId="031043CF">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建模求解层面：融合模型通过递进式耦合逻辑，实现时序特征捕捉与精度优化的协同，经微分进化算法优化参数后，预测精度达R²=0.94，输出2028年奥运奖牌分布核心结果——中美俄稳居前三，亚洲、欧洲新兴体育强国实现突破，核心影响因素贡献度排序为：体育投入（35.2%）＞优势项目数量（28.7%）＞GDP总量（18.3%）＞过往成绩惯性（17.8%）。</w:t>
      </w:r>
    </w:p>
    <w:p w14:paraId="5550C7D5">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模型价值层面：模型兼具高精度、强鲁棒性与高落地性，不仅能精准预测奖牌数量与突破国家，其核心逻辑可迁移至多领域时序预测问题，为相关部门决策提供科学支撑，有效弥补传统单一模型的短板。</w:t>
      </w:r>
    </w:p>
    <w:p w14:paraId="737C10E2">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28"/>
          <w:szCs w:val="28"/>
        </w:rPr>
      </w:pPr>
      <w:bookmarkStart w:id="67" w:name="heading_68"/>
      <w:r>
        <w:rPr>
          <w:rFonts w:hint="eastAsia" w:ascii="宋体" w:hAnsi="宋体" w:eastAsia="宋体" w:cs="宋体"/>
          <w:b/>
          <w:bCs w:val="0"/>
          <w:color w:val="0A30F4"/>
          <w:sz w:val="28"/>
          <w:szCs w:val="28"/>
          <w:lang w:val="en-US" w:eastAsia="zh-CN"/>
        </w:rPr>
        <w:t>9</w:t>
      </w:r>
      <w:r>
        <w:rPr>
          <w:rFonts w:hint="eastAsia" w:ascii="宋体" w:hAnsi="宋体" w:eastAsia="宋体" w:cs="宋体"/>
          <w:b/>
          <w:bCs w:val="0"/>
          <w:color w:val="0A30F4"/>
          <w:sz w:val="28"/>
          <w:szCs w:val="28"/>
        </w:rPr>
        <w:t>.2 研究展望（立足前沿，拓展维度，升华全文）</w:t>
      </w:r>
      <w:bookmarkEnd w:id="67"/>
    </w:p>
    <w:p w14:paraId="273BE24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宋体" w:hAnsi="宋体" w:eastAsia="宋体" w:cs="宋体"/>
          <w:color w:val="0A30F4"/>
        </w:rPr>
      </w:pPr>
      <w:r>
        <w:rPr>
          <w:rFonts w:hint="eastAsia" w:ascii="宋体" w:hAnsi="宋体" w:eastAsia="宋体" w:cs="宋体"/>
          <w:color w:val="0A30F4"/>
          <w:sz w:val="22"/>
        </w:rPr>
        <w:t>基于本文研究成果，结合领域发展趋势，从三个维度提出未来研究方向，拓展研究深度与广度：</w:t>
      </w:r>
    </w:p>
    <w:p w14:paraId="3BAF15BF">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技术融合升级：未来可引入深度学习与强化学习（RL）结合的框架，让模型具备动态自适应调整能力，实时响应赛事规则变化、运动员状态波动等动态因素，实现从“静态预测”向“动态预判”的升级，进一步提升结果精准度。</w:t>
      </w:r>
    </w:p>
    <w:p w14:paraId="23A0415D">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研究范围拓展：可将研究范围从国家层面延伸至项目层面，针对具体优势项目（如田径、游泳）构建细分模型，预测单项奖牌分布与突破点，为专项训练计划制定提供更精准的支撑，细化研究成果的落地场景。</w:t>
      </w:r>
    </w:p>
    <w:p w14:paraId="638CF671">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rPr>
      </w:pPr>
      <w:r>
        <w:rPr>
          <w:rFonts w:hint="eastAsia" w:ascii="宋体" w:hAnsi="宋体" w:eastAsia="宋体" w:cs="宋体"/>
          <w:color w:val="0A30F4"/>
          <w:sz w:val="22"/>
        </w:rPr>
        <w:t>跨领域融合应用：推动模型框架与大数据、物联网技术结合，引入实时训练数据、运动员生理指标等动态数据，构建“实时数据采集-动态建模预测-精准决策输出”的智能决策体系，不仅应用于体育领域，还可拓展至智慧城市、生态治理等多领域，最大化研究价值。</w:t>
      </w:r>
    </w:p>
    <w:p w14:paraId="692BAE31">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sz w:val="32"/>
        </w:rPr>
      </w:pPr>
      <w:r>
        <w:rPr>
          <w:rFonts w:hint="eastAsia" w:ascii="宋体" w:hAnsi="宋体" w:eastAsia="宋体" w:cs="宋体"/>
          <w:b/>
          <w:sz w:val="32"/>
        </w:rPr>
        <w:t>九、参考文献（格式统一，权威适配）</w:t>
      </w:r>
    </w:p>
    <w:p w14:paraId="0FF05B2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FF0000"/>
          <w:sz w:val="30"/>
        </w:rPr>
      </w:pPr>
      <w:r>
        <w:rPr>
          <w:rFonts w:hint="eastAsia" w:ascii="宋体" w:hAnsi="宋体" w:eastAsia="宋体" w:cs="宋体"/>
          <w:b/>
          <w:bCs w:val="0"/>
          <w:color w:val="FF0000"/>
          <w:sz w:val="30"/>
        </w:rPr>
        <w:t>（一）填空式模板</w:t>
      </w:r>
    </w:p>
    <w:p w14:paraId="67B02435">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z w:val="22"/>
          <w:szCs w:val="22"/>
        </w:rPr>
      </w:pPr>
      <w:r>
        <w:rPr>
          <w:rFonts w:hint="eastAsia" w:ascii="宋体" w:hAnsi="宋体" w:eastAsia="宋体" w:cs="宋体"/>
          <w:sz w:val="22"/>
          <w:szCs w:val="22"/>
        </w:rPr>
        <w:t>（遵循美赛参考文献格式，优先选用近5年权威文献、领域顶刊、行业报告与专著，数量控制在10-15篇，分类型排版，格式统一，具体范式如下）</w:t>
      </w:r>
    </w:p>
    <w:p w14:paraId="79F72556">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szCs w:val="22"/>
        </w:rPr>
      </w:pPr>
      <w:r>
        <w:rPr>
          <w:rFonts w:hint="eastAsia" w:ascii="宋体" w:hAnsi="宋体" w:eastAsia="宋体" w:cs="宋体"/>
          <w:color w:val="auto"/>
          <w:sz w:val="22"/>
        </w:rPr>
        <w:t>国内核心期刊（方法类）：[作者1]，[作者2]. [论文标题][J]. [期刊名称]，[发表年份]，[卷号]（[期号]）：[页码].（适配建模方法、算法理论支撑）</w:t>
      </w:r>
    </w:p>
    <w:p w14:paraId="2AEC30EF">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szCs w:val="22"/>
        </w:rPr>
      </w:pPr>
      <w:r>
        <w:rPr>
          <w:rFonts w:hint="eastAsia" w:ascii="宋体" w:hAnsi="宋体" w:eastAsia="宋体" w:cs="宋体"/>
          <w:color w:val="auto"/>
          <w:sz w:val="22"/>
        </w:rPr>
        <w:t>国际领域期刊（前沿类）：[作者1（英文名）]，[作者2（英文名）]. [论文标题（英文）][J]. [期刊名称（英文）]，[发表年份]，[卷号]（[期号]）：[页码].（适配前沿技术、跨领域应用支撑）</w:t>
      </w:r>
    </w:p>
    <w:p w14:paraId="2FD9C8BD">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szCs w:val="22"/>
        </w:rPr>
      </w:pPr>
      <w:r>
        <w:rPr>
          <w:rFonts w:hint="eastAsia" w:ascii="宋体" w:hAnsi="宋体" w:eastAsia="宋体" w:cs="宋体"/>
          <w:color w:val="auto"/>
          <w:sz w:val="22"/>
        </w:rPr>
        <w:t>权威机构报告（数据类）：[机构名称（英文/中文）]. [报告标题（英文/中文）][R]. [发布地点]：[发布机构]，[发布年份].（适配数据来源、行业标准支撑）</w:t>
      </w:r>
    </w:p>
    <w:p w14:paraId="207E17F1">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szCs w:val="22"/>
        </w:rPr>
      </w:pPr>
      <w:r>
        <w:rPr>
          <w:rFonts w:hint="eastAsia" w:ascii="宋体" w:hAnsi="宋体" w:eastAsia="宋体" w:cs="宋体"/>
          <w:color w:val="auto"/>
          <w:sz w:val="22"/>
        </w:rPr>
        <w:t>专著（理论类）：[作者]. [专著标题][M]. [出版地]：[出版社]，[出版年份].（适配核心理论、算法原理支撑）</w:t>
      </w:r>
    </w:p>
    <w:p w14:paraId="275C3EDF">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szCs w:val="22"/>
        </w:rPr>
      </w:pPr>
      <w:r>
        <w:rPr>
          <w:rFonts w:hint="eastAsia" w:ascii="宋体" w:hAnsi="宋体" w:eastAsia="宋体" w:cs="宋体"/>
          <w:color w:val="auto"/>
          <w:sz w:val="22"/>
        </w:rPr>
        <w:t>学位论文（补充类，可选）：[作者]. [论文标题][D]. [学校所在地]：[学校名称]，[答辩年份].（适配细分技术、场景应用补充）</w:t>
      </w:r>
    </w:p>
    <w:p w14:paraId="5053D658">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rPr>
          <w:rFonts w:hint="eastAsia" w:ascii="宋体" w:hAnsi="宋体" w:eastAsia="宋体" w:cs="宋体"/>
          <w:b/>
          <w:sz w:val="22"/>
          <w:szCs w:val="22"/>
        </w:rPr>
      </w:pPr>
      <w:r>
        <w:rPr>
          <w:rFonts w:hint="eastAsia" w:ascii="宋体" w:hAnsi="宋体" w:eastAsia="宋体" w:cs="宋体"/>
          <w:b/>
          <w:sz w:val="22"/>
          <w:szCs w:val="22"/>
        </w:rPr>
        <w:t>补充说明（O奖格式规范）</w:t>
      </w:r>
    </w:p>
    <w:p w14:paraId="12EE8DAB">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rPr>
      </w:pPr>
      <w:r>
        <w:rPr>
          <w:rFonts w:hint="eastAsia" w:ascii="宋体" w:hAnsi="宋体" w:eastAsia="宋体" w:cs="宋体"/>
          <w:color w:val="auto"/>
          <w:sz w:val="22"/>
        </w:rPr>
        <w:t>格式统一：中文作者名“姓全拼+名首字母大写”（如张三=Zhang S），英文作者名“名首字母大写+姓全拼”（如John Smith=J Smith）；期刊名英文首字母大写，中文保留全称。</w:t>
      </w:r>
    </w:p>
    <w:p w14:paraId="2B17EE8F">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rPr>
      </w:pPr>
      <w:r>
        <w:rPr>
          <w:rFonts w:hint="eastAsia" w:ascii="宋体" w:hAnsi="宋体" w:eastAsia="宋体" w:cs="宋体"/>
          <w:color w:val="auto"/>
          <w:sz w:val="22"/>
        </w:rPr>
        <w:t>优先级排序：权威机构报告（数据支撑）＞国内核心/国际顶刊（方法/理论）＞专著（核心理论）＞学位论文（补充），避免引用低质量期刊。</w:t>
      </w:r>
    </w:p>
    <w:p w14:paraId="4543887E">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rPr>
      </w:pPr>
      <w:r>
        <w:rPr>
          <w:rFonts w:hint="eastAsia" w:ascii="宋体" w:hAnsi="宋体" w:eastAsia="宋体" w:cs="宋体"/>
          <w:color w:val="auto"/>
          <w:sz w:val="22"/>
        </w:rPr>
        <w:t>关联性：所有文献均需与建模主题强相关，覆盖“数据来源、模型方法、算法原理、场景应用”，避免无关引用；近5年文献占比≥70%，体现研究时效性。</w:t>
      </w:r>
    </w:p>
    <w:p w14:paraId="408A2E84">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auto"/>
          <w:sz w:val="22"/>
        </w:rPr>
      </w:pPr>
      <w:r>
        <w:rPr>
          <w:rFonts w:hint="eastAsia" w:ascii="宋体" w:hAnsi="宋体" w:eastAsia="宋体" w:cs="宋体"/>
          <w:color w:val="auto"/>
          <w:sz w:val="22"/>
        </w:rPr>
        <w:t>排版：单倍行距，序号顶格，作者、标题、期刊等信息完整，标点符号规范（中文用全角，英文用半角），一页内清晰呈现。</w:t>
      </w:r>
    </w:p>
    <w:p w14:paraId="1A73C8CA">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宋体" w:hAnsi="宋体" w:eastAsia="宋体" w:cs="宋体"/>
          <w:b/>
          <w:bCs w:val="0"/>
          <w:color w:val="0A30F4"/>
          <w:sz w:val="30"/>
        </w:rPr>
      </w:pPr>
      <w:r>
        <w:rPr>
          <w:rFonts w:hint="eastAsia" w:ascii="宋体" w:hAnsi="宋体" w:eastAsia="宋体" w:cs="宋体"/>
          <w:b/>
          <w:bCs w:val="0"/>
          <w:color w:val="0A30F4"/>
          <w:sz w:val="30"/>
          <w:lang w:eastAsia="zh-CN"/>
        </w:rPr>
        <w:t>（</w:t>
      </w:r>
      <w:r>
        <w:rPr>
          <w:rFonts w:hint="eastAsia" w:ascii="宋体" w:hAnsi="宋体" w:eastAsia="宋体" w:cs="宋体"/>
          <w:b/>
          <w:bCs w:val="0"/>
          <w:color w:val="0A30F4"/>
          <w:sz w:val="30"/>
          <w:lang w:val="en-US" w:eastAsia="zh-CN"/>
        </w:rPr>
        <w:t>二</w:t>
      </w:r>
      <w:r>
        <w:rPr>
          <w:rFonts w:hint="eastAsia" w:ascii="宋体" w:hAnsi="宋体" w:eastAsia="宋体" w:cs="宋体"/>
          <w:b/>
          <w:bCs w:val="0"/>
          <w:color w:val="0A30F4"/>
          <w:sz w:val="30"/>
          <w:lang w:eastAsia="zh-CN"/>
        </w:rPr>
        <w:t>）</w:t>
      </w:r>
      <w:r>
        <w:rPr>
          <w:rFonts w:hint="eastAsia" w:ascii="宋体" w:hAnsi="宋体" w:eastAsia="宋体" w:cs="宋体"/>
          <w:b/>
          <w:bCs w:val="0"/>
          <w:color w:val="0A30F4"/>
          <w:sz w:val="30"/>
        </w:rPr>
        <w:t>具体案例（预测类·奥运奖牌预测）</w:t>
      </w:r>
    </w:p>
    <w:p w14:paraId="6E7AABD5">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color w:val="0A30F4"/>
          <w:sz w:val="22"/>
        </w:rPr>
      </w:pPr>
      <w:r>
        <w:rPr>
          <w:rFonts w:hint="eastAsia" w:ascii="宋体" w:hAnsi="宋体" w:eastAsia="宋体" w:cs="宋体"/>
          <w:color w:val="0A30F4"/>
          <w:sz w:val="22"/>
        </w:rPr>
        <w:t>（按美赛规范格式排版，优先选用近5年权威文献、领域顶刊与行业报告，数量控制在10-15篇，以下为通用案例，可按需替换）</w:t>
      </w:r>
    </w:p>
    <w:p w14:paraId="75CC8316">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sz w:val="22"/>
        </w:rPr>
      </w:pPr>
      <w:r>
        <w:rPr>
          <w:rFonts w:hint="eastAsia" w:ascii="宋体" w:hAnsi="宋体" w:eastAsia="宋体" w:cs="宋体"/>
          <w:color w:val="0A30F4"/>
          <w:sz w:val="22"/>
        </w:rPr>
        <w:t>张三, 李四. 深度学习时序预测模型在体育赛事成绩预测中的应用[J]. 体育科学, 2023, 43(5): 78-89.（核心期刊，国内顶刊）</w:t>
      </w:r>
    </w:p>
    <w:p w14:paraId="0E34F7D0">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sz w:val="22"/>
          <w:lang w:eastAsia="zh-CN"/>
        </w:rPr>
      </w:pPr>
      <w:r>
        <w:rPr>
          <w:rFonts w:hint="eastAsia" w:ascii="宋体" w:hAnsi="宋体" w:eastAsia="宋体" w:cs="宋体"/>
          <w:color w:val="0A30F4"/>
          <w:sz w:val="22"/>
        </w:rPr>
        <w:t>Smith J, Johnson L. A Hybrid LSTM-XGBoost Model for Time Series Prediction in Competitive Sports[J]. Journal of Sports Analytics, 2022, 8(2): 102-115.（国际领域期刊）</w:t>
      </w:r>
      <w:r>
        <w:rPr>
          <w:rFonts w:hint="eastAsia" w:ascii="宋体" w:hAnsi="宋体" w:eastAsia="宋体" w:cs="宋体"/>
          <w:color w:val="0A30F4"/>
          <w:sz w:val="22"/>
          <w:lang w:eastAsia="zh-CN"/>
        </w:rPr>
        <w:t>、</w:t>
      </w:r>
    </w:p>
    <w:p w14:paraId="1455C1D9">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sz w:val="22"/>
        </w:rPr>
      </w:pPr>
      <w:r>
        <w:rPr>
          <w:rFonts w:hint="eastAsia" w:ascii="宋体" w:hAnsi="宋体" w:eastAsia="宋体" w:cs="宋体"/>
          <w:color w:val="0A30F4"/>
          <w:sz w:val="22"/>
        </w:rPr>
        <w:t>王五, 赵六. 灰色系统理论与主成分分析在数据预处理中的协同应用[J]. 系统工程理论与实践, 2024, 44(3): 765-774.（核心期刊，建模方法类）</w:t>
      </w:r>
    </w:p>
    <w:p w14:paraId="0DE89445">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sz w:val="22"/>
        </w:rPr>
      </w:pPr>
      <w:r>
        <w:rPr>
          <w:rFonts w:hint="eastAsia" w:ascii="宋体" w:hAnsi="宋体" w:eastAsia="宋体" w:cs="宋体"/>
          <w:color w:val="0A30F4"/>
          <w:sz w:val="22"/>
        </w:rPr>
        <w:t>International Olympic Committee. Olympic Games Statistical Report (1984-2024)[R]. Lausanne: IOC Publishing, 2024.（权威机构报告，数据来源支撑）</w:t>
      </w:r>
    </w:p>
    <w:p w14:paraId="3E609040">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sz w:val="22"/>
        </w:rPr>
      </w:pPr>
      <w:r>
        <w:rPr>
          <w:rFonts w:hint="eastAsia" w:ascii="宋体" w:hAnsi="宋体" w:eastAsia="宋体" w:cs="宋体"/>
          <w:color w:val="0A30F4"/>
          <w:sz w:val="22"/>
        </w:rPr>
        <w:t>陈七. 微分进化算法及其在模型参数优化中的应用[M]. 北京: 科学出版社, 2022.（专著，算法理论支撑）</w:t>
      </w:r>
    </w:p>
    <w:p w14:paraId="609B8A05">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color w:val="0A30F4"/>
          <w:sz w:val="22"/>
        </w:rPr>
      </w:pPr>
      <w:r>
        <w:rPr>
          <w:rFonts w:hint="eastAsia" w:ascii="宋体" w:hAnsi="宋体" w:eastAsia="宋体" w:cs="宋体"/>
          <w:color w:val="0A30F4"/>
          <w:sz w:val="22"/>
        </w:rPr>
        <w:t>Brown M, Davis K. Robustness Evaluation of Hybrid Models for Sports Prediction[J]. IEEE Transactions on Computational Intelligence and AI in Sports, 2023, 15(1): 45-56.（国际顶刊，模型检验类）</w:t>
      </w:r>
    </w:p>
    <w:sectPr>
      <w:head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6BE78">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0AD49"/>
    <w:multiLevelType w:val="singleLevel"/>
    <w:tmpl w:val="8530AD49"/>
    <w:lvl w:ilvl="0" w:tentative="0">
      <w:start w:val="1"/>
      <w:numFmt w:val="decimalEnclosedCircleChinese"/>
      <w:suff w:val="nothing"/>
      <w:lvlText w:val="%1　"/>
      <w:lvlJc w:val="left"/>
      <w:pPr>
        <w:ind w:left="0" w:firstLine="400"/>
      </w:pPr>
      <w:rPr>
        <w:rFonts w:hint="eastAsia"/>
      </w:rPr>
    </w:lvl>
  </w:abstractNum>
  <w:abstractNum w:abstractNumId="1">
    <w:nsid w:val="A5280A5A"/>
    <w:multiLevelType w:val="singleLevel"/>
    <w:tmpl w:val="A5280A5A"/>
    <w:lvl w:ilvl="0" w:tentative="0">
      <w:start w:val="1"/>
      <w:numFmt w:val="decimal"/>
      <w:lvlText w:val="(%1)"/>
      <w:lvlJc w:val="left"/>
      <w:pPr>
        <w:ind w:left="425" w:hanging="425"/>
      </w:pPr>
      <w:rPr>
        <w:rFonts w:hint="default"/>
      </w:rPr>
    </w:lvl>
  </w:abstractNum>
  <w:abstractNum w:abstractNumId="2">
    <w:nsid w:val="A61C6E06"/>
    <w:multiLevelType w:val="singleLevel"/>
    <w:tmpl w:val="A61C6E06"/>
    <w:lvl w:ilvl="0" w:tentative="0">
      <w:start w:val="1"/>
      <w:numFmt w:val="decimal"/>
      <w:lvlText w:val="(%1)"/>
      <w:lvlJc w:val="left"/>
      <w:pPr>
        <w:ind w:left="425" w:hanging="425"/>
      </w:pPr>
      <w:rPr>
        <w:rFonts w:hint="default"/>
      </w:rPr>
    </w:lvl>
  </w:abstractNum>
  <w:abstractNum w:abstractNumId="3">
    <w:nsid w:val="A7BDABF3"/>
    <w:multiLevelType w:val="singleLevel"/>
    <w:tmpl w:val="A7BDABF3"/>
    <w:lvl w:ilvl="0" w:tentative="0">
      <w:start w:val="1"/>
      <w:numFmt w:val="decimal"/>
      <w:lvlText w:val="(%1)"/>
      <w:lvlJc w:val="left"/>
      <w:pPr>
        <w:ind w:left="425" w:hanging="425"/>
      </w:pPr>
      <w:rPr>
        <w:rFonts w:hint="default"/>
      </w:rPr>
    </w:lvl>
  </w:abstractNum>
  <w:abstractNum w:abstractNumId="4">
    <w:nsid w:val="AD64A716"/>
    <w:multiLevelType w:val="singleLevel"/>
    <w:tmpl w:val="AD64A716"/>
    <w:lvl w:ilvl="0" w:tentative="0">
      <w:start w:val="1"/>
      <w:numFmt w:val="decimal"/>
      <w:lvlText w:val="(%1)"/>
      <w:lvlJc w:val="left"/>
      <w:pPr>
        <w:ind w:left="425" w:hanging="425"/>
      </w:pPr>
      <w:rPr>
        <w:rFonts w:hint="default"/>
      </w:rPr>
    </w:lvl>
  </w:abstractNum>
  <w:abstractNum w:abstractNumId="5">
    <w:nsid w:val="ADDEE3A5"/>
    <w:multiLevelType w:val="singleLevel"/>
    <w:tmpl w:val="ADDEE3A5"/>
    <w:lvl w:ilvl="0" w:tentative="0">
      <w:start w:val="1"/>
      <w:numFmt w:val="decimal"/>
      <w:lvlText w:val="(%1)"/>
      <w:lvlJc w:val="left"/>
      <w:pPr>
        <w:ind w:left="425" w:hanging="425"/>
      </w:pPr>
      <w:rPr>
        <w:rFonts w:hint="default"/>
      </w:rPr>
    </w:lvl>
  </w:abstractNum>
  <w:abstractNum w:abstractNumId="6">
    <w:nsid w:val="B8E54EB1"/>
    <w:multiLevelType w:val="singleLevel"/>
    <w:tmpl w:val="B8E54EB1"/>
    <w:lvl w:ilvl="0" w:tentative="0">
      <w:start w:val="1"/>
      <w:numFmt w:val="decimal"/>
      <w:lvlText w:val="(%1)"/>
      <w:lvlJc w:val="left"/>
      <w:pPr>
        <w:ind w:left="425" w:hanging="425"/>
      </w:pPr>
      <w:rPr>
        <w:rFonts w:hint="default"/>
      </w:rPr>
    </w:lvl>
  </w:abstractNum>
  <w:abstractNum w:abstractNumId="7">
    <w:nsid w:val="BD415BF9"/>
    <w:multiLevelType w:val="singleLevel"/>
    <w:tmpl w:val="BD415BF9"/>
    <w:lvl w:ilvl="0" w:tentative="0">
      <w:start w:val="1"/>
      <w:numFmt w:val="decimalEnclosedCircleChinese"/>
      <w:suff w:val="nothing"/>
      <w:lvlText w:val="%1　"/>
      <w:lvlJc w:val="left"/>
      <w:pPr>
        <w:ind w:left="0" w:firstLine="400"/>
      </w:pPr>
      <w:rPr>
        <w:rFonts w:hint="eastAsia"/>
      </w:rPr>
    </w:lvl>
  </w:abstractNum>
  <w:abstractNum w:abstractNumId="8">
    <w:nsid w:val="C3A48EA1"/>
    <w:multiLevelType w:val="singleLevel"/>
    <w:tmpl w:val="C3A48EA1"/>
    <w:lvl w:ilvl="0" w:tentative="0">
      <w:start w:val="1"/>
      <w:numFmt w:val="decimal"/>
      <w:lvlText w:val="(%1)"/>
      <w:lvlJc w:val="left"/>
      <w:pPr>
        <w:ind w:left="425" w:hanging="425"/>
      </w:pPr>
      <w:rPr>
        <w:rFonts w:hint="default"/>
      </w:rPr>
    </w:lvl>
  </w:abstractNum>
  <w:abstractNum w:abstractNumId="9">
    <w:nsid w:val="C6CFCEB3"/>
    <w:multiLevelType w:val="singleLevel"/>
    <w:tmpl w:val="C6CFCEB3"/>
    <w:lvl w:ilvl="0" w:tentative="0">
      <w:start w:val="1"/>
      <w:numFmt w:val="decimal"/>
      <w:lvlText w:val="(%1)"/>
      <w:lvlJc w:val="left"/>
      <w:pPr>
        <w:ind w:left="425" w:hanging="425"/>
      </w:pPr>
      <w:rPr>
        <w:rFonts w:hint="default"/>
      </w:rPr>
    </w:lvl>
  </w:abstractNum>
  <w:abstractNum w:abstractNumId="10">
    <w:nsid w:val="CABD2D83"/>
    <w:multiLevelType w:val="singleLevel"/>
    <w:tmpl w:val="CABD2D83"/>
    <w:lvl w:ilvl="0" w:tentative="0">
      <w:start w:val="1"/>
      <w:numFmt w:val="decimal"/>
      <w:lvlText w:val="(%1)"/>
      <w:lvlJc w:val="left"/>
      <w:pPr>
        <w:ind w:left="425" w:hanging="425"/>
      </w:pPr>
      <w:rPr>
        <w:rFonts w:hint="default"/>
      </w:rPr>
    </w:lvl>
  </w:abstractNum>
  <w:abstractNum w:abstractNumId="11">
    <w:nsid w:val="CBBEDC30"/>
    <w:multiLevelType w:val="singleLevel"/>
    <w:tmpl w:val="CBBEDC30"/>
    <w:lvl w:ilvl="0" w:tentative="0">
      <w:start w:val="1"/>
      <w:numFmt w:val="decimal"/>
      <w:lvlText w:val="(%1)"/>
      <w:lvlJc w:val="left"/>
      <w:pPr>
        <w:ind w:left="425" w:hanging="425"/>
      </w:pPr>
      <w:rPr>
        <w:rFonts w:hint="default"/>
      </w:rPr>
    </w:lvl>
  </w:abstractNum>
  <w:abstractNum w:abstractNumId="12">
    <w:nsid w:val="CEDC2921"/>
    <w:multiLevelType w:val="singleLevel"/>
    <w:tmpl w:val="CEDC2921"/>
    <w:lvl w:ilvl="0" w:tentative="0">
      <w:start w:val="1"/>
      <w:numFmt w:val="decimal"/>
      <w:lvlText w:val="(%1)"/>
      <w:lvlJc w:val="left"/>
      <w:pPr>
        <w:ind w:left="425" w:hanging="425"/>
      </w:pPr>
      <w:rPr>
        <w:rFonts w:hint="default"/>
      </w:rPr>
    </w:lvl>
  </w:abstractNum>
  <w:abstractNum w:abstractNumId="13">
    <w:nsid w:val="D3EA69F5"/>
    <w:multiLevelType w:val="singleLevel"/>
    <w:tmpl w:val="D3EA69F5"/>
    <w:lvl w:ilvl="0" w:tentative="0">
      <w:start w:val="1"/>
      <w:numFmt w:val="decimal"/>
      <w:lvlText w:val="(%1)"/>
      <w:lvlJc w:val="left"/>
      <w:pPr>
        <w:ind w:left="425" w:hanging="425"/>
      </w:pPr>
      <w:rPr>
        <w:rFonts w:hint="default"/>
      </w:rPr>
    </w:lvl>
  </w:abstractNum>
  <w:abstractNum w:abstractNumId="14">
    <w:nsid w:val="D4FE98CD"/>
    <w:multiLevelType w:val="singleLevel"/>
    <w:tmpl w:val="D4FE98CD"/>
    <w:lvl w:ilvl="0" w:tentative="0">
      <w:start w:val="1"/>
      <w:numFmt w:val="decimal"/>
      <w:lvlText w:val="(%1)"/>
      <w:lvlJc w:val="left"/>
      <w:pPr>
        <w:ind w:left="425" w:hanging="425"/>
      </w:pPr>
      <w:rPr>
        <w:rFonts w:hint="default"/>
      </w:rPr>
    </w:lvl>
  </w:abstractNum>
  <w:abstractNum w:abstractNumId="15">
    <w:nsid w:val="DDF48775"/>
    <w:multiLevelType w:val="singleLevel"/>
    <w:tmpl w:val="DDF48775"/>
    <w:lvl w:ilvl="0" w:tentative="0">
      <w:start w:val="1"/>
      <w:numFmt w:val="decimal"/>
      <w:lvlText w:val="(%1)"/>
      <w:lvlJc w:val="left"/>
      <w:pPr>
        <w:ind w:left="425" w:hanging="425"/>
      </w:pPr>
      <w:rPr>
        <w:rFonts w:hint="default"/>
      </w:rPr>
    </w:lvl>
  </w:abstractNum>
  <w:abstractNum w:abstractNumId="16">
    <w:nsid w:val="F660FA4F"/>
    <w:multiLevelType w:val="singleLevel"/>
    <w:tmpl w:val="F660FA4F"/>
    <w:lvl w:ilvl="0" w:tentative="0">
      <w:start w:val="1"/>
      <w:numFmt w:val="decimal"/>
      <w:lvlText w:val="(%1)"/>
      <w:lvlJc w:val="left"/>
      <w:pPr>
        <w:ind w:left="425" w:hanging="425"/>
      </w:pPr>
      <w:rPr>
        <w:rFonts w:hint="default"/>
      </w:rPr>
    </w:lvl>
  </w:abstractNum>
  <w:abstractNum w:abstractNumId="17">
    <w:nsid w:val="07916234"/>
    <w:multiLevelType w:val="singleLevel"/>
    <w:tmpl w:val="07916234"/>
    <w:lvl w:ilvl="0" w:tentative="0">
      <w:start w:val="1"/>
      <w:numFmt w:val="decimal"/>
      <w:lvlText w:val="(%1)"/>
      <w:lvlJc w:val="left"/>
      <w:pPr>
        <w:ind w:left="425" w:hanging="425"/>
      </w:pPr>
      <w:rPr>
        <w:rFonts w:hint="default"/>
      </w:rPr>
    </w:lvl>
  </w:abstractNum>
  <w:abstractNum w:abstractNumId="18">
    <w:nsid w:val="08262ECB"/>
    <w:multiLevelType w:val="singleLevel"/>
    <w:tmpl w:val="08262ECB"/>
    <w:lvl w:ilvl="0" w:tentative="0">
      <w:start w:val="1"/>
      <w:numFmt w:val="decimal"/>
      <w:lvlText w:val="(%1)"/>
      <w:lvlJc w:val="left"/>
      <w:pPr>
        <w:ind w:left="425" w:hanging="425"/>
      </w:pPr>
      <w:rPr>
        <w:rFonts w:hint="default"/>
      </w:rPr>
    </w:lvl>
  </w:abstractNum>
  <w:abstractNum w:abstractNumId="19">
    <w:nsid w:val="15BFF110"/>
    <w:multiLevelType w:val="singleLevel"/>
    <w:tmpl w:val="15BFF110"/>
    <w:lvl w:ilvl="0" w:tentative="0">
      <w:start w:val="1"/>
      <w:numFmt w:val="decimal"/>
      <w:lvlText w:val="[%1] "/>
      <w:lvlJc w:val="left"/>
      <w:pPr>
        <w:tabs>
          <w:tab w:val="left" w:pos="420"/>
        </w:tabs>
        <w:ind w:left="425" w:leftChars="0" w:hanging="425" w:firstLineChars="0"/>
      </w:pPr>
      <w:rPr>
        <w:rFonts w:hint="default"/>
      </w:rPr>
    </w:lvl>
  </w:abstractNum>
  <w:abstractNum w:abstractNumId="20">
    <w:nsid w:val="1625EC13"/>
    <w:multiLevelType w:val="singleLevel"/>
    <w:tmpl w:val="1625EC13"/>
    <w:lvl w:ilvl="0" w:tentative="0">
      <w:start w:val="1"/>
      <w:numFmt w:val="decimal"/>
      <w:lvlText w:val="(%1)"/>
      <w:lvlJc w:val="left"/>
      <w:pPr>
        <w:ind w:left="425" w:hanging="425"/>
      </w:pPr>
      <w:rPr>
        <w:rFonts w:hint="default"/>
      </w:rPr>
    </w:lvl>
  </w:abstractNum>
  <w:abstractNum w:abstractNumId="21">
    <w:nsid w:val="17553048"/>
    <w:multiLevelType w:val="singleLevel"/>
    <w:tmpl w:val="17553048"/>
    <w:lvl w:ilvl="0" w:tentative="0">
      <w:start w:val="1"/>
      <w:numFmt w:val="decimal"/>
      <w:lvlText w:val="(%1)"/>
      <w:lvlJc w:val="left"/>
      <w:pPr>
        <w:ind w:left="425" w:hanging="425"/>
      </w:pPr>
      <w:rPr>
        <w:rFonts w:hint="default"/>
      </w:rPr>
    </w:lvl>
  </w:abstractNum>
  <w:abstractNum w:abstractNumId="22">
    <w:nsid w:val="1A297BDE"/>
    <w:multiLevelType w:val="singleLevel"/>
    <w:tmpl w:val="1A297BDE"/>
    <w:lvl w:ilvl="0" w:tentative="0">
      <w:start w:val="1"/>
      <w:numFmt w:val="decimal"/>
      <w:lvlText w:val="(%1)"/>
      <w:lvlJc w:val="left"/>
      <w:pPr>
        <w:ind w:left="425" w:hanging="425"/>
      </w:pPr>
      <w:rPr>
        <w:rFonts w:hint="default"/>
      </w:rPr>
    </w:lvl>
  </w:abstractNum>
  <w:abstractNum w:abstractNumId="23">
    <w:nsid w:val="2345834F"/>
    <w:multiLevelType w:val="singleLevel"/>
    <w:tmpl w:val="2345834F"/>
    <w:lvl w:ilvl="0" w:tentative="0">
      <w:start w:val="1"/>
      <w:numFmt w:val="decimal"/>
      <w:lvlText w:val="(%1)"/>
      <w:lvlJc w:val="left"/>
      <w:pPr>
        <w:ind w:left="425" w:hanging="425"/>
      </w:pPr>
      <w:rPr>
        <w:rFonts w:hint="default"/>
      </w:rPr>
    </w:lvl>
  </w:abstractNum>
  <w:abstractNum w:abstractNumId="24">
    <w:nsid w:val="23F59BF1"/>
    <w:multiLevelType w:val="singleLevel"/>
    <w:tmpl w:val="23F59BF1"/>
    <w:lvl w:ilvl="0" w:tentative="0">
      <w:start w:val="1"/>
      <w:numFmt w:val="decimal"/>
      <w:lvlText w:val="(%1)"/>
      <w:lvlJc w:val="left"/>
      <w:pPr>
        <w:ind w:left="425" w:hanging="425"/>
      </w:pPr>
      <w:rPr>
        <w:rFonts w:hint="default"/>
      </w:rPr>
    </w:lvl>
  </w:abstractNum>
  <w:abstractNum w:abstractNumId="25">
    <w:nsid w:val="37115BF5"/>
    <w:multiLevelType w:val="singleLevel"/>
    <w:tmpl w:val="37115BF5"/>
    <w:lvl w:ilvl="0" w:tentative="0">
      <w:start w:val="1"/>
      <w:numFmt w:val="decimal"/>
      <w:lvlText w:val="(%1)"/>
      <w:lvlJc w:val="left"/>
      <w:pPr>
        <w:ind w:left="425" w:hanging="425"/>
      </w:pPr>
      <w:rPr>
        <w:rFonts w:hint="default"/>
      </w:rPr>
    </w:lvl>
  </w:abstractNum>
  <w:abstractNum w:abstractNumId="26">
    <w:nsid w:val="3A4EE5CE"/>
    <w:multiLevelType w:val="singleLevel"/>
    <w:tmpl w:val="3A4EE5CE"/>
    <w:lvl w:ilvl="0" w:tentative="0">
      <w:start w:val="1"/>
      <w:numFmt w:val="decimal"/>
      <w:lvlText w:val="(%1)"/>
      <w:lvlJc w:val="left"/>
      <w:pPr>
        <w:ind w:left="425" w:hanging="425"/>
      </w:pPr>
      <w:rPr>
        <w:rFonts w:hint="default"/>
      </w:rPr>
    </w:lvl>
  </w:abstractNum>
  <w:abstractNum w:abstractNumId="27">
    <w:nsid w:val="3AA913A4"/>
    <w:multiLevelType w:val="singleLevel"/>
    <w:tmpl w:val="3AA913A4"/>
    <w:lvl w:ilvl="0" w:tentative="0">
      <w:start w:val="1"/>
      <w:numFmt w:val="decimal"/>
      <w:lvlText w:val="(%1)"/>
      <w:lvlJc w:val="left"/>
      <w:pPr>
        <w:ind w:left="425" w:hanging="425"/>
      </w:pPr>
      <w:rPr>
        <w:rFonts w:hint="default"/>
      </w:rPr>
    </w:lvl>
  </w:abstractNum>
  <w:abstractNum w:abstractNumId="28">
    <w:nsid w:val="3DB6D743"/>
    <w:multiLevelType w:val="singleLevel"/>
    <w:tmpl w:val="3DB6D743"/>
    <w:lvl w:ilvl="0" w:tentative="0">
      <w:start w:val="1"/>
      <w:numFmt w:val="decimal"/>
      <w:lvlText w:val="(%1)"/>
      <w:lvlJc w:val="left"/>
      <w:pPr>
        <w:ind w:left="425" w:hanging="425"/>
      </w:pPr>
      <w:rPr>
        <w:rFonts w:hint="default"/>
      </w:rPr>
    </w:lvl>
  </w:abstractNum>
  <w:abstractNum w:abstractNumId="29">
    <w:nsid w:val="458E095C"/>
    <w:multiLevelType w:val="singleLevel"/>
    <w:tmpl w:val="458E095C"/>
    <w:lvl w:ilvl="0" w:tentative="0">
      <w:start w:val="1"/>
      <w:numFmt w:val="bullet"/>
      <w:lvlText w:val=""/>
      <w:lvlJc w:val="left"/>
      <w:pPr>
        <w:ind w:left="420" w:hanging="420"/>
      </w:pPr>
      <w:rPr>
        <w:rFonts w:hint="default" w:ascii="Wingdings" w:hAnsi="Wingdings"/>
      </w:rPr>
    </w:lvl>
  </w:abstractNum>
  <w:abstractNum w:abstractNumId="30">
    <w:nsid w:val="49AD29EE"/>
    <w:multiLevelType w:val="singleLevel"/>
    <w:tmpl w:val="49AD29EE"/>
    <w:lvl w:ilvl="0" w:tentative="0">
      <w:start w:val="1"/>
      <w:numFmt w:val="decimalEnclosedCircleChinese"/>
      <w:suff w:val="nothing"/>
      <w:lvlText w:val="%1　"/>
      <w:lvlJc w:val="left"/>
      <w:pPr>
        <w:ind w:left="0" w:firstLine="400"/>
      </w:pPr>
      <w:rPr>
        <w:rFonts w:hint="eastAsia"/>
      </w:rPr>
    </w:lvl>
  </w:abstractNum>
  <w:abstractNum w:abstractNumId="31">
    <w:nsid w:val="4FB85A26"/>
    <w:multiLevelType w:val="singleLevel"/>
    <w:tmpl w:val="4FB85A26"/>
    <w:lvl w:ilvl="0" w:tentative="0">
      <w:start w:val="1"/>
      <w:numFmt w:val="decimalEnclosedCircleChinese"/>
      <w:suff w:val="nothing"/>
      <w:lvlText w:val="%1　"/>
      <w:lvlJc w:val="left"/>
      <w:pPr>
        <w:ind w:left="0" w:firstLine="400"/>
      </w:pPr>
      <w:rPr>
        <w:rFonts w:hint="eastAsia"/>
      </w:rPr>
    </w:lvl>
  </w:abstractNum>
  <w:abstractNum w:abstractNumId="32">
    <w:nsid w:val="52D1F3F8"/>
    <w:multiLevelType w:val="singleLevel"/>
    <w:tmpl w:val="52D1F3F8"/>
    <w:lvl w:ilvl="0" w:tentative="0">
      <w:start w:val="1"/>
      <w:numFmt w:val="decimal"/>
      <w:lvlText w:val="(%1)"/>
      <w:lvlJc w:val="left"/>
      <w:pPr>
        <w:ind w:left="425" w:hanging="425"/>
      </w:pPr>
      <w:rPr>
        <w:rFonts w:hint="default"/>
      </w:rPr>
    </w:lvl>
  </w:abstractNum>
  <w:abstractNum w:abstractNumId="33">
    <w:nsid w:val="539BA9E7"/>
    <w:multiLevelType w:val="singleLevel"/>
    <w:tmpl w:val="539BA9E7"/>
    <w:lvl w:ilvl="0" w:tentative="0">
      <w:start w:val="1"/>
      <w:numFmt w:val="decimal"/>
      <w:lvlText w:val="(%1)"/>
      <w:lvlJc w:val="left"/>
      <w:pPr>
        <w:ind w:left="425" w:hanging="425"/>
      </w:pPr>
      <w:rPr>
        <w:rFonts w:hint="default"/>
      </w:rPr>
    </w:lvl>
  </w:abstractNum>
  <w:abstractNum w:abstractNumId="34">
    <w:nsid w:val="54C86D31"/>
    <w:multiLevelType w:val="singleLevel"/>
    <w:tmpl w:val="54C86D31"/>
    <w:lvl w:ilvl="0" w:tentative="0">
      <w:start w:val="1"/>
      <w:numFmt w:val="bullet"/>
      <w:lvlText w:val=""/>
      <w:lvlJc w:val="left"/>
      <w:pPr>
        <w:ind w:left="420" w:hanging="420"/>
      </w:pPr>
      <w:rPr>
        <w:rFonts w:hint="default" w:ascii="Wingdings" w:hAnsi="Wingdings"/>
      </w:rPr>
    </w:lvl>
  </w:abstractNum>
  <w:abstractNum w:abstractNumId="35">
    <w:nsid w:val="59ADA792"/>
    <w:multiLevelType w:val="singleLevel"/>
    <w:tmpl w:val="59ADA792"/>
    <w:lvl w:ilvl="0" w:tentative="0">
      <w:start w:val="1"/>
      <w:numFmt w:val="bullet"/>
      <w:lvlText w:val=""/>
      <w:lvlJc w:val="left"/>
      <w:pPr>
        <w:ind w:left="420" w:hanging="420"/>
      </w:pPr>
      <w:rPr>
        <w:rFonts w:hint="default" w:ascii="Wingdings" w:hAnsi="Wingdings"/>
      </w:rPr>
    </w:lvl>
  </w:abstractNum>
  <w:abstractNum w:abstractNumId="36">
    <w:nsid w:val="5E13D1D9"/>
    <w:multiLevelType w:val="singleLevel"/>
    <w:tmpl w:val="5E13D1D9"/>
    <w:lvl w:ilvl="0" w:tentative="0">
      <w:start w:val="1"/>
      <w:numFmt w:val="decimal"/>
      <w:lvlText w:val="(%1)"/>
      <w:lvlJc w:val="left"/>
      <w:pPr>
        <w:ind w:left="425" w:hanging="425"/>
      </w:pPr>
      <w:rPr>
        <w:rFonts w:hint="default"/>
      </w:rPr>
    </w:lvl>
  </w:abstractNum>
  <w:abstractNum w:abstractNumId="37">
    <w:nsid w:val="6008D787"/>
    <w:multiLevelType w:val="singleLevel"/>
    <w:tmpl w:val="6008D787"/>
    <w:lvl w:ilvl="0" w:tentative="0">
      <w:start w:val="1"/>
      <w:numFmt w:val="decimal"/>
      <w:lvlText w:val="(%1)"/>
      <w:lvlJc w:val="left"/>
      <w:pPr>
        <w:ind w:left="425" w:hanging="425"/>
      </w:pPr>
      <w:rPr>
        <w:rFonts w:hint="default"/>
      </w:rPr>
    </w:lvl>
  </w:abstractNum>
  <w:abstractNum w:abstractNumId="38">
    <w:nsid w:val="6729AB88"/>
    <w:multiLevelType w:val="singleLevel"/>
    <w:tmpl w:val="6729AB88"/>
    <w:lvl w:ilvl="0" w:tentative="0">
      <w:start w:val="1"/>
      <w:numFmt w:val="decimalEnclosedCircleChinese"/>
      <w:suff w:val="nothing"/>
      <w:lvlText w:val="%1　"/>
      <w:lvlJc w:val="left"/>
      <w:pPr>
        <w:ind w:left="0" w:firstLine="400"/>
      </w:pPr>
      <w:rPr>
        <w:rFonts w:hint="eastAsia"/>
      </w:rPr>
    </w:lvl>
  </w:abstractNum>
  <w:abstractNum w:abstractNumId="39">
    <w:nsid w:val="6B2E7C95"/>
    <w:multiLevelType w:val="singleLevel"/>
    <w:tmpl w:val="6B2E7C95"/>
    <w:lvl w:ilvl="0" w:tentative="0">
      <w:start w:val="1"/>
      <w:numFmt w:val="decimal"/>
      <w:lvlText w:val="(%1)"/>
      <w:lvlJc w:val="left"/>
      <w:pPr>
        <w:ind w:left="425" w:hanging="425"/>
      </w:pPr>
      <w:rPr>
        <w:rFonts w:hint="default"/>
      </w:rPr>
    </w:lvl>
  </w:abstractNum>
  <w:abstractNum w:abstractNumId="40">
    <w:nsid w:val="7AD7C774"/>
    <w:multiLevelType w:val="singleLevel"/>
    <w:tmpl w:val="7AD7C774"/>
    <w:lvl w:ilvl="0" w:tentative="0">
      <w:start w:val="1"/>
      <w:numFmt w:val="bullet"/>
      <w:lvlText w:val=""/>
      <w:lvlJc w:val="left"/>
      <w:pPr>
        <w:ind w:left="420" w:hanging="420"/>
      </w:pPr>
      <w:rPr>
        <w:rFonts w:hint="default" w:ascii="Wingdings" w:hAnsi="Wingdings"/>
      </w:rPr>
    </w:lvl>
  </w:abstractNum>
  <w:num w:numId="1">
    <w:abstractNumId w:val="29"/>
  </w:num>
  <w:num w:numId="2">
    <w:abstractNumId w:val="5"/>
  </w:num>
  <w:num w:numId="3">
    <w:abstractNumId w:val="28"/>
  </w:num>
  <w:num w:numId="4">
    <w:abstractNumId w:val="20"/>
  </w:num>
  <w:num w:numId="5">
    <w:abstractNumId w:val="14"/>
  </w:num>
  <w:num w:numId="6">
    <w:abstractNumId w:val="10"/>
  </w:num>
  <w:num w:numId="7">
    <w:abstractNumId w:val="17"/>
  </w:num>
  <w:num w:numId="8">
    <w:abstractNumId w:val="9"/>
  </w:num>
  <w:num w:numId="9">
    <w:abstractNumId w:val="11"/>
  </w:num>
  <w:num w:numId="10">
    <w:abstractNumId w:val="36"/>
  </w:num>
  <w:num w:numId="11">
    <w:abstractNumId w:val="25"/>
  </w:num>
  <w:num w:numId="12">
    <w:abstractNumId w:val="15"/>
  </w:num>
  <w:num w:numId="13">
    <w:abstractNumId w:val="2"/>
  </w:num>
  <w:num w:numId="14">
    <w:abstractNumId w:val="3"/>
  </w:num>
  <w:num w:numId="15">
    <w:abstractNumId w:val="26"/>
  </w:num>
  <w:num w:numId="16">
    <w:abstractNumId w:val="33"/>
  </w:num>
  <w:num w:numId="17">
    <w:abstractNumId w:val="13"/>
  </w:num>
  <w:num w:numId="18">
    <w:abstractNumId w:val="39"/>
  </w:num>
  <w:num w:numId="19">
    <w:abstractNumId w:val="18"/>
  </w:num>
  <w:num w:numId="20">
    <w:abstractNumId w:val="38"/>
  </w:num>
  <w:num w:numId="21">
    <w:abstractNumId w:val="35"/>
  </w:num>
  <w:num w:numId="22">
    <w:abstractNumId w:val="22"/>
  </w:num>
  <w:num w:numId="23">
    <w:abstractNumId w:val="0"/>
  </w:num>
  <w:num w:numId="24">
    <w:abstractNumId w:val="40"/>
  </w:num>
  <w:num w:numId="25">
    <w:abstractNumId w:val="7"/>
  </w:num>
  <w:num w:numId="26">
    <w:abstractNumId w:val="31"/>
  </w:num>
  <w:num w:numId="27">
    <w:abstractNumId w:val="30"/>
  </w:num>
  <w:num w:numId="28">
    <w:abstractNumId w:val="4"/>
  </w:num>
  <w:num w:numId="29">
    <w:abstractNumId w:val="23"/>
  </w:num>
  <w:num w:numId="30">
    <w:abstractNumId w:val="16"/>
  </w:num>
  <w:num w:numId="31">
    <w:abstractNumId w:val="32"/>
  </w:num>
  <w:num w:numId="32">
    <w:abstractNumId w:val="6"/>
  </w:num>
  <w:num w:numId="33">
    <w:abstractNumId w:val="24"/>
  </w:num>
  <w:num w:numId="34">
    <w:abstractNumId w:val="37"/>
  </w:num>
  <w:num w:numId="35">
    <w:abstractNumId w:val="27"/>
  </w:num>
  <w:num w:numId="36">
    <w:abstractNumId w:val="1"/>
  </w:num>
  <w:num w:numId="37">
    <w:abstractNumId w:val="12"/>
  </w:num>
  <w:num w:numId="38">
    <w:abstractNumId w:val="21"/>
  </w:num>
  <w:num w:numId="39">
    <w:abstractNumId w:val="8"/>
  </w:num>
  <w:num w:numId="40">
    <w:abstractNumId w:val="34"/>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36C26"/>
    <w:rsid w:val="1BD17F27"/>
    <w:rsid w:val="426E5C20"/>
    <w:rsid w:val="65387F2A"/>
    <w:rsid w:val="668671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Pages>
  <Words>20561</Words>
  <Characters>23363</Characters>
  <TotalTime>2</TotalTime>
  <ScaleCrop>false</ScaleCrop>
  <LinksUpToDate>false</LinksUpToDate>
  <CharactersWithSpaces>23504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2026-01-23T13:33:00Z</dcterms:created>
  <dc:creator>Apache POI</dc:creator>
  <cp:lastModifiedBy>数学建模老哥团队</cp:lastModifiedBy>
  <dcterms:modified xsi:type="dcterms:W3CDTF">2026-01-23T17:27:15Z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eyJoZGlkIjoiYzg5NDExNGNiZTI1NTFhNmRjOTkzOWY4ZjdmZDNhMGUiLCJ1c2VySWQiOiIyNzg5NDI3MjYifQ==</vt:lpwstr>
  </property>
  <property fmtid="{D5CDD505-2E9C-101B-9397-08002B2CF9AE}" pid="3" name="KSOProductBuildVer">
    <vt:lpwstr>2052-12.1.0.24657</vt:lpwstr>
  </property>
  <property fmtid="{D5CDD505-2E9C-101B-9397-08002B2CF9AE}" pid="4" name="ICV">
    <vt:lpwstr>16A2FE8279A94414B286BA13899A7B4E_13</vt:lpwstr>
  </property>
</Properties>
</file>