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650D6">
      <w:pPr>
        <w:pStyle w:val="2"/>
        <w:keepNext w:val="0"/>
        <w:keepLines w:val="0"/>
        <w:widowControl/>
        <w:suppressLineNumbers w:val="0"/>
        <w:spacing w:before="100" w:beforeAutospacing="0" w:after="100" w:afterAutospacing="0"/>
        <w:ind w:left="0" w:right="0"/>
        <w:jc w:val="center"/>
      </w:pPr>
      <w:r>
        <w:rPr>
          <w:rFonts w:hint="eastAsia" w:ascii="宋体" w:hAnsi="宋体" w:eastAsia="宋体" w:cs="宋体"/>
          <w:b/>
          <w:bCs/>
          <w:i w:val="0"/>
          <w:iCs w:val="0"/>
          <w:color w:val="000000"/>
          <w:spacing w:val="0"/>
          <w:w w:val="100"/>
          <w:sz w:val="32"/>
          <w:szCs w:val="32"/>
          <w:vertAlign w:val="baseline"/>
        </w:rPr>
        <w:t>“驿”动全城，“健”造精彩</w:t>
      </w:r>
    </w:p>
    <w:p w14:paraId="5908A3B3">
      <w:pPr>
        <w:pStyle w:val="2"/>
        <w:keepNext w:val="0"/>
        <w:keepLines w:val="0"/>
        <w:widowControl/>
        <w:suppressLineNumbers w:val="0"/>
        <w:spacing w:before="100" w:beforeAutospacing="0" w:after="100" w:afterAutospacing="0"/>
        <w:ind w:left="0" w:right="0"/>
        <w:jc w:val="center"/>
      </w:pPr>
      <w:r>
        <w:rPr>
          <w:rFonts w:hint="eastAsia" w:ascii="宋体" w:hAnsi="宋体" w:eastAsia="宋体" w:cs="宋体"/>
          <w:b/>
          <w:bCs/>
          <w:i w:val="0"/>
          <w:iCs w:val="0"/>
          <w:color w:val="000000"/>
          <w:spacing w:val="0"/>
          <w:w w:val="100"/>
          <w:sz w:val="32"/>
          <w:szCs w:val="32"/>
          <w:vertAlign w:val="baseline"/>
        </w:rPr>
        <w:t>——上海市民健身驿站服务效能调研及优化路径分析</w:t>
      </w:r>
    </w:p>
    <w:p w14:paraId="37B5954B">
      <w:pPr>
        <w:pStyle w:val="2"/>
        <w:keepNext w:val="0"/>
        <w:keepLines w:val="0"/>
        <w:widowControl/>
        <w:suppressLineNumbers w:val="0"/>
        <w:spacing w:before="0" w:beforeAutospacing="0" w:after="0" w:afterAutospacing="0"/>
        <w:ind w:left="0" w:right="0"/>
        <w:jc w:val="center"/>
      </w:pPr>
      <w:r>
        <w:rPr>
          <w:rFonts w:ascii="黑体" w:hAnsi="宋体" w:eastAsia="黑体" w:cs="黑体"/>
          <w:b w:val="0"/>
          <w:bCs w:val="0"/>
          <w:i w:val="0"/>
          <w:iCs w:val="0"/>
          <w:color w:val="000000"/>
          <w:spacing w:val="0"/>
          <w:w w:val="100"/>
          <w:sz w:val="28"/>
          <w:szCs w:val="28"/>
          <w:vertAlign w:val="baseline"/>
        </w:rPr>
        <w:t>摘要</w:t>
      </w:r>
    </w:p>
    <w:p w14:paraId="2595C848">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全民健身国家战略深化背景下，上海</w:t>
      </w:r>
      <w:r>
        <w:rPr>
          <w:rFonts w:hint="eastAsia" w:ascii="宋体" w:hAnsi="宋体" w:eastAsia="宋体" w:cs="宋体"/>
          <w:b/>
          <w:bCs/>
          <w:i w:val="0"/>
          <w:iCs w:val="0"/>
          <w:color w:val="000000"/>
          <w:spacing w:val="0"/>
          <w:w w:val="100"/>
          <w:sz w:val="24"/>
          <w:szCs w:val="24"/>
          <w:vertAlign w:val="baseline"/>
        </w:rPr>
        <w:t>“15分钟健身圈”</w:t>
      </w:r>
      <w:r>
        <w:rPr>
          <w:rFonts w:hint="eastAsia" w:ascii="宋体" w:hAnsi="宋体" w:eastAsia="宋体" w:cs="宋体"/>
          <w:b w:val="0"/>
          <w:bCs w:val="0"/>
          <w:i w:val="0"/>
          <w:iCs w:val="0"/>
          <w:color w:val="000000"/>
          <w:spacing w:val="0"/>
          <w:w w:val="100"/>
          <w:sz w:val="24"/>
          <w:szCs w:val="24"/>
          <w:vertAlign w:val="baseline"/>
        </w:rPr>
        <w:t>建设持续推进，</w:t>
      </w:r>
      <w:r>
        <w:rPr>
          <w:rFonts w:hint="eastAsia" w:ascii="宋体" w:hAnsi="宋体" w:eastAsia="宋体" w:cs="宋体"/>
          <w:b/>
          <w:bCs/>
          <w:i w:val="0"/>
          <w:iCs w:val="0"/>
          <w:color w:val="000000"/>
          <w:spacing w:val="0"/>
          <w:w w:val="100"/>
          <w:sz w:val="24"/>
          <w:szCs w:val="24"/>
          <w:vertAlign w:val="baseline"/>
        </w:rPr>
        <w:t>市民健身驿站</w:t>
      </w:r>
      <w:r>
        <w:rPr>
          <w:rFonts w:hint="eastAsia" w:ascii="宋体" w:hAnsi="宋体" w:eastAsia="宋体" w:cs="宋体"/>
          <w:b w:val="0"/>
          <w:bCs w:val="0"/>
          <w:i w:val="0"/>
          <w:iCs w:val="0"/>
          <w:color w:val="000000"/>
          <w:spacing w:val="0"/>
          <w:w w:val="100"/>
          <w:sz w:val="24"/>
          <w:szCs w:val="24"/>
          <w:vertAlign w:val="baseline"/>
        </w:rPr>
        <w:t>作为社区公共体育服务的核心载体，其服务效能直接影响公共资源配置效率与市民健身需求满足度。然而，现有研究多聚焦于设施数量与覆盖范围，对服务质量、用户体验及可持续运营的系统性评估仍显不足，且缺乏“政策 - 场景 - 用户”协同的完整分析体系。本文通过梳理 2020-2025 年 CNKI 核心期刊论文、行业白皮书及地方政策文件，构建三维分析框架，旨在</w:t>
      </w:r>
      <w:r>
        <w:rPr>
          <w:rFonts w:hint="eastAsia" w:ascii="宋体" w:hAnsi="宋体" w:eastAsia="宋体" w:cs="宋体"/>
          <w:b/>
          <w:bCs/>
          <w:i w:val="0"/>
          <w:iCs w:val="0"/>
          <w:color w:val="000000"/>
          <w:spacing w:val="0"/>
          <w:w w:val="100"/>
          <w:sz w:val="24"/>
          <w:szCs w:val="24"/>
          <w:vertAlign w:val="baseline"/>
        </w:rPr>
        <w:t>挖掘社区公共体育服务的应用潜力与发展方向</w:t>
      </w:r>
      <w:r>
        <w:rPr>
          <w:rFonts w:hint="eastAsia" w:ascii="宋体" w:hAnsi="宋体" w:eastAsia="宋体" w:cs="宋体"/>
          <w:b w:val="0"/>
          <w:bCs w:val="0"/>
          <w:i w:val="0"/>
          <w:iCs w:val="0"/>
          <w:color w:val="000000"/>
          <w:spacing w:val="0"/>
          <w:w w:val="100"/>
          <w:sz w:val="24"/>
          <w:szCs w:val="24"/>
          <w:vertAlign w:val="baseline"/>
        </w:rPr>
        <w:t>，提出可行的优化策略，对推动健身驿站从 “规模建设” 向“品质运营”转型具有重要意义。</w:t>
      </w:r>
    </w:p>
    <w:p w14:paraId="06E4256B">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为探究服务效能现状及优化路径，本文以健身驿站现有使用者（月使用 1-2 次及以上）与有使用意愿的潜在使用者为调查对象，采用线上线下问卷调查与深度访谈结合的抽样方式，回收有效问卷 783 份（含现有使用者 212 份、潜在使用者 571 份），并通过 </w:t>
      </w:r>
      <w:r>
        <w:rPr>
          <w:rFonts w:hint="eastAsia" w:ascii="宋体" w:hAnsi="宋体" w:eastAsia="宋体" w:cs="宋体"/>
          <w:b/>
          <w:bCs/>
          <w:i w:val="0"/>
          <w:iCs w:val="0"/>
          <w:color w:val="000000"/>
          <w:spacing w:val="0"/>
          <w:w w:val="100"/>
          <w:sz w:val="24"/>
          <w:szCs w:val="24"/>
          <w:vertAlign w:val="baseline"/>
        </w:rPr>
        <w:t>Excel、SPSS、AMOS、Python</w:t>
      </w:r>
      <w:r>
        <w:rPr>
          <w:rFonts w:hint="eastAsia" w:ascii="宋体" w:hAnsi="宋体" w:eastAsia="宋体" w:cs="宋体"/>
          <w:b w:val="0"/>
          <w:bCs w:val="0"/>
          <w:i w:val="0"/>
          <w:iCs w:val="0"/>
          <w:color w:val="000000"/>
          <w:spacing w:val="0"/>
          <w:w w:val="100"/>
          <w:sz w:val="24"/>
          <w:szCs w:val="24"/>
          <w:vertAlign w:val="baseline"/>
        </w:rPr>
        <w:t xml:space="preserve"> 等软件开展统计与实证分析。</w:t>
      </w:r>
    </w:p>
    <w:p w14:paraId="77EC86F6">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首先，通过描述性统计分析现有使用者与潜在使用者的个人特征、消费特征及期望需求，形成调研对象初步认知；接着，基于 </w:t>
      </w:r>
      <w:r>
        <w:rPr>
          <w:rFonts w:hint="eastAsia" w:ascii="宋体" w:hAnsi="宋体" w:eastAsia="宋体" w:cs="宋体"/>
          <w:b/>
          <w:bCs/>
          <w:i w:val="0"/>
          <w:iCs w:val="0"/>
          <w:color w:val="000000"/>
          <w:spacing w:val="0"/>
          <w:w w:val="100"/>
          <w:sz w:val="24"/>
          <w:szCs w:val="24"/>
          <w:vertAlign w:val="baseline"/>
        </w:rPr>
        <w:t>SEM结构方程</w:t>
      </w:r>
      <w:r>
        <w:rPr>
          <w:rFonts w:hint="eastAsia" w:ascii="宋体" w:hAnsi="宋体" w:eastAsia="宋体" w:cs="宋体"/>
          <w:b w:val="0"/>
          <w:bCs w:val="0"/>
          <w:i w:val="0"/>
          <w:iCs w:val="0"/>
          <w:color w:val="000000"/>
          <w:spacing w:val="0"/>
          <w:w w:val="100"/>
          <w:sz w:val="24"/>
          <w:szCs w:val="24"/>
          <w:vertAlign w:val="baseline"/>
        </w:rPr>
        <w:t xml:space="preserve"> 模型验证硬件设施、软性服务、数智体验、便利程度四大维度对现有使用者满意度的影响路径与系数，同时通过</w:t>
      </w:r>
      <w:r>
        <w:rPr>
          <w:rFonts w:hint="eastAsia" w:ascii="宋体" w:hAnsi="宋体" w:eastAsia="宋体" w:cs="宋体"/>
          <w:b/>
          <w:bCs/>
          <w:i w:val="0"/>
          <w:iCs w:val="0"/>
          <w:color w:val="000000"/>
          <w:spacing w:val="0"/>
          <w:w w:val="100"/>
          <w:sz w:val="24"/>
          <w:szCs w:val="24"/>
          <w:vertAlign w:val="baseline"/>
        </w:rPr>
        <w:t>网络爬虫</w:t>
      </w:r>
      <w:r>
        <w:rPr>
          <w:rFonts w:hint="eastAsia" w:ascii="宋体" w:hAnsi="宋体" w:eastAsia="宋体" w:cs="宋体"/>
          <w:b w:val="0"/>
          <w:bCs w:val="0"/>
          <w:i w:val="0"/>
          <w:iCs w:val="0"/>
          <w:color w:val="000000"/>
          <w:spacing w:val="0"/>
          <w:w w:val="100"/>
          <w:sz w:val="24"/>
          <w:szCs w:val="24"/>
          <w:vertAlign w:val="baseline"/>
        </w:rPr>
        <w:t xml:space="preserve">获取大众点评及 “上海体育” 公众号评论，运用情感分析提取正负情感特征词汇验证核心痛点；在潜在使用者分析中，借助 </w:t>
      </w:r>
      <w:r>
        <w:rPr>
          <w:rFonts w:hint="eastAsia" w:ascii="宋体" w:hAnsi="宋体" w:eastAsia="宋体" w:cs="宋体"/>
          <w:b/>
          <w:bCs/>
          <w:i w:val="0"/>
          <w:iCs w:val="0"/>
          <w:color w:val="000000"/>
          <w:spacing w:val="0"/>
          <w:w w:val="100"/>
          <w:sz w:val="24"/>
          <w:szCs w:val="24"/>
          <w:vertAlign w:val="baseline"/>
        </w:rPr>
        <w:t>XGBoost</w:t>
      </w:r>
      <w:r>
        <w:rPr>
          <w:rFonts w:hint="eastAsia" w:ascii="宋体" w:hAnsi="宋体" w:eastAsia="宋体" w:cs="宋体"/>
          <w:b w:val="0"/>
          <w:bCs w:val="0"/>
          <w:i w:val="0"/>
          <w:iCs w:val="0"/>
          <w:color w:val="000000"/>
          <w:spacing w:val="0"/>
          <w:w w:val="100"/>
          <w:sz w:val="24"/>
          <w:szCs w:val="24"/>
          <w:vertAlign w:val="baseline"/>
        </w:rPr>
        <w:t xml:space="preserve"> 算法与</w:t>
      </w:r>
      <w:r>
        <w:rPr>
          <w:rFonts w:hint="eastAsia" w:ascii="宋体" w:hAnsi="宋体" w:eastAsia="宋体" w:cs="宋体"/>
          <w:b/>
          <w:bCs/>
          <w:i w:val="0"/>
          <w:iCs w:val="0"/>
          <w:color w:val="000000"/>
          <w:spacing w:val="0"/>
          <w:w w:val="100"/>
          <w:sz w:val="24"/>
          <w:szCs w:val="24"/>
          <w:vertAlign w:val="baseline"/>
        </w:rPr>
        <w:t xml:space="preserve"> SHAP 博弈论</w:t>
      </w:r>
      <w:r>
        <w:rPr>
          <w:rFonts w:hint="eastAsia" w:ascii="宋体" w:hAnsi="宋体" w:eastAsia="宋体" w:cs="宋体"/>
          <w:b w:val="0"/>
          <w:bCs w:val="0"/>
          <w:i w:val="0"/>
          <w:iCs w:val="0"/>
          <w:color w:val="000000"/>
          <w:spacing w:val="0"/>
          <w:w w:val="100"/>
          <w:sz w:val="24"/>
          <w:szCs w:val="24"/>
          <w:vertAlign w:val="baseline"/>
        </w:rPr>
        <w:t>解释框架，明确其体验倾向与使用意愿的关键影响因素及边际效应；最后，通过</w:t>
      </w:r>
      <w:r>
        <w:rPr>
          <w:rFonts w:hint="eastAsia" w:ascii="宋体" w:hAnsi="宋体" w:eastAsia="宋体" w:cs="宋体"/>
          <w:b/>
          <w:bCs/>
          <w:i w:val="0"/>
          <w:iCs w:val="0"/>
          <w:color w:val="000000"/>
          <w:spacing w:val="0"/>
          <w:w w:val="100"/>
          <w:sz w:val="24"/>
          <w:szCs w:val="24"/>
          <w:vertAlign w:val="baseline"/>
        </w:rPr>
        <w:t xml:space="preserve"> PEST </w:t>
      </w:r>
      <w:r>
        <w:rPr>
          <w:rFonts w:hint="eastAsia" w:ascii="宋体" w:hAnsi="宋体" w:eastAsia="宋体" w:cs="宋体"/>
          <w:b w:val="0"/>
          <w:bCs w:val="0"/>
          <w:i w:val="0"/>
          <w:iCs w:val="0"/>
          <w:color w:val="000000"/>
          <w:spacing w:val="0"/>
          <w:w w:val="100"/>
          <w:sz w:val="24"/>
          <w:szCs w:val="24"/>
          <w:vertAlign w:val="baseline"/>
        </w:rPr>
        <w:t xml:space="preserve">与 </w:t>
      </w:r>
      <w:r>
        <w:rPr>
          <w:rFonts w:hint="eastAsia" w:ascii="宋体" w:hAnsi="宋体" w:eastAsia="宋体" w:cs="宋体"/>
          <w:b/>
          <w:bCs/>
          <w:i w:val="0"/>
          <w:iCs w:val="0"/>
          <w:color w:val="000000"/>
          <w:spacing w:val="0"/>
          <w:w w:val="100"/>
          <w:sz w:val="24"/>
          <w:szCs w:val="24"/>
          <w:vertAlign w:val="baseline"/>
        </w:rPr>
        <w:t>TOWS</w:t>
      </w:r>
      <w:r>
        <w:rPr>
          <w:rFonts w:hint="eastAsia" w:ascii="宋体" w:hAnsi="宋体" w:eastAsia="宋体" w:cs="宋体"/>
          <w:b w:val="0"/>
          <w:bCs w:val="0"/>
          <w:i w:val="0"/>
          <w:iCs w:val="0"/>
          <w:color w:val="000000"/>
          <w:spacing w:val="0"/>
          <w:w w:val="100"/>
          <w:sz w:val="24"/>
          <w:szCs w:val="24"/>
          <w:vertAlign w:val="baseline"/>
        </w:rPr>
        <w:t xml:space="preserve"> 分析开展内外部发展环境战略研判，结合相关分析预判健身驿站优化潜力与市场前景。</w:t>
      </w:r>
    </w:p>
    <w:p w14:paraId="3BB1A49F">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研究结论如下：用户层面，现有使用者以 19-30 岁、31-45 岁群体为主，健康意识与服务接受度较高，对</w:t>
      </w:r>
      <w:r>
        <w:rPr>
          <w:rFonts w:hint="eastAsia" w:ascii="宋体" w:hAnsi="宋体" w:eastAsia="宋体" w:cs="宋体"/>
          <w:b/>
          <w:bCs/>
          <w:i w:val="0"/>
          <w:iCs w:val="0"/>
          <w:color w:val="000000"/>
          <w:spacing w:val="0"/>
          <w:w w:val="100"/>
          <w:sz w:val="24"/>
          <w:szCs w:val="24"/>
          <w:vertAlign w:val="baseline"/>
        </w:rPr>
        <w:t>硬件、软性服务</w:t>
      </w:r>
      <w:r>
        <w:rPr>
          <w:rFonts w:hint="eastAsia" w:ascii="宋体" w:hAnsi="宋体" w:eastAsia="宋体" w:cs="宋体"/>
          <w:b w:val="0"/>
          <w:bCs w:val="0"/>
          <w:i w:val="0"/>
          <w:iCs w:val="0"/>
          <w:color w:val="000000"/>
          <w:spacing w:val="0"/>
          <w:w w:val="100"/>
          <w:sz w:val="24"/>
          <w:szCs w:val="24"/>
          <w:vertAlign w:val="baseline"/>
        </w:rPr>
        <w:t>及</w:t>
      </w:r>
      <w:r>
        <w:rPr>
          <w:rFonts w:hint="eastAsia" w:ascii="宋体" w:hAnsi="宋体" w:eastAsia="宋体" w:cs="宋体"/>
          <w:b/>
          <w:bCs/>
          <w:i w:val="0"/>
          <w:iCs w:val="0"/>
          <w:color w:val="000000"/>
          <w:spacing w:val="0"/>
          <w:w w:val="100"/>
          <w:sz w:val="24"/>
          <w:szCs w:val="24"/>
          <w:vertAlign w:val="baseline"/>
        </w:rPr>
        <w:t>数智体验</w:t>
      </w:r>
      <w:r>
        <w:rPr>
          <w:rFonts w:hint="eastAsia" w:ascii="宋体" w:hAnsi="宋体" w:eastAsia="宋体" w:cs="宋体"/>
          <w:b w:val="0"/>
          <w:bCs w:val="0"/>
          <w:i w:val="0"/>
          <w:iCs w:val="0"/>
          <w:color w:val="000000"/>
          <w:spacing w:val="0"/>
          <w:w w:val="100"/>
          <w:sz w:val="24"/>
          <w:szCs w:val="24"/>
          <w:vertAlign w:val="baseline"/>
        </w:rPr>
        <w:t>要求较高；潜在使用者对健身驿站有初步认知，价格敏感度偏高，重点关注</w:t>
      </w:r>
      <w:r>
        <w:rPr>
          <w:rFonts w:hint="eastAsia" w:ascii="宋体" w:hAnsi="宋体" w:eastAsia="宋体" w:cs="宋体"/>
          <w:b/>
          <w:bCs/>
          <w:i w:val="0"/>
          <w:iCs w:val="0"/>
          <w:color w:val="000000"/>
          <w:spacing w:val="0"/>
          <w:w w:val="100"/>
          <w:sz w:val="24"/>
          <w:szCs w:val="24"/>
          <w:vertAlign w:val="baseline"/>
        </w:rPr>
        <w:t>品牌口碑、新技术应用及服务普惠性</w:t>
      </w:r>
      <w:r>
        <w:rPr>
          <w:rFonts w:hint="eastAsia" w:ascii="宋体" w:hAnsi="宋体" w:eastAsia="宋体" w:cs="宋体"/>
          <w:b w:val="0"/>
          <w:bCs w:val="0"/>
          <w:i w:val="0"/>
          <w:iCs w:val="0"/>
          <w:color w:val="000000"/>
          <w:spacing w:val="0"/>
          <w:w w:val="100"/>
          <w:sz w:val="24"/>
          <w:szCs w:val="24"/>
          <w:vertAlign w:val="baseline"/>
        </w:rPr>
        <w:t>。服务效能层面，硬件设施与便利程度是服务感知的基础因素，设施可达性、器材完好率影响显著；软性服务（人员专业性、营业时间合理性）与数智体验（智能设备配置、数据服务闭环）为核心短板；服务效能存在非线性特征，步行 15 分钟是参与意愿临界值，设施维护 3 分是满意度底线。优化潜力层面，全龄适配与残障群体支持需求突出，适老化、适儿化改造亟待加强；用户对行业前景总体乐观，但实际使用者更关注性价比与使用痛点，潜在使用者转化需突破价格与体验壁垒。</w:t>
      </w:r>
    </w:p>
    <w:p w14:paraId="2ED2FCD8">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基于上述结论，结合 4P 理论与新公共服务理论，本文提出如下建议：（1）产品策略：强化全龄场景适配与功能定制，推进 “物联网 +” 改造，构建 AI 运动处方与数据闭环服务；（2）价格策略：采用 “公益 + 低偿” 阶梯定价模式，通过增值服务收入形成自我造血机制；（3）渠道策略：基于 GIS 技术精准填盲，构建 “15 分钟物理圈 + 24 小时数字圈”，融合多业态拓展服务辐射范围；（4）推广策略：建立 “一键报修” 极速响应闭环与设备健康度 “三色码” 管理，强化全民监督与动态预警；（5）保障策略：构建“政府 - 专业机构 - 社区 - 用户” 协同运营格局，完善人员培训与考核机制，补齐软性服务短板。</w:t>
      </w:r>
    </w:p>
    <w:p w14:paraId="29F98F3C">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bCs/>
          <w:i w:val="0"/>
          <w:iCs w:val="0"/>
          <w:color w:val="000000"/>
          <w:spacing w:val="0"/>
          <w:w w:val="100"/>
          <w:sz w:val="24"/>
          <w:szCs w:val="24"/>
          <w:vertAlign w:val="baseline"/>
        </w:rPr>
        <w:t>关键词：</w:t>
      </w:r>
      <w:r>
        <w:rPr>
          <w:rFonts w:hint="eastAsia" w:ascii="宋体" w:hAnsi="宋体" w:eastAsia="宋体" w:cs="宋体"/>
          <w:b w:val="0"/>
          <w:bCs w:val="0"/>
          <w:i w:val="0"/>
          <w:iCs w:val="0"/>
          <w:color w:val="000000"/>
          <w:spacing w:val="0"/>
          <w:w w:val="100"/>
          <w:sz w:val="24"/>
          <w:szCs w:val="24"/>
          <w:vertAlign w:val="baseline"/>
        </w:rPr>
        <w:t>上海；市民健身驿站；服务效能；公共体育服务；15 分钟健身圈；精准治理</w:t>
      </w:r>
    </w:p>
    <w:p w14:paraId="61A537B9">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2B6D62B0">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6930A4D8">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362047A1">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4A4B4A1E">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3D215E64">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1004048B">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1D0DD21F">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78855963">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257FC5A5">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4CFBFA6A">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0BD1EBAB">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2B5ECAEF">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5E0A15BF">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1D7703BF">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6B71B31C">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726C8C46">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59361A30">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39D02A14">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7AA4702D">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4D94E41F">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5BDD3B2D">
      <w:pPr>
        <w:pStyle w:val="2"/>
        <w:keepNext w:val="0"/>
        <w:keepLines w:val="0"/>
        <w:widowControl/>
        <w:suppressLineNumbers w:val="0"/>
        <w:spacing w:before="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233733BA">
      <w:pPr>
        <w:pStyle w:val="2"/>
        <w:keepNext w:val="0"/>
        <w:keepLines w:val="0"/>
        <w:widowControl/>
        <w:suppressLineNumbers w:val="0"/>
        <w:spacing w:before="0"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lang w:val="en-US"/>
        </w:rPr>
        <w:t> </w:t>
      </w:r>
    </w:p>
    <w:p w14:paraId="3FA01E02">
      <w:pPr>
        <w:pStyle w:val="2"/>
        <w:keepNext w:val="0"/>
        <w:keepLines w:val="0"/>
        <w:widowControl/>
        <w:numPr>
          <w:ilvl w:val="0"/>
          <w:numId w:val="1"/>
        </w:numPr>
        <w:suppressLineNumbers w:val="0"/>
        <w:spacing w:before="156" w:beforeAutospacing="0" w:after="0" w:afterAutospacing="0" w:line="13" w:lineRule="atLeast"/>
        <w:ind w:left="720" w:right="0" w:hanging="720"/>
        <w:jc w:val="center"/>
      </w:pPr>
      <w:r>
        <w:t xml:space="preserve"> </w:t>
      </w:r>
      <w:r>
        <w:rPr>
          <w:rFonts w:hint="eastAsia" w:ascii="黑体" w:hAnsi="宋体" w:eastAsia="黑体" w:cs="黑体"/>
          <w:b w:val="0"/>
          <w:bCs w:val="0"/>
          <w:i w:val="0"/>
          <w:iCs w:val="0"/>
          <w:color w:val="000000"/>
          <w:spacing w:val="0"/>
          <w:w w:val="100"/>
          <w:sz w:val="30"/>
          <w:szCs w:val="30"/>
          <w:vertAlign w:val="baseline"/>
        </w:rPr>
        <w:t>绪论</w:t>
      </w:r>
    </w:p>
    <w:p w14:paraId="21D7D89E">
      <w:pPr>
        <w:pStyle w:val="2"/>
        <w:keepNext w:val="0"/>
        <w:keepLines w:val="0"/>
        <w:widowControl/>
        <w:numPr>
          <w:ilvl w:val="0"/>
          <w:numId w:val="2"/>
        </w:numPr>
        <w:suppressLineNumbers w:val="0"/>
        <w:spacing w:before="156" w:beforeAutospacing="0" w:after="0" w:afterAutospacing="0" w:line="13" w:lineRule="atLeast"/>
        <w:ind w:left="840" w:right="0" w:hanging="840"/>
        <w:jc w:val="both"/>
      </w:pPr>
      <w:r>
        <w:t xml:space="preserve"> </w:t>
      </w:r>
      <w:r>
        <w:rPr>
          <w:rFonts w:hint="eastAsia" w:ascii="黑体" w:hAnsi="宋体" w:eastAsia="黑体" w:cs="黑体"/>
          <w:b w:val="0"/>
          <w:bCs w:val="0"/>
          <w:i w:val="0"/>
          <w:iCs w:val="0"/>
          <w:color w:val="1F2329"/>
          <w:spacing w:val="0"/>
          <w:w w:val="100"/>
          <w:sz w:val="28"/>
          <w:szCs w:val="28"/>
          <w:shd w:val="clear" w:fill="FFFFFF"/>
          <w:vertAlign w:val="baseline"/>
        </w:rPr>
        <w:t>主题探索：上海市民健身驿站的建设兴起与服务效能审视</w:t>
      </w:r>
    </w:p>
    <w:p w14:paraId="124863FB">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2014年，《国务院关于加快发展体育产业促进体育消费的若干意见》</w:t>
      </w:r>
      <w:r>
        <w:rPr>
          <w:rFonts w:hint="eastAsia" w:ascii="宋体" w:hAnsi="宋体" w:eastAsia="宋体" w:cs="宋体"/>
          <w:b w:val="0"/>
          <w:bCs w:val="0"/>
          <w:i w:val="0"/>
          <w:iCs w:val="0"/>
          <w:color w:val="000000"/>
          <w:spacing w:val="0"/>
          <w:w w:val="100"/>
          <w:sz w:val="24"/>
          <w:szCs w:val="24"/>
          <w:vertAlign w:val="superscript"/>
        </w:rPr>
        <w:t>[1]</w:t>
      </w:r>
      <w:r>
        <w:rPr>
          <w:rFonts w:hint="eastAsia" w:ascii="宋体" w:hAnsi="宋体" w:eastAsia="宋体" w:cs="宋体"/>
          <w:b w:val="0"/>
          <w:bCs w:val="0"/>
          <w:i w:val="0"/>
          <w:iCs w:val="0"/>
          <w:color w:val="000000"/>
          <w:spacing w:val="0"/>
          <w:w w:val="100"/>
          <w:sz w:val="24"/>
          <w:szCs w:val="24"/>
          <w:vertAlign w:val="baseline"/>
        </w:rPr>
        <w:t>的出台深化了全民健身国家战略，推动市民健身驿站等社区便民健身设施在全国兴起。上海市随即出台了《市民健身驿站建设导则》</w:t>
      </w:r>
      <w:r>
        <w:rPr>
          <w:rFonts w:hint="eastAsia" w:ascii="宋体" w:hAnsi="宋体" w:eastAsia="宋体" w:cs="宋体"/>
          <w:b w:val="0"/>
          <w:bCs w:val="0"/>
          <w:i w:val="0"/>
          <w:iCs w:val="0"/>
          <w:color w:val="000000"/>
          <w:spacing w:val="0"/>
          <w:w w:val="100"/>
          <w:sz w:val="24"/>
          <w:szCs w:val="24"/>
          <w:vertAlign w:val="superscript"/>
        </w:rPr>
        <w:t>[2]</w:t>
      </w:r>
      <w:r>
        <w:rPr>
          <w:rFonts w:hint="eastAsia" w:ascii="宋体" w:hAnsi="宋体" w:eastAsia="宋体" w:cs="宋体"/>
          <w:b w:val="0"/>
          <w:bCs w:val="0"/>
          <w:i w:val="0"/>
          <w:iCs w:val="0"/>
          <w:color w:val="000000"/>
          <w:spacing w:val="0"/>
          <w:w w:val="100"/>
          <w:sz w:val="24"/>
          <w:szCs w:val="24"/>
          <w:vertAlign w:val="baseline"/>
        </w:rPr>
        <w:t>等地方规范，明确其 “嵌入式、多功能、公益性” 定位，细化类型分级与智能配置要求，标志着相关工作重心从规模建设转向运营服务的</w:t>
      </w:r>
      <w:r>
        <w:rPr>
          <w:rFonts w:hint="eastAsia" w:ascii="宋体" w:hAnsi="宋体" w:eastAsia="宋体" w:cs="宋体"/>
          <w:b/>
          <w:bCs/>
          <w:i w:val="0"/>
          <w:iCs w:val="0"/>
          <w:color w:val="000000"/>
          <w:spacing w:val="0"/>
          <w:w w:val="100"/>
          <w:sz w:val="24"/>
          <w:szCs w:val="24"/>
          <w:vertAlign w:val="baseline"/>
        </w:rPr>
        <w:t>标准化</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精细化</w:t>
      </w:r>
      <w:r>
        <w:rPr>
          <w:rFonts w:hint="eastAsia" w:ascii="宋体" w:hAnsi="宋体" w:eastAsia="宋体" w:cs="宋体"/>
          <w:b w:val="0"/>
          <w:bCs w:val="0"/>
          <w:i w:val="0"/>
          <w:iCs w:val="0"/>
          <w:color w:val="000000"/>
          <w:spacing w:val="0"/>
          <w:w w:val="100"/>
          <w:sz w:val="24"/>
          <w:szCs w:val="24"/>
          <w:vertAlign w:val="baseline"/>
        </w:rPr>
        <w:t>。</w:t>
      </w:r>
    </w:p>
    <w:p w14:paraId="3285F798">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与遵循市场逻辑、面向付费消费群体的商业健身房不同，健身驿站以</w:t>
      </w:r>
      <w:r>
        <w:rPr>
          <w:rFonts w:hint="eastAsia" w:ascii="宋体" w:hAnsi="宋体" w:eastAsia="宋体" w:cs="宋体"/>
          <w:b/>
          <w:bCs/>
          <w:i w:val="0"/>
          <w:iCs w:val="0"/>
          <w:color w:val="000000"/>
          <w:spacing w:val="0"/>
          <w:w w:val="100"/>
          <w:sz w:val="24"/>
          <w:szCs w:val="24"/>
          <w:vertAlign w:val="baseline"/>
        </w:rPr>
        <w:t>公共服务</w:t>
      </w:r>
      <w:r>
        <w:rPr>
          <w:rFonts w:hint="eastAsia" w:ascii="宋体" w:hAnsi="宋体" w:eastAsia="宋体" w:cs="宋体"/>
          <w:b w:val="0"/>
          <w:bCs w:val="0"/>
          <w:i w:val="0"/>
          <w:iCs w:val="0"/>
          <w:color w:val="000000"/>
          <w:spacing w:val="0"/>
          <w:w w:val="100"/>
          <w:sz w:val="24"/>
          <w:szCs w:val="24"/>
          <w:vertAlign w:val="baseline"/>
        </w:rPr>
        <w:t>为核心，嵌入社区填补 “15 分钟生活圈” 设施缺口，不仅凸显普惠属性，更承载着商业场所难以替代的社会功能。如杨浦区市民健身驿站已通过“体卫联动”开具 600 余张“运动处方”，同时兼具户外劳动者歇脚点、残障人士康复站、邻里交往平台等多元价值，重点覆盖健身房未触及的群体与需求。</w:t>
      </w:r>
    </w:p>
    <w:p w14:paraId="29E50AC1">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目前，上海市民健身驿站已广泛布局各类城市空间，形成</w:t>
      </w:r>
      <w:r>
        <w:rPr>
          <w:rFonts w:hint="eastAsia" w:ascii="宋体" w:hAnsi="宋体" w:eastAsia="宋体" w:cs="宋体"/>
          <w:b/>
          <w:bCs/>
          <w:i w:val="0"/>
          <w:iCs w:val="0"/>
          <w:color w:val="000000"/>
          <w:spacing w:val="0"/>
          <w:w w:val="100"/>
          <w:sz w:val="24"/>
          <w:szCs w:val="24"/>
          <w:vertAlign w:val="baseline"/>
        </w:rPr>
        <w:t>民建民营、公建民营、公建公营</w:t>
      </w:r>
      <w:r>
        <w:rPr>
          <w:rFonts w:hint="eastAsia" w:ascii="宋体" w:hAnsi="宋体" w:eastAsia="宋体" w:cs="宋体"/>
          <w:b w:val="0"/>
          <w:bCs w:val="0"/>
          <w:i w:val="0"/>
          <w:iCs w:val="0"/>
          <w:color w:val="000000"/>
          <w:spacing w:val="0"/>
          <w:w w:val="100"/>
          <w:sz w:val="24"/>
          <w:szCs w:val="24"/>
          <w:vertAlign w:val="baseline"/>
        </w:rPr>
        <w:t>三种运营模式，硬件配置呈现从 50 平方米以上简易型到 200 平方米以上综合型（含体质测试与数字化指导）的梯度格局，满足市民差异化健身需求。但政策倡导的智能化、科学指导等高级服务落地效果尚未验证，设施数量增长背后，服务效能与政策设计、市民期待的匹配度，以及运营可持续性、服务标准化等问题仍待厘清。因此，开展上海健身驿站服务效能系统评估，既是检验政策执行成效的关键，也能精准识别供需差距，为优化管理、提质增效提供实践路径。</w:t>
      </w:r>
    </w:p>
    <w:p w14:paraId="4BD8D7F4">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（二）文献综述：社区健身驿站的研究进展与优化空间探析</w:t>
      </w:r>
    </w:p>
    <w:p w14:paraId="5645C43A">
      <w:pPr>
        <w:pStyle w:val="2"/>
        <w:keepNext w:val="0"/>
        <w:keepLines w:val="0"/>
        <w:widowControl/>
        <w:suppressLineNumbers w:val="0"/>
        <w:spacing w:before="5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1. 综述背景：健身驿站在公共体育服务中的价值与现实挑战</w:t>
      </w:r>
    </w:p>
    <w:p w14:paraId="2BA57387">
      <w:pPr>
        <w:pStyle w:val="2"/>
        <w:keepNext w:val="0"/>
        <w:keepLines w:val="0"/>
        <w:widowControl/>
        <w:suppressLineNumbers w:val="0"/>
        <w:spacing w:before="50" w:beforeAutospacing="0" w:after="0" w:afterAutospacing="0" w:line="13" w:lineRule="atLeast"/>
        <w:ind w:left="0" w:right="0" w:firstLine="210"/>
        <w:jc w:val="both"/>
      </w:pPr>
      <w:r>
        <w:rPr>
          <w:rFonts w:hint="eastAsia" w:ascii="宋体" w:hAnsi="宋体" w:eastAsia="宋体" w:cs="宋体"/>
          <w:b/>
          <w:bCs/>
          <w:i w:val="0"/>
          <w:iCs w:val="0"/>
          <w:color w:val="000000"/>
          <w:spacing w:val="0"/>
          <w:w w:val="100"/>
          <w:sz w:val="24"/>
          <w:szCs w:val="24"/>
          <w:vertAlign w:val="baseline"/>
        </w:rPr>
        <w:t>全民健身</w:t>
      </w:r>
      <w:r>
        <w:rPr>
          <w:rFonts w:hint="eastAsia" w:ascii="宋体" w:hAnsi="宋体" w:eastAsia="宋体" w:cs="宋体"/>
          <w:b w:val="0"/>
          <w:bCs w:val="0"/>
          <w:i w:val="0"/>
          <w:iCs w:val="0"/>
          <w:color w:val="000000"/>
          <w:spacing w:val="0"/>
          <w:w w:val="100"/>
          <w:sz w:val="24"/>
          <w:szCs w:val="24"/>
          <w:vertAlign w:val="baseline"/>
        </w:rPr>
        <w:t>已成为国家战略，《“十四五” 国民健康规划》</w:t>
      </w:r>
      <w:r>
        <w:rPr>
          <w:rFonts w:hint="eastAsia" w:ascii="宋体" w:hAnsi="宋体" w:eastAsia="宋体" w:cs="宋体"/>
          <w:b w:val="0"/>
          <w:bCs w:val="0"/>
          <w:i w:val="0"/>
          <w:iCs w:val="0"/>
          <w:color w:val="000000"/>
          <w:spacing w:val="0"/>
          <w:w w:val="100"/>
          <w:sz w:val="24"/>
          <w:szCs w:val="24"/>
          <w:vertAlign w:val="superscript"/>
        </w:rPr>
        <w:t>[3]</w:t>
      </w:r>
      <w:r>
        <w:rPr>
          <w:rFonts w:hint="eastAsia" w:ascii="宋体" w:hAnsi="宋体" w:eastAsia="宋体" w:cs="宋体"/>
          <w:b w:val="0"/>
          <w:bCs w:val="0"/>
          <w:i w:val="0"/>
          <w:iCs w:val="0"/>
          <w:color w:val="000000"/>
          <w:spacing w:val="0"/>
          <w:w w:val="100"/>
          <w:sz w:val="24"/>
          <w:szCs w:val="24"/>
          <w:vertAlign w:val="baseline"/>
        </w:rPr>
        <w:t>《全民健身计划（2021-2025 年）》</w:t>
      </w:r>
      <w:r>
        <w:rPr>
          <w:rFonts w:hint="eastAsia" w:ascii="宋体" w:hAnsi="宋体" w:eastAsia="宋体" w:cs="宋体"/>
          <w:b w:val="0"/>
          <w:bCs w:val="0"/>
          <w:i w:val="0"/>
          <w:iCs w:val="0"/>
          <w:color w:val="000000"/>
          <w:spacing w:val="0"/>
          <w:w w:val="100"/>
          <w:sz w:val="24"/>
          <w:szCs w:val="24"/>
          <w:vertAlign w:val="superscript"/>
        </w:rPr>
        <w:t>[4]</w:t>
      </w:r>
      <w:r>
        <w:rPr>
          <w:rFonts w:hint="eastAsia" w:ascii="宋体" w:hAnsi="宋体" w:eastAsia="宋体" w:cs="宋体"/>
          <w:b w:val="0"/>
          <w:bCs w:val="0"/>
          <w:i w:val="0"/>
          <w:iCs w:val="0"/>
          <w:color w:val="000000"/>
          <w:spacing w:val="0"/>
          <w:w w:val="100"/>
          <w:sz w:val="24"/>
          <w:szCs w:val="24"/>
          <w:vertAlign w:val="baseline"/>
        </w:rPr>
        <w:t>等政策文件明确提出构建更高水平的全民健身公共服务体系，而社区健身驿站作为 “15 分钟健身圈” 的核心载体，正是实现这一目标的关键抓手。</w:t>
      </w:r>
    </w:p>
    <w:p w14:paraId="44C91F08">
      <w:pPr>
        <w:pStyle w:val="2"/>
        <w:keepNext w:val="0"/>
        <w:keepLines w:val="0"/>
        <w:widowControl/>
        <w:suppressLineNumbers w:val="0"/>
        <w:spacing w:before="50"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为了更直观地呈现该领域的</w:t>
      </w:r>
      <w:r>
        <w:rPr>
          <w:rFonts w:hint="eastAsia" w:ascii="宋体" w:hAnsi="宋体" w:eastAsia="宋体" w:cs="宋体"/>
          <w:b/>
          <w:bCs/>
          <w:i w:val="0"/>
          <w:iCs w:val="0"/>
          <w:color w:val="000000"/>
          <w:spacing w:val="0"/>
          <w:w w:val="100"/>
          <w:sz w:val="24"/>
          <w:szCs w:val="24"/>
          <w:vertAlign w:val="baseline"/>
        </w:rPr>
        <w:t>研究热点</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关联</w:t>
      </w:r>
      <w:r>
        <w:rPr>
          <w:rFonts w:hint="eastAsia" w:ascii="宋体" w:hAnsi="宋体" w:eastAsia="宋体" w:cs="宋体"/>
          <w:b w:val="0"/>
          <w:bCs w:val="0"/>
          <w:i w:val="0"/>
          <w:iCs w:val="0"/>
          <w:color w:val="000000"/>
          <w:spacing w:val="0"/>
          <w:w w:val="100"/>
          <w:sz w:val="24"/>
          <w:szCs w:val="24"/>
          <w:vertAlign w:val="baseline"/>
        </w:rPr>
        <w:t>，本文通过VOSviewer对2020-2025年相关文献进行关键词共现分析，如下图所示：</w:t>
      </w:r>
    </w:p>
    <w:p w14:paraId="4BBCE98E">
      <w:pPr>
        <w:pStyle w:val="2"/>
        <w:keepNext w:val="0"/>
        <w:keepLines w:val="0"/>
        <w:widowControl/>
        <w:suppressLineNumbers w:val="0"/>
        <w:spacing w:before="50" w:beforeAutospacing="0" w:after="0" w:afterAutospacing="0" w:line="13" w:lineRule="atLeast"/>
        <w:ind w:left="0" w:right="0"/>
        <w:jc w:val="both"/>
      </w:pPr>
      <w:r>
        <w:drawing>
          <wp:inline distT="0" distB="0" distL="114300" distR="114300">
            <wp:extent cx="5267325" cy="4105275"/>
            <wp:effectExtent l="0" t="0" r="3175" b="9525"/>
            <wp:docPr id="67"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6" descr="IMG_256"/>
                    <pic:cNvPicPr>
                      <a:picLocks noChangeAspect="1"/>
                    </pic:cNvPicPr>
                  </pic:nvPicPr>
                  <pic:blipFill>
                    <a:blip r:embed="rId4"/>
                    <a:stretch>
                      <a:fillRect/>
                    </a:stretch>
                  </pic:blipFill>
                  <pic:spPr>
                    <a:xfrm>
                      <a:off x="0" y="0"/>
                      <a:ext cx="5267325" cy="4105275"/>
                    </a:xfrm>
                    <a:prstGeom prst="rect">
                      <a:avLst/>
                    </a:prstGeom>
                    <a:noFill/>
                    <a:ln w="9525">
                      <a:noFill/>
                    </a:ln>
                  </pic:spPr>
                </pic:pic>
              </a:graphicData>
            </a:graphic>
          </wp:inline>
        </w:drawing>
      </w:r>
    </w:p>
    <w:p w14:paraId="484E86FA">
      <w:pPr>
        <w:pStyle w:val="2"/>
        <w:keepNext w:val="0"/>
        <w:keepLines w:val="0"/>
        <w:widowControl/>
        <w:suppressLineNumbers w:val="0"/>
        <w:spacing w:before="50" w:beforeAutospacing="0" w:after="0" w:afterAutospacing="0" w:line="13" w:lineRule="atLeast"/>
        <w:ind w:left="0" w:right="0" w:firstLine="420"/>
        <w:jc w:val="center"/>
      </w:pPr>
      <w:r>
        <w:rPr>
          <w:rFonts w:hint="eastAsia" w:ascii="宋体" w:hAnsi="宋体" w:eastAsia="宋体" w:cs="宋体"/>
          <w:b w:val="0"/>
          <w:bCs w:val="0"/>
          <w:i w:val="0"/>
          <w:iCs w:val="0"/>
          <w:color w:val="000000"/>
          <w:spacing w:val="0"/>
          <w:w w:val="100"/>
          <w:sz w:val="24"/>
          <w:szCs w:val="24"/>
          <w:vertAlign w:val="baseline"/>
        </w:rPr>
        <w:t>图1 健身驿站相关文献关键词网络图</w:t>
      </w:r>
    </w:p>
    <w:p w14:paraId="6F94B9B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结果显示：</w:t>
      </w:r>
      <w:r>
        <w:rPr>
          <w:rFonts w:hint="eastAsia" w:ascii="宋体" w:hAnsi="宋体" w:eastAsia="宋体" w:cs="宋体"/>
          <w:b/>
          <w:bCs/>
          <w:i w:val="0"/>
          <w:iCs w:val="0"/>
          <w:color w:val="000000"/>
          <w:spacing w:val="0"/>
          <w:w w:val="100"/>
          <w:sz w:val="24"/>
          <w:szCs w:val="24"/>
          <w:vertAlign w:val="baseline"/>
        </w:rPr>
        <w:t>“公共体育服务”“全民健身”</w:t>
      </w:r>
      <w:r>
        <w:rPr>
          <w:rFonts w:hint="eastAsia" w:ascii="宋体" w:hAnsi="宋体" w:eastAsia="宋体" w:cs="宋体"/>
          <w:b w:val="0"/>
          <w:bCs w:val="0"/>
          <w:i w:val="0"/>
          <w:iCs w:val="0"/>
          <w:color w:val="000000"/>
          <w:spacing w:val="0"/>
          <w:w w:val="100"/>
          <w:sz w:val="24"/>
          <w:szCs w:val="24"/>
          <w:vertAlign w:val="baseline"/>
        </w:rPr>
        <w:t>是研究的核心节点，与 “高质量发展”“精准供给”“智慧体育”等关键词紧密关联，而“健身驿站”作为社区体育的重要载体，其研究主要依附于“社区体育”“全龄友好” 等分支脉络，尚未形成独立的研究热点，反映出该领域的系统性研究仍有提升空间。</w:t>
      </w:r>
    </w:p>
    <w:p w14:paraId="378DBCBD">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现有研究普遍认为，健身驿站通过“家门口”的设施供给，有效降低了居民的健身门槛，显著提升了全民健身的参与度</w:t>
      </w:r>
      <w:r>
        <w:rPr>
          <w:rFonts w:hint="eastAsia" w:ascii="宋体" w:hAnsi="宋体" w:eastAsia="宋体" w:cs="宋体"/>
          <w:b w:val="0"/>
          <w:bCs w:val="0"/>
          <w:i w:val="0"/>
          <w:iCs w:val="0"/>
          <w:color w:val="000000"/>
          <w:spacing w:val="0"/>
          <w:w w:val="100"/>
          <w:sz w:val="24"/>
          <w:szCs w:val="24"/>
          <w:vertAlign w:val="superscript"/>
        </w:rPr>
        <w:t>[5]</w:t>
      </w:r>
      <w:r>
        <w:rPr>
          <w:rFonts w:hint="eastAsia" w:ascii="宋体" w:hAnsi="宋体" w:eastAsia="宋体" w:cs="宋体"/>
          <w:b w:val="0"/>
          <w:bCs w:val="0"/>
          <w:i w:val="0"/>
          <w:iCs w:val="0"/>
          <w:color w:val="000000"/>
          <w:spacing w:val="0"/>
          <w:w w:val="100"/>
          <w:sz w:val="24"/>
          <w:szCs w:val="24"/>
          <w:vertAlign w:val="baseline"/>
        </w:rPr>
        <w:t>。但随着服务场景的复杂化，其服务效能也面临多重挑战：一方面，设施布局与人口需求的错配、运维管理的滞后，导致部分驿站 “建而不用”</w:t>
      </w:r>
      <w:r>
        <w:rPr>
          <w:rFonts w:hint="eastAsia" w:ascii="宋体" w:hAnsi="宋体" w:eastAsia="宋体" w:cs="宋体"/>
          <w:b w:val="0"/>
          <w:bCs w:val="0"/>
          <w:i w:val="0"/>
          <w:iCs w:val="0"/>
          <w:color w:val="000000"/>
          <w:spacing w:val="0"/>
          <w:w w:val="100"/>
          <w:sz w:val="24"/>
          <w:szCs w:val="24"/>
          <w:vertAlign w:val="superscript"/>
        </w:rPr>
        <w:t>[6]</w:t>
      </w:r>
      <w:r>
        <w:rPr>
          <w:rFonts w:hint="eastAsia" w:ascii="宋体" w:hAnsi="宋体" w:eastAsia="宋体" w:cs="宋体"/>
          <w:b w:val="0"/>
          <w:bCs w:val="0"/>
          <w:i w:val="0"/>
          <w:iCs w:val="0"/>
          <w:color w:val="000000"/>
          <w:spacing w:val="0"/>
          <w:w w:val="100"/>
          <w:sz w:val="24"/>
          <w:szCs w:val="24"/>
          <w:vertAlign w:val="baseline"/>
        </w:rPr>
        <w:t>；另一方面，全龄适配性不足、残障群体服务缺失等问题，也制约了服务的普惠性</w:t>
      </w:r>
      <w:r>
        <w:rPr>
          <w:rFonts w:hint="eastAsia" w:ascii="宋体" w:hAnsi="宋体" w:eastAsia="宋体" w:cs="宋体"/>
          <w:b w:val="0"/>
          <w:bCs w:val="0"/>
          <w:i w:val="0"/>
          <w:iCs w:val="0"/>
          <w:color w:val="000000"/>
          <w:spacing w:val="0"/>
          <w:w w:val="100"/>
          <w:sz w:val="24"/>
          <w:szCs w:val="24"/>
          <w:vertAlign w:val="superscript"/>
        </w:rPr>
        <w:t>[7]</w:t>
      </w:r>
      <w:r>
        <w:rPr>
          <w:rFonts w:hint="eastAsia" w:ascii="宋体" w:hAnsi="宋体" w:eastAsia="宋体" w:cs="宋体"/>
          <w:b w:val="0"/>
          <w:bCs w:val="0"/>
          <w:i w:val="0"/>
          <w:iCs w:val="0"/>
          <w:color w:val="000000"/>
          <w:spacing w:val="0"/>
          <w:w w:val="100"/>
          <w:sz w:val="24"/>
          <w:szCs w:val="24"/>
          <w:vertAlign w:val="baseline"/>
        </w:rPr>
        <w:t>。</w:t>
      </w:r>
    </w:p>
    <w:p w14:paraId="3BD828FE">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现有研究对健身驿站服务效能的评估多聚焦于设施数量、覆盖范围等表层指标，缺乏对服务质量、用户体验及可持续运营的系统性考量。本文通过系统梳理 2020—2025 年 CNKI 核心期刊论文、行业白皮书及地方政策文件，构建 “政策 — 场景 — 用户”三维分析框架，从</w:t>
      </w:r>
      <w:r>
        <w:rPr>
          <w:rFonts w:hint="eastAsia" w:ascii="宋体" w:hAnsi="宋体" w:eastAsia="宋体" w:cs="宋体"/>
          <w:b/>
          <w:bCs/>
          <w:i w:val="0"/>
          <w:iCs w:val="0"/>
          <w:color w:val="000000"/>
          <w:spacing w:val="0"/>
          <w:w w:val="100"/>
          <w:sz w:val="24"/>
          <w:szCs w:val="24"/>
          <w:vertAlign w:val="baseline"/>
        </w:rPr>
        <w:t>政策执行、场景适配</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用户需求</w:t>
      </w:r>
      <w:r>
        <w:rPr>
          <w:rFonts w:hint="eastAsia" w:ascii="宋体" w:hAnsi="宋体" w:eastAsia="宋体" w:cs="宋体"/>
          <w:b w:val="0"/>
          <w:bCs w:val="0"/>
          <w:i w:val="0"/>
          <w:iCs w:val="0"/>
          <w:color w:val="000000"/>
          <w:spacing w:val="0"/>
          <w:w w:val="100"/>
          <w:sz w:val="24"/>
          <w:szCs w:val="24"/>
          <w:vertAlign w:val="baseline"/>
        </w:rPr>
        <w:t>三个维度，系统剖析健身驿站服务效能的提升逻辑与研究缺口，为后续实证研究与实践优化提供理论支撑。</w:t>
      </w:r>
    </w:p>
    <w:p w14:paraId="4EA002AC">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三维解析：健身驿站服务效能的政策演进、场景实践与用户需求</w:t>
      </w:r>
    </w:p>
    <w:p w14:paraId="122B077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（1）政策演进与顶层设计</w:t>
      </w:r>
    </w:p>
    <w:p w14:paraId="025E3CD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国家层面的政策推动经历了从“设施补短板”到“服务提效能”的转变：</w:t>
      </w:r>
    </w:p>
    <w:p w14:paraId="79E0539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2020-2022 年：政策核心聚焦于设施数量的快速扩张，通过《关于加强全民健身场地设施建设发展群众体育的意见》</w:t>
      </w:r>
      <w:r>
        <w:rPr>
          <w:rFonts w:hint="eastAsia" w:ascii="宋体" w:hAnsi="宋体" w:eastAsia="宋体" w:cs="宋体"/>
          <w:b w:val="0"/>
          <w:bCs w:val="0"/>
          <w:i w:val="0"/>
          <w:iCs w:val="0"/>
          <w:color w:val="000000"/>
          <w:spacing w:val="0"/>
          <w:w w:val="100"/>
          <w:sz w:val="24"/>
          <w:szCs w:val="24"/>
          <w:vertAlign w:val="superscript"/>
        </w:rPr>
        <w:t>[8]</w:t>
      </w:r>
      <w:r>
        <w:rPr>
          <w:rFonts w:hint="eastAsia" w:ascii="宋体" w:hAnsi="宋体" w:eastAsia="宋体" w:cs="宋体"/>
          <w:b w:val="0"/>
          <w:bCs w:val="0"/>
          <w:i w:val="0"/>
          <w:iCs w:val="0"/>
          <w:color w:val="000000"/>
          <w:spacing w:val="0"/>
          <w:w w:val="100"/>
          <w:sz w:val="24"/>
          <w:szCs w:val="24"/>
          <w:vertAlign w:val="baseline"/>
        </w:rPr>
        <w:t>等文件，明确了健身驿站的</w:t>
      </w:r>
      <w:r>
        <w:rPr>
          <w:rFonts w:hint="eastAsia" w:ascii="宋体" w:hAnsi="宋体" w:eastAsia="宋体" w:cs="宋体"/>
          <w:b/>
          <w:bCs/>
          <w:i w:val="0"/>
          <w:iCs w:val="0"/>
          <w:color w:val="000000"/>
          <w:spacing w:val="0"/>
          <w:w w:val="100"/>
          <w:sz w:val="24"/>
          <w:szCs w:val="24"/>
          <w:vertAlign w:val="baseline"/>
        </w:rPr>
        <w:t>建设目标</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财政支持</w:t>
      </w:r>
      <w:r>
        <w:rPr>
          <w:rFonts w:hint="eastAsia" w:ascii="宋体" w:hAnsi="宋体" w:eastAsia="宋体" w:cs="宋体"/>
          <w:b w:val="0"/>
          <w:bCs w:val="0"/>
          <w:i w:val="0"/>
          <w:iCs w:val="0"/>
          <w:color w:val="000000"/>
          <w:spacing w:val="0"/>
          <w:w w:val="100"/>
          <w:sz w:val="24"/>
          <w:szCs w:val="24"/>
          <w:vertAlign w:val="baseline"/>
        </w:rPr>
        <w:t>。</w:t>
      </w:r>
    </w:p>
    <w:p w14:paraId="74D0F37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2023 年至今：政策转向服务质量的精细化提升，《关于构建更高水平的全民健身公共服务体系的意见》</w:t>
      </w:r>
      <w:r>
        <w:rPr>
          <w:rFonts w:hint="eastAsia" w:ascii="宋体" w:hAnsi="宋体" w:eastAsia="宋体" w:cs="宋体"/>
          <w:b w:val="0"/>
          <w:bCs w:val="0"/>
          <w:i w:val="0"/>
          <w:iCs w:val="0"/>
          <w:color w:val="000000"/>
          <w:spacing w:val="0"/>
          <w:w w:val="100"/>
          <w:sz w:val="24"/>
          <w:szCs w:val="24"/>
          <w:vertAlign w:val="superscript"/>
        </w:rPr>
        <w:t>[9]</w:t>
      </w:r>
      <w:r>
        <w:rPr>
          <w:rFonts w:hint="eastAsia" w:ascii="宋体" w:hAnsi="宋体" w:eastAsia="宋体" w:cs="宋体"/>
          <w:b w:val="0"/>
          <w:bCs w:val="0"/>
          <w:i w:val="0"/>
          <w:iCs w:val="0"/>
          <w:color w:val="000000"/>
          <w:spacing w:val="0"/>
          <w:w w:val="100"/>
          <w:sz w:val="24"/>
          <w:szCs w:val="24"/>
          <w:vertAlign w:val="baseline"/>
        </w:rPr>
        <w:t xml:space="preserve">提出 </w:t>
      </w:r>
      <w:r>
        <w:rPr>
          <w:rFonts w:hint="eastAsia" w:ascii="宋体" w:hAnsi="宋体" w:eastAsia="宋体" w:cs="宋体"/>
          <w:b/>
          <w:bCs/>
          <w:i w:val="0"/>
          <w:iCs w:val="0"/>
          <w:color w:val="000000"/>
          <w:spacing w:val="0"/>
          <w:w w:val="100"/>
          <w:sz w:val="24"/>
          <w:szCs w:val="24"/>
          <w:vertAlign w:val="baseline"/>
        </w:rPr>
        <w:t>“全龄友好”“智慧赋能”</w:t>
      </w:r>
      <w:r>
        <w:rPr>
          <w:rFonts w:hint="eastAsia" w:ascii="宋体" w:hAnsi="宋体" w:eastAsia="宋体" w:cs="宋体"/>
          <w:b w:val="0"/>
          <w:bCs w:val="0"/>
          <w:i w:val="0"/>
          <w:iCs w:val="0"/>
          <w:color w:val="000000"/>
          <w:spacing w:val="0"/>
          <w:w w:val="100"/>
          <w:sz w:val="24"/>
          <w:szCs w:val="24"/>
          <w:vertAlign w:val="baseline"/>
        </w:rPr>
        <w:t>等新要求，强调通过场景创新与技术赋能来提升服务效能。</w:t>
      </w:r>
    </w:p>
    <w:p w14:paraId="554505F8">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地方实践中，以上海为代表的城市已探索出“政府主导、市场运营、社会参与” 的多元模式，但江岑</w:t>
      </w:r>
      <w:r>
        <w:rPr>
          <w:rFonts w:hint="eastAsia" w:ascii="宋体" w:hAnsi="宋体" w:eastAsia="宋体" w:cs="宋体"/>
          <w:b w:val="0"/>
          <w:bCs w:val="0"/>
          <w:i w:val="0"/>
          <w:iCs w:val="0"/>
          <w:color w:val="000000"/>
          <w:spacing w:val="0"/>
          <w:w w:val="100"/>
          <w:sz w:val="24"/>
          <w:szCs w:val="24"/>
          <w:vertAlign w:val="superscript"/>
        </w:rPr>
        <w:t xml:space="preserve"> [5]</w:t>
      </w:r>
      <w:r>
        <w:rPr>
          <w:rFonts w:hint="eastAsia" w:ascii="宋体" w:hAnsi="宋体" w:eastAsia="宋体" w:cs="宋体"/>
          <w:b w:val="0"/>
          <w:bCs w:val="0"/>
          <w:i w:val="0"/>
          <w:iCs w:val="0"/>
          <w:color w:val="000000"/>
          <w:spacing w:val="0"/>
          <w:w w:val="100"/>
          <w:sz w:val="24"/>
          <w:szCs w:val="24"/>
          <w:vertAlign w:val="baseline"/>
        </w:rPr>
        <w:t>等学者指出，智慧化改造中的 “重技术、轻运营” 倾向，仍导致部分驿站的服务效能未能充分释放。这一观点与田静</w:t>
      </w:r>
      <w:r>
        <w:rPr>
          <w:rFonts w:hint="eastAsia" w:ascii="宋体" w:hAnsi="宋体" w:eastAsia="宋体" w:cs="宋体"/>
          <w:b w:val="0"/>
          <w:bCs w:val="0"/>
          <w:i w:val="0"/>
          <w:iCs w:val="0"/>
          <w:color w:val="000000"/>
          <w:spacing w:val="0"/>
          <w:w w:val="100"/>
          <w:sz w:val="24"/>
          <w:szCs w:val="24"/>
          <w:vertAlign w:val="superscript"/>
        </w:rPr>
        <w:t xml:space="preserve"> [10]</w:t>
      </w:r>
      <w:r>
        <w:rPr>
          <w:rFonts w:hint="eastAsia" w:ascii="宋体" w:hAnsi="宋体" w:eastAsia="宋体" w:cs="宋体"/>
          <w:b w:val="0"/>
          <w:bCs w:val="0"/>
          <w:i w:val="0"/>
          <w:iCs w:val="0"/>
          <w:color w:val="000000"/>
          <w:spacing w:val="0"/>
          <w:w w:val="100"/>
          <w:sz w:val="24"/>
          <w:szCs w:val="24"/>
          <w:vertAlign w:val="baseline"/>
        </w:rPr>
        <w:t>等对上海、深圳等城市的调研结论相呼应，共同揭示了</w:t>
      </w:r>
      <w:r>
        <w:rPr>
          <w:rFonts w:hint="eastAsia" w:ascii="宋体" w:hAnsi="宋体" w:eastAsia="宋体" w:cs="宋体"/>
          <w:b/>
          <w:bCs/>
          <w:i w:val="0"/>
          <w:iCs w:val="0"/>
          <w:color w:val="000000"/>
          <w:spacing w:val="0"/>
          <w:w w:val="100"/>
          <w:sz w:val="24"/>
          <w:szCs w:val="24"/>
          <w:vertAlign w:val="baseline"/>
        </w:rPr>
        <w:t>政策目标</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落地效果</w:t>
      </w:r>
      <w:r>
        <w:rPr>
          <w:rFonts w:hint="eastAsia" w:ascii="宋体" w:hAnsi="宋体" w:eastAsia="宋体" w:cs="宋体"/>
          <w:b w:val="0"/>
          <w:bCs w:val="0"/>
          <w:i w:val="0"/>
          <w:iCs w:val="0"/>
          <w:color w:val="000000"/>
          <w:spacing w:val="0"/>
          <w:w w:val="100"/>
          <w:sz w:val="24"/>
          <w:szCs w:val="24"/>
          <w:vertAlign w:val="baseline"/>
        </w:rPr>
        <w:t>之间的偏差。</w:t>
      </w:r>
    </w:p>
    <w:p w14:paraId="32B58DE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（2）场景实践与效能瓶颈</w:t>
      </w:r>
    </w:p>
    <w:p w14:paraId="3186BD7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健身驿站的服务场景可分为</w:t>
      </w:r>
      <w:r>
        <w:rPr>
          <w:rFonts w:hint="eastAsia" w:ascii="宋体" w:hAnsi="宋体" w:eastAsia="宋体" w:cs="宋体"/>
          <w:b/>
          <w:bCs/>
          <w:i w:val="0"/>
          <w:iCs w:val="0"/>
          <w:color w:val="000000"/>
          <w:spacing w:val="0"/>
          <w:w w:val="100"/>
          <w:sz w:val="24"/>
          <w:szCs w:val="24"/>
          <w:vertAlign w:val="baseline"/>
        </w:rPr>
        <w:t>“基础运维”“全龄适配”</w:t>
      </w:r>
      <w:r>
        <w:rPr>
          <w:rFonts w:hint="eastAsia" w:ascii="宋体" w:hAnsi="宋体" w:eastAsia="宋体" w:cs="宋体"/>
          <w:b w:val="0"/>
          <w:bCs w:val="0"/>
          <w:i w:val="0"/>
          <w:iCs w:val="0"/>
          <w:color w:val="000000"/>
          <w:spacing w:val="0"/>
          <w:w w:val="100"/>
          <w:sz w:val="24"/>
          <w:szCs w:val="24"/>
          <w:vertAlign w:val="baseline"/>
        </w:rPr>
        <w:t xml:space="preserve"> 与 </w:t>
      </w:r>
      <w:r>
        <w:rPr>
          <w:rFonts w:hint="eastAsia" w:ascii="宋体" w:hAnsi="宋体" w:eastAsia="宋体" w:cs="宋体"/>
          <w:b/>
          <w:bCs/>
          <w:i w:val="0"/>
          <w:iCs w:val="0"/>
          <w:color w:val="000000"/>
          <w:spacing w:val="0"/>
          <w:w w:val="100"/>
          <w:sz w:val="24"/>
          <w:szCs w:val="24"/>
          <w:vertAlign w:val="baseline"/>
        </w:rPr>
        <w:t>“智慧升级”</w:t>
      </w:r>
      <w:r>
        <w:rPr>
          <w:rFonts w:hint="eastAsia" w:ascii="宋体" w:hAnsi="宋体" w:eastAsia="宋体" w:cs="宋体"/>
          <w:b w:val="0"/>
          <w:bCs w:val="0"/>
          <w:i w:val="0"/>
          <w:iCs w:val="0"/>
          <w:color w:val="000000"/>
          <w:spacing w:val="0"/>
          <w:w w:val="100"/>
          <w:sz w:val="24"/>
          <w:szCs w:val="24"/>
          <w:vertAlign w:val="baseline"/>
        </w:rPr>
        <w:t xml:space="preserve"> 三大类：</w:t>
      </w:r>
    </w:p>
    <w:p w14:paraId="3A2F1759">
      <w:pPr>
        <w:pStyle w:val="2"/>
        <w:keepNext w:val="0"/>
        <w:keepLines w:val="0"/>
        <w:widowControl/>
        <w:numPr>
          <w:ilvl w:val="0"/>
          <w:numId w:val="3"/>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基础运维场景：</w:t>
      </w:r>
      <w:r>
        <w:rPr>
          <w:rFonts w:hint="eastAsia" w:ascii="宋体" w:hAnsi="宋体" w:eastAsia="宋体" w:cs="宋体"/>
          <w:b w:val="0"/>
          <w:bCs w:val="0"/>
          <w:i w:val="0"/>
          <w:iCs w:val="0"/>
          <w:color w:val="000000"/>
          <w:spacing w:val="0"/>
          <w:w w:val="100"/>
          <w:sz w:val="24"/>
          <w:szCs w:val="24"/>
          <w:vertAlign w:val="baseline"/>
        </w:rPr>
        <w:t>设施老化、器材损坏率高是普遍痛点。周苡萱等研究显示，国内大量健身驿站存在器材维护不及时的问题，直接影响了居民的使用意愿。</w:t>
      </w:r>
    </w:p>
    <w:p w14:paraId="54493DBF">
      <w:pPr>
        <w:pStyle w:val="2"/>
        <w:keepNext w:val="0"/>
        <w:keepLines w:val="0"/>
        <w:widowControl/>
        <w:numPr>
          <w:ilvl w:val="0"/>
          <w:numId w:val="3"/>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全龄适配场景：</w:t>
      </w:r>
      <w:r>
        <w:rPr>
          <w:rFonts w:hint="eastAsia" w:ascii="宋体" w:hAnsi="宋体" w:eastAsia="宋体" w:cs="宋体"/>
          <w:b w:val="0"/>
          <w:bCs w:val="0"/>
          <w:i w:val="0"/>
          <w:iCs w:val="0"/>
          <w:color w:val="000000"/>
          <w:spacing w:val="0"/>
          <w:w w:val="100"/>
          <w:sz w:val="24"/>
          <w:szCs w:val="24"/>
          <w:vertAlign w:val="baseline"/>
        </w:rPr>
        <w:t>现有设施多以中青年为核心用户，对儿童、老年人及残障群体的适配性不足。王燕</w:t>
      </w:r>
      <w:r>
        <w:rPr>
          <w:rFonts w:hint="eastAsia" w:ascii="宋体" w:hAnsi="宋体" w:eastAsia="宋体" w:cs="宋体"/>
          <w:b w:val="0"/>
          <w:bCs w:val="0"/>
          <w:i w:val="0"/>
          <w:iCs w:val="0"/>
          <w:color w:val="000000"/>
          <w:spacing w:val="0"/>
          <w:w w:val="100"/>
          <w:sz w:val="24"/>
          <w:szCs w:val="24"/>
          <w:vertAlign w:val="superscript"/>
        </w:rPr>
        <w:t>[7]</w:t>
      </w:r>
      <w:r>
        <w:rPr>
          <w:rFonts w:hint="eastAsia" w:ascii="宋体" w:hAnsi="宋体" w:eastAsia="宋体" w:cs="宋体"/>
          <w:b w:val="0"/>
          <w:bCs w:val="0"/>
          <w:i w:val="0"/>
          <w:iCs w:val="0"/>
          <w:color w:val="000000"/>
          <w:spacing w:val="0"/>
          <w:w w:val="100"/>
          <w:sz w:val="24"/>
          <w:szCs w:val="24"/>
          <w:vertAlign w:val="baseline"/>
        </w:rPr>
        <w:t>等在长三角地区的调研发现，18%左右的驿站配备了适老化设施，残障群体的服务覆盖率更低。</w:t>
      </w:r>
    </w:p>
    <w:p w14:paraId="397AFB53">
      <w:pPr>
        <w:pStyle w:val="2"/>
        <w:keepNext w:val="0"/>
        <w:keepLines w:val="0"/>
        <w:widowControl/>
        <w:numPr>
          <w:ilvl w:val="0"/>
          <w:numId w:val="3"/>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智慧升级场景：</w:t>
      </w:r>
      <w:r>
        <w:rPr>
          <w:rFonts w:hint="eastAsia" w:ascii="宋体" w:hAnsi="宋体" w:eastAsia="宋体" w:cs="宋体"/>
          <w:b w:val="0"/>
          <w:bCs w:val="0"/>
          <w:i w:val="0"/>
          <w:iCs w:val="0"/>
          <w:color w:val="000000"/>
          <w:spacing w:val="0"/>
          <w:w w:val="100"/>
          <w:sz w:val="24"/>
          <w:szCs w:val="24"/>
          <w:vertAlign w:val="baseline"/>
        </w:rPr>
        <w:t>物联网、AI 等技术的应用虽提升了管理效率，但田静</w:t>
      </w:r>
      <w:r>
        <w:rPr>
          <w:rFonts w:hint="eastAsia" w:ascii="宋体" w:hAnsi="宋体" w:eastAsia="宋体" w:cs="宋体"/>
          <w:b w:val="0"/>
          <w:bCs w:val="0"/>
          <w:i w:val="0"/>
          <w:iCs w:val="0"/>
          <w:color w:val="000000"/>
          <w:spacing w:val="0"/>
          <w:w w:val="100"/>
          <w:sz w:val="24"/>
          <w:szCs w:val="24"/>
          <w:vertAlign w:val="superscript"/>
        </w:rPr>
        <w:t>[9]</w:t>
      </w:r>
      <w:r>
        <w:rPr>
          <w:rFonts w:hint="eastAsia" w:ascii="宋体" w:hAnsi="宋体" w:eastAsia="宋体" w:cs="宋体"/>
          <w:b w:val="0"/>
          <w:bCs w:val="0"/>
          <w:i w:val="0"/>
          <w:iCs w:val="0"/>
          <w:color w:val="000000"/>
          <w:spacing w:val="0"/>
          <w:w w:val="100"/>
          <w:sz w:val="24"/>
          <w:szCs w:val="24"/>
          <w:vertAlign w:val="baseline"/>
        </w:rPr>
        <w:t>等指出，“无感式”数据采集与用户需求的精准匹配仍存在鸿沟，导致智慧化投入的效能转化率不足。邹新娴</w:t>
      </w:r>
      <w:r>
        <w:rPr>
          <w:rFonts w:hint="eastAsia" w:ascii="宋体" w:hAnsi="宋体" w:eastAsia="宋体" w:cs="宋体"/>
          <w:b w:val="0"/>
          <w:bCs w:val="0"/>
          <w:i w:val="0"/>
          <w:iCs w:val="0"/>
          <w:color w:val="000000"/>
          <w:spacing w:val="0"/>
          <w:w w:val="100"/>
          <w:sz w:val="24"/>
          <w:szCs w:val="24"/>
          <w:vertAlign w:val="superscript"/>
        </w:rPr>
        <w:t xml:space="preserve"> [11]</w:t>
      </w:r>
      <w:r>
        <w:rPr>
          <w:rFonts w:hint="eastAsia" w:ascii="宋体" w:hAnsi="宋体" w:eastAsia="宋体" w:cs="宋体"/>
          <w:b w:val="0"/>
          <w:bCs w:val="0"/>
          <w:i w:val="0"/>
          <w:iCs w:val="0"/>
          <w:color w:val="000000"/>
          <w:spacing w:val="0"/>
          <w:w w:val="100"/>
          <w:sz w:val="24"/>
          <w:szCs w:val="24"/>
          <w:vertAlign w:val="baseline"/>
        </w:rPr>
        <w:t>等通过DEA-Tobit模型的进一步验证，也支持了这一结论。</w:t>
      </w:r>
    </w:p>
    <w:p w14:paraId="09628AED">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（3）用户需求与体验差异</w:t>
      </w:r>
    </w:p>
    <w:p w14:paraId="6E3B7B8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不同群体对健身驿站的需求呈现显著分化：</w:t>
      </w:r>
    </w:p>
    <w:p w14:paraId="7310F511">
      <w:pPr>
        <w:pStyle w:val="2"/>
        <w:keepNext w:val="0"/>
        <w:keepLines w:val="0"/>
        <w:widowControl/>
        <w:numPr>
          <w:ilvl w:val="0"/>
          <w:numId w:val="4"/>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现有使用者：</w:t>
      </w:r>
      <w:r>
        <w:rPr>
          <w:rFonts w:hint="eastAsia" w:ascii="宋体" w:hAnsi="宋体" w:eastAsia="宋体" w:cs="宋体"/>
          <w:b w:val="0"/>
          <w:bCs w:val="0"/>
          <w:i w:val="0"/>
          <w:iCs w:val="0"/>
          <w:color w:val="000000"/>
          <w:spacing w:val="0"/>
          <w:w w:val="100"/>
          <w:sz w:val="24"/>
          <w:szCs w:val="24"/>
          <w:vertAlign w:val="baseline"/>
        </w:rPr>
        <w:t>核心诉求集中在“设施可靠性”与“环境安全性”。汤舒涵</w:t>
      </w:r>
      <w:r>
        <w:rPr>
          <w:rFonts w:hint="eastAsia" w:ascii="宋体" w:hAnsi="宋体" w:eastAsia="宋体" w:cs="宋体"/>
          <w:b w:val="0"/>
          <w:bCs w:val="0"/>
          <w:i w:val="0"/>
          <w:iCs w:val="0"/>
          <w:color w:val="000000"/>
          <w:spacing w:val="0"/>
          <w:w w:val="100"/>
          <w:sz w:val="24"/>
          <w:szCs w:val="24"/>
          <w:vertAlign w:val="superscript"/>
        </w:rPr>
        <w:t>[12]</w:t>
      </w:r>
      <w:r>
        <w:rPr>
          <w:rFonts w:hint="eastAsia" w:ascii="宋体" w:hAnsi="宋体" w:eastAsia="宋体" w:cs="宋体"/>
          <w:b w:val="0"/>
          <w:bCs w:val="0"/>
          <w:i w:val="0"/>
          <w:iCs w:val="0"/>
          <w:color w:val="000000"/>
          <w:spacing w:val="0"/>
          <w:w w:val="100"/>
          <w:sz w:val="24"/>
          <w:szCs w:val="24"/>
          <w:vertAlign w:val="baseline"/>
        </w:rPr>
        <w:t>调研显示，68%左右的现有使用者将“器材完好率”作为评价服务效能的首要指标。</w:t>
      </w:r>
    </w:p>
    <w:p w14:paraId="7C59B7D3">
      <w:pPr>
        <w:pStyle w:val="2"/>
        <w:keepNext w:val="0"/>
        <w:keepLines w:val="0"/>
        <w:widowControl/>
        <w:numPr>
          <w:ilvl w:val="0"/>
          <w:numId w:val="4"/>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潜在使用者：</w:t>
      </w:r>
      <w:r>
        <w:rPr>
          <w:rFonts w:hint="eastAsia" w:ascii="宋体" w:hAnsi="宋体" w:eastAsia="宋体" w:cs="宋体"/>
          <w:b w:val="0"/>
          <w:bCs w:val="0"/>
          <w:i w:val="0"/>
          <w:iCs w:val="0"/>
          <w:color w:val="000000"/>
          <w:spacing w:val="0"/>
          <w:w w:val="100"/>
          <w:sz w:val="24"/>
          <w:szCs w:val="24"/>
          <w:vertAlign w:val="baseline"/>
        </w:rPr>
        <w:t>吴菲</w:t>
      </w:r>
      <w:r>
        <w:rPr>
          <w:rFonts w:hint="eastAsia" w:ascii="宋体" w:hAnsi="宋体" w:eastAsia="宋体" w:cs="宋体"/>
          <w:b w:val="0"/>
          <w:bCs w:val="0"/>
          <w:i w:val="0"/>
          <w:iCs w:val="0"/>
          <w:color w:val="000000"/>
          <w:spacing w:val="0"/>
          <w:w w:val="100"/>
          <w:sz w:val="24"/>
          <w:szCs w:val="24"/>
          <w:vertAlign w:val="superscript"/>
        </w:rPr>
        <w:t>[13]</w:t>
      </w:r>
      <w:r>
        <w:rPr>
          <w:rFonts w:hint="eastAsia" w:ascii="宋体" w:hAnsi="宋体" w:eastAsia="宋体" w:cs="宋体"/>
          <w:b w:val="0"/>
          <w:bCs w:val="0"/>
          <w:i w:val="0"/>
          <w:iCs w:val="0"/>
          <w:color w:val="000000"/>
          <w:spacing w:val="0"/>
          <w:w w:val="100"/>
          <w:sz w:val="24"/>
          <w:szCs w:val="24"/>
          <w:vertAlign w:val="baseline"/>
        </w:rPr>
        <w:t>等通过调研认为“距离过远”、“缺乏指导”是未使用的主要原因，反映出服务供给与用户需求的精准匹配不足。</w:t>
      </w:r>
    </w:p>
    <w:p w14:paraId="25576BD7">
      <w:pPr>
        <w:pStyle w:val="2"/>
        <w:keepNext w:val="0"/>
        <w:keepLines w:val="0"/>
        <w:widowControl/>
        <w:numPr>
          <w:ilvl w:val="0"/>
          <w:numId w:val="4"/>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特殊群体：</w:t>
      </w:r>
      <w:r>
        <w:rPr>
          <w:rFonts w:hint="eastAsia" w:ascii="宋体" w:hAnsi="宋体" w:eastAsia="宋体" w:cs="宋体"/>
          <w:b w:val="0"/>
          <w:bCs w:val="0"/>
          <w:i w:val="0"/>
          <w:iCs w:val="0"/>
          <w:color w:val="000000"/>
          <w:spacing w:val="0"/>
          <w:w w:val="100"/>
          <w:sz w:val="24"/>
          <w:szCs w:val="24"/>
          <w:vertAlign w:val="baseline"/>
        </w:rPr>
        <w:t>王燕</w:t>
      </w:r>
      <w:r>
        <w:rPr>
          <w:rFonts w:hint="eastAsia" w:ascii="宋体" w:hAnsi="宋体" w:eastAsia="宋体" w:cs="宋体"/>
          <w:b w:val="0"/>
          <w:bCs w:val="0"/>
          <w:i w:val="0"/>
          <w:iCs w:val="0"/>
          <w:color w:val="000000"/>
          <w:spacing w:val="0"/>
          <w:w w:val="100"/>
          <w:sz w:val="24"/>
          <w:szCs w:val="24"/>
          <w:vertAlign w:val="superscript"/>
        </w:rPr>
        <w:t>[7]</w:t>
      </w:r>
      <w:r>
        <w:rPr>
          <w:rFonts w:hint="eastAsia" w:ascii="宋体" w:hAnsi="宋体" w:eastAsia="宋体" w:cs="宋体"/>
          <w:b w:val="0"/>
          <w:bCs w:val="0"/>
          <w:i w:val="0"/>
          <w:iCs w:val="0"/>
          <w:color w:val="000000"/>
          <w:spacing w:val="0"/>
          <w:w w:val="100"/>
          <w:sz w:val="24"/>
          <w:szCs w:val="24"/>
          <w:vertAlign w:val="baseline"/>
        </w:rPr>
        <w:t>等认为老年人更关注“设施适老化” 与“应急保障”，而残障群体则迫切需要 “无障碍通道” 与“辅助器材”，这些需求在当前服务中普遍被忽视。</w:t>
      </w:r>
    </w:p>
    <w:p w14:paraId="1A8A1B02">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 研究述评</w:t>
      </w:r>
    </w:p>
    <w:p w14:paraId="1AF72874">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总体而言，当前健身驿站在政策推动下实现了快速扩张，但面临</w:t>
      </w:r>
      <w:r>
        <w:rPr>
          <w:rFonts w:hint="eastAsia" w:ascii="宋体" w:hAnsi="宋体" w:eastAsia="宋体" w:cs="宋体"/>
          <w:b/>
          <w:bCs/>
          <w:i w:val="0"/>
          <w:iCs w:val="0"/>
          <w:color w:val="000000"/>
          <w:spacing w:val="0"/>
          <w:w w:val="100"/>
          <w:sz w:val="24"/>
          <w:szCs w:val="24"/>
          <w:vertAlign w:val="baseline"/>
        </w:rPr>
        <w:t>“设施供给与需求错配”“技术投入与效能转化不足”“全龄服务与普惠性欠缺”</w:t>
      </w:r>
      <w:r>
        <w:rPr>
          <w:rFonts w:hint="eastAsia" w:ascii="宋体" w:hAnsi="宋体" w:eastAsia="宋体" w:cs="宋体"/>
          <w:b w:val="0"/>
          <w:bCs w:val="0"/>
          <w:i w:val="0"/>
          <w:iCs w:val="0"/>
          <w:color w:val="000000"/>
          <w:spacing w:val="0"/>
          <w:w w:val="100"/>
          <w:sz w:val="24"/>
          <w:szCs w:val="24"/>
          <w:vertAlign w:val="baseline"/>
        </w:rPr>
        <w:t xml:space="preserve"> 等核心矛盾，难以充分满足居民的多元化健身需求。</w:t>
      </w:r>
    </w:p>
    <w:p w14:paraId="42C1C896">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现有研究多聚焦于</w:t>
      </w:r>
      <w:r>
        <w:rPr>
          <w:rFonts w:hint="eastAsia" w:ascii="宋体" w:hAnsi="宋体" w:eastAsia="宋体" w:cs="宋体"/>
          <w:b/>
          <w:bCs/>
          <w:i w:val="0"/>
          <w:iCs w:val="0"/>
          <w:color w:val="000000"/>
          <w:spacing w:val="0"/>
          <w:w w:val="100"/>
          <w:sz w:val="24"/>
          <w:szCs w:val="24"/>
          <w:vertAlign w:val="baseline"/>
        </w:rPr>
        <w:t>单一维度</w:t>
      </w:r>
      <w:r>
        <w:rPr>
          <w:rFonts w:hint="eastAsia" w:ascii="宋体" w:hAnsi="宋体" w:eastAsia="宋体" w:cs="宋体"/>
          <w:b w:val="0"/>
          <w:bCs w:val="0"/>
          <w:i w:val="0"/>
          <w:iCs w:val="0"/>
          <w:color w:val="000000"/>
          <w:spacing w:val="0"/>
          <w:w w:val="100"/>
          <w:sz w:val="24"/>
          <w:szCs w:val="24"/>
          <w:vertAlign w:val="baseline"/>
        </w:rPr>
        <w:t>的问题描述，缺乏对“政策 - 场景 - 用户” 三者协同关系的系统性分析。早期文献多孤立讨论政策、场景或用户中的某一维度，近年研究虽开始关注三者的协同关系，但仍未构建完整的效能评估体系。此外，现有研究对潜在使用者与特殊群体的需求关注不足，导致服务效能的评估存在明显短板。</w:t>
      </w:r>
    </w:p>
    <w:p w14:paraId="4A4BB01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基于此，本研究的创新点在于：</w:t>
      </w:r>
    </w:p>
    <w:p w14:paraId="5B94E999">
      <w:pPr>
        <w:pStyle w:val="2"/>
        <w:keepNext w:val="0"/>
        <w:keepLines w:val="0"/>
        <w:widowControl/>
        <w:numPr>
          <w:ilvl w:val="0"/>
          <w:numId w:val="5"/>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构建三维分析框架：</w:t>
      </w:r>
      <w:r>
        <w:rPr>
          <w:rFonts w:hint="eastAsia" w:ascii="宋体" w:hAnsi="宋体" w:eastAsia="宋体" w:cs="宋体"/>
          <w:b w:val="0"/>
          <w:bCs w:val="0"/>
          <w:i w:val="0"/>
          <w:iCs w:val="0"/>
          <w:color w:val="000000"/>
          <w:spacing w:val="0"/>
          <w:w w:val="100"/>
          <w:sz w:val="24"/>
          <w:szCs w:val="24"/>
          <w:vertAlign w:val="baseline"/>
        </w:rPr>
        <w:t>将</w:t>
      </w:r>
      <w:r>
        <w:rPr>
          <w:rFonts w:hint="eastAsia" w:ascii="宋体" w:hAnsi="宋体" w:eastAsia="宋体" w:cs="宋体"/>
          <w:b/>
          <w:bCs/>
          <w:i w:val="0"/>
          <w:iCs w:val="0"/>
          <w:color w:val="000000"/>
          <w:spacing w:val="0"/>
          <w:w w:val="100"/>
          <w:sz w:val="24"/>
          <w:szCs w:val="24"/>
          <w:vertAlign w:val="baseline"/>
        </w:rPr>
        <w:t>政策演进</w:t>
      </w:r>
      <w:r>
        <w:rPr>
          <w:rFonts w:hint="eastAsia" w:ascii="宋体" w:hAnsi="宋体" w:eastAsia="宋体" w:cs="宋体"/>
          <w:b w:val="0"/>
          <w:bCs w:val="0"/>
          <w:i w:val="0"/>
          <w:iCs w:val="0"/>
          <w:color w:val="000000"/>
          <w:spacing w:val="0"/>
          <w:w w:val="100"/>
          <w:sz w:val="24"/>
          <w:szCs w:val="24"/>
          <w:vertAlign w:val="baseline"/>
        </w:rPr>
        <w:t>、</w:t>
      </w:r>
      <w:r>
        <w:rPr>
          <w:rFonts w:hint="eastAsia" w:ascii="宋体" w:hAnsi="宋体" w:eastAsia="宋体" w:cs="宋体"/>
          <w:b/>
          <w:bCs/>
          <w:i w:val="0"/>
          <w:iCs w:val="0"/>
          <w:color w:val="000000"/>
          <w:spacing w:val="0"/>
          <w:w w:val="100"/>
          <w:sz w:val="24"/>
          <w:szCs w:val="24"/>
          <w:vertAlign w:val="baseline"/>
        </w:rPr>
        <w:t>场景实践</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用户需求</w:t>
      </w:r>
      <w:r>
        <w:rPr>
          <w:rFonts w:hint="eastAsia" w:ascii="宋体" w:hAnsi="宋体" w:eastAsia="宋体" w:cs="宋体"/>
          <w:b w:val="0"/>
          <w:bCs w:val="0"/>
          <w:i w:val="0"/>
          <w:iCs w:val="0"/>
          <w:color w:val="000000"/>
          <w:spacing w:val="0"/>
          <w:w w:val="100"/>
          <w:sz w:val="24"/>
          <w:szCs w:val="24"/>
          <w:vertAlign w:val="baseline"/>
        </w:rPr>
        <w:t>纳入统一分析体系，揭示服务效能的传导机制。</w:t>
      </w:r>
    </w:p>
    <w:p w14:paraId="5136BE0E">
      <w:pPr>
        <w:pStyle w:val="2"/>
        <w:keepNext w:val="0"/>
        <w:keepLines w:val="0"/>
        <w:widowControl/>
        <w:numPr>
          <w:ilvl w:val="0"/>
          <w:numId w:val="5"/>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聚焦全龄适配与残障支持：</w:t>
      </w:r>
      <w:r>
        <w:rPr>
          <w:rFonts w:hint="eastAsia" w:ascii="宋体" w:hAnsi="宋体" w:eastAsia="宋体" w:cs="宋体"/>
          <w:b w:val="0"/>
          <w:bCs w:val="0"/>
          <w:i w:val="0"/>
          <w:iCs w:val="0"/>
          <w:color w:val="000000"/>
          <w:spacing w:val="0"/>
          <w:w w:val="100"/>
          <w:sz w:val="24"/>
          <w:szCs w:val="24"/>
          <w:vertAlign w:val="baseline"/>
        </w:rPr>
        <w:t>突破传统研究对中青年群体的单一关注，拓展服务效能的评估维度。</w:t>
      </w:r>
    </w:p>
    <w:p w14:paraId="56FA8C19">
      <w:pPr>
        <w:pStyle w:val="2"/>
        <w:keepNext w:val="0"/>
        <w:keepLines w:val="0"/>
        <w:widowControl/>
        <w:numPr>
          <w:ilvl w:val="0"/>
          <w:numId w:val="5"/>
        </w:numPr>
        <w:suppressLineNumbers w:val="0"/>
        <w:spacing w:before="156" w:beforeAutospacing="0" w:after="0" w:afterAutospacing="0" w:line="13" w:lineRule="atLeast"/>
        <w:ind w:left="620" w:right="0" w:hanging="420"/>
        <w:jc w:val="both"/>
      </w:pPr>
      <w:r>
        <w:rPr>
          <w:rFonts w:hint="eastAsia" w:ascii="宋体" w:hAnsi="宋体" w:eastAsia="宋体" w:cs="宋体"/>
          <w:b/>
          <w:bCs/>
          <w:i w:val="0"/>
          <w:iCs w:val="0"/>
          <w:color w:val="000000"/>
          <w:spacing w:val="0"/>
          <w:w w:val="100"/>
          <w:sz w:val="24"/>
          <w:szCs w:val="24"/>
          <w:vertAlign w:val="baseline"/>
        </w:rPr>
        <w:t>提出精准优化路径：</w:t>
      </w:r>
      <w:r>
        <w:rPr>
          <w:rFonts w:hint="eastAsia" w:ascii="宋体" w:hAnsi="宋体" w:eastAsia="宋体" w:cs="宋体"/>
          <w:b w:val="0"/>
          <w:bCs w:val="0"/>
          <w:i w:val="0"/>
          <w:iCs w:val="0"/>
          <w:color w:val="000000"/>
          <w:spacing w:val="0"/>
          <w:w w:val="100"/>
          <w:sz w:val="24"/>
          <w:szCs w:val="24"/>
          <w:vertAlign w:val="baseline"/>
        </w:rPr>
        <w:t>基于现有使用者与潜在使用者的需求对比，为健身驿站的服务升级提供可落地的实践方案。</w:t>
      </w:r>
    </w:p>
    <w:p w14:paraId="50A2B2C1">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（三）研究目的：评估健身驿站服务效能并探索精准优化路径</w:t>
      </w:r>
    </w:p>
    <w:p w14:paraId="40D5223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次调研旨在系统评估上海市民健身驿站的服务效能，重点调查并分析其在硬件配置、服务质量、数智化体验与可及性这四大维度的落实情况。通过对这些维度的交叉审视，力图识别当前服务体系中存在的短板与优化潜力。希望通过本次实证调研，不仅能够呈现上海市民健身驿站的真实运行图景，更能在此基础上提出一套分层、分类的</w:t>
      </w:r>
      <w:r>
        <w:rPr>
          <w:rFonts w:hint="eastAsia" w:ascii="宋体" w:hAnsi="宋体" w:eastAsia="宋体" w:cs="宋体"/>
          <w:b/>
          <w:bCs/>
          <w:i w:val="0"/>
          <w:iCs w:val="0"/>
          <w:color w:val="000000"/>
          <w:spacing w:val="0"/>
          <w:w w:val="100"/>
          <w:sz w:val="24"/>
          <w:szCs w:val="24"/>
          <w:vertAlign w:val="baseline"/>
        </w:rPr>
        <w:t>精细化提升策略</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可操作性方案</w:t>
      </w:r>
      <w:r>
        <w:rPr>
          <w:rFonts w:hint="eastAsia" w:ascii="宋体" w:hAnsi="宋体" w:eastAsia="宋体" w:cs="宋体"/>
          <w:b w:val="0"/>
          <w:bCs w:val="0"/>
          <w:i w:val="0"/>
          <w:iCs w:val="0"/>
          <w:color w:val="000000"/>
          <w:spacing w:val="0"/>
          <w:w w:val="100"/>
          <w:sz w:val="24"/>
          <w:szCs w:val="24"/>
          <w:vertAlign w:val="baseline"/>
        </w:rPr>
        <w:t>，为促进公共健身服务从</w:t>
      </w:r>
      <w:r>
        <w:rPr>
          <w:rFonts w:hint="eastAsia" w:ascii="宋体" w:hAnsi="宋体" w:eastAsia="宋体" w:cs="宋体"/>
          <w:b/>
          <w:bCs/>
          <w:i w:val="0"/>
          <w:iCs w:val="0"/>
          <w:color w:val="000000"/>
          <w:spacing w:val="0"/>
          <w:w w:val="100"/>
          <w:sz w:val="24"/>
          <w:szCs w:val="24"/>
          <w:vertAlign w:val="baseline"/>
        </w:rPr>
        <w:t>“有”向“优”</w:t>
      </w:r>
      <w:r>
        <w:rPr>
          <w:rFonts w:hint="eastAsia" w:ascii="宋体" w:hAnsi="宋体" w:eastAsia="宋体" w:cs="宋体"/>
          <w:b w:val="0"/>
          <w:bCs w:val="0"/>
          <w:i w:val="0"/>
          <w:iCs w:val="0"/>
          <w:color w:val="000000"/>
          <w:spacing w:val="0"/>
          <w:w w:val="100"/>
          <w:sz w:val="24"/>
          <w:szCs w:val="24"/>
          <w:vertAlign w:val="baseline"/>
        </w:rPr>
        <w:t>的转型提供实证依据与决策参考。</w:t>
      </w:r>
    </w:p>
    <w:p w14:paraId="256B2F2B">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（四）研究方法：构建多维度实证研究框架</w:t>
      </w:r>
    </w:p>
    <w:p w14:paraId="4E484958">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 文本分析：政策与文献分析构建理论支撑框架</w:t>
      </w:r>
    </w:p>
    <w:p w14:paraId="320950B6">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研究围绕健身驿站服务效能核心议题，系统梳理政策文件、学术文献与行业报告，构建 </w:t>
      </w:r>
      <w:r>
        <w:rPr>
          <w:rFonts w:hint="eastAsia" w:ascii="宋体" w:hAnsi="宋体" w:eastAsia="宋体" w:cs="宋体"/>
          <w:b/>
          <w:bCs/>
          <w:i w:val="0"/>
          <w:iCs w:val="0"/>
          <w:color w:val="000000"/>
          <w:spacing w:val="0"/>
          <w:w w:val="100"/>
          <w:sz w:val="24"/>
          <w:szCs w:val="24"/>
          <w:vertAlign w:val="baseline"/>
        </w:rPr>
        <w:t>“政策 - 场景 - 用户”</w:t>
      </w:r>
      <w:r>
        <w:rPr>
          <w:rFonts w:hint="eastAsia" w:ascii="宋体" w:hAnsi="宋体" w:eastAsia="宋体" w:cs="宋体"/>
          <w:b w:val="0"/>
          <w:bCs w:val="0"/>
          <w:i w:val="0"/>
          <w:iCs w:val="0"/>
          <w:color w:val="000000"/>
          <w:spacing w:val="0"/>
          <w:w w:val="100"/>
          <w:sz w:val="24"/>
          <w:szCs w:val="24"/>
          <w:vertAlign w:val="baseline"/>
        </w:rPr>
        <w:t xml:space="preserve"> 三维分析框架，明确上海市民健身驿站</w:t>
      </w:r>
      <w:r>
        <w:rPr>
          <w:rFonts w:hint="eastAsia" w:ascii="宋体" w:hAnsi="宋体" w:eastAsia="宋体" w:cs="宋体"/>
          <w:b/>
          <w:bCs/>
          <w:i w:val="0"/>
          <w:iCs w:val="0"/>
          <w:color w:val="000000"/>
          <w:spacing w:val="0"/>
          <w:w w:val="100"/>
          <w:sz w:val="24"/>
          <w:szCs w:val="24"/>
          <w:vertAlign w:val="baseline"/>
        </w:rPr>
        <w:t>建设背景、分类标准、运营模式及效能测度方法</w:t>
      </w:r>
      <w:r>
        <w:rPr>
          <w:rFonts w:hint="eastAsia" w:ascii="宋体" w:hAnsi="宋体" w:eastAsia="宋体" w:cs="宋体"/>
          <w:b w:val="0"/>
          <w:bCs w:val="0"/>
          <w:i w:val="0"/>
          <w:iCs w:val="0"/>
          <w:color w:val="000000"/>
          <w:spacing w:val="0"/>
          <w:w w:val="100"/>
          <w:sz w:val="24"/>
          <w:szCs w:val="24"/>
          <w:vertAlign w:val="baseline"/>
        </w:rPr>
        <w:t>，聚焦市民服务感知评价，探究服务效能维度与满意度的关联，为优化路径与治理策略提供理论支撑。</w:t>
      </w:r>
    </w:p>
    <w:p w14:paraId="2975E6C2">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问卷调查：大范围抽样获取量化评价数据</w:t>
      </w:r>
    </w:p>
    <w:p w14:paraId="0935F5F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以</w:t>
      </w:r>
      <w:r>
        <w:rPr>
          <w:rFonts w:hint="eastAsia" w:ascii="宋体" w:hAnsi="宋体" w:eastAsia="宋体" w:cs="宋体"/>
          <w:b/>
          <w:bCs/>
          <w:i w:val="0"/>
          <w:iCs w:val="0"/>
          <w:color w:val="000000"/>
          <w:spacing w:val="0"/>
          <w:w w:val="100"/>
          <w:sz w:val="24"/>
          <w:szCs w:val="24"/>
          <w:vertAlign w:val="baseline"/>
        </w:rPr>
        <w:t>分层随机抽样</w:t>
      </w:r>
      <w:r>
        <w:rPr>
          <w:rFonts w:hint="eastAsia" w:ascii="宋体" w:hAnsi="宋体" w:eastAsia="宋体" w:cs="宋体"/>
          <w:b w:val="0"/>
          <w:bCs w:val="0"/>
          <w:i w:val="0"/>
          <w:iCs w:val="0"/>
          <w:color w:val="000000"/>
          <w:spacing w:val="0"/>
          <w:w w:val="100"/>
          <w:sz w:val="24"/>
          <w:szCs w:val="24"/>
          <w:vertAlign w:val="baseline"/>
        </w:rPr>
        <w:t>开展问卷调查，回收有效问卷 783 份，样本在</w:t>
      </w:r>
      <w:r>
        <w:rPr>
          <w:rFonts w:hint="eastAsia" w:ascii="宋体" w:hAnsi="宋体" w:eastAsia="宋体" w:cs="宋体"/>
          <w:b/>
          <w:bCs/>
          <w:i w:val="0"/>
          <w:iCs w:val="0"/>
          <w:color w:val="000000"/>
          <w:spacing w:val="0"/>
          <w:w w:val="100"/>
          <w:sz w:val="24"/>
          <w:szCs w:val="24"/>
          <w:vertAlign w:val="baseline"/>
        </w:rPr>
        <w:t>性别、年龄、地域、收入维度</w:t>
      </w:r>
      <w:r>
        <w:rPr>
          <w:rFonts w:hint="eastAsia" w:ascii="宋体" w:hAnsi="宋体" w:eastAsia="宋体" w:cs="宋体"/>
          <w:b w:val="0"/>
          <w:bCs w:val="0"/>
          <w:i w:val="0"/>
          <w:iCs w:val="0"/>
          <w:color w:val="000000"/>
          <w:spacing w:val="0"/>
          <w:w w:val="100"/>
          <w:sz w:val="24"/>
          <w:szCs w:val="24"/>
          <w:vertAlign w:val="baseline"/>
        </w:rPr>
        <w:t>均衡分布，规避单一群体偏差。问卷围绕四大分析维度设计，核心题目采用</w:t>
      </w:r>
      <w:r>
        <w:rPr>
          <w:rFonts w:hint="eastAsia" w:ascii="宋体" w:hAnsi="宋体" w:eastAsia="宋体" w:cs="宋体"/>
          <w:b/>
          <w:bCs/>
          <w:i w:val="0"/>
          <w:iCs w:val="0"/>
          <w:color w:val="000000"/>
          <w:spacing w:val="0"/>
          <w:w w:val="100"/>
          <w:sz w:val="24"/>
          <w:szCs w:val="24"/>
          <w:vertAlign w:val="baseline"/>
        </w:rPr>
        <w:t>李克特量表</w:t>
      </w:r>
      <w:r>
        <w:rPr>
          <w:rFonts w:hint="eastAsia" w:ascii="宋体" w:hAnsi="宋体" w:eastAsia="宋体" w:cs="宋体"/>
          <w:b w:val="0"/>
          <w:bCs w:val="0"/>
          <w:i w:val="0"/>
          <w:iCs w:val="0"/>
          <w:color w:val="000000"/>
          <w:spacing w:val="0"/>
          <w:w w:val="100"/>
          <w:sz w:val="24"/>
          <w:szCs w:val="24"/>
          <w:vertAlign w:val="baseline"/>
        </w:rPr>
        <w:t>，将市民主观体验转化为量化数据，为后续分析提供支撑。</w:t>
      </w:r>
    </w:p>
    <w:p w14:paraId="6375856D">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 深度访谈：多元主体视角下的需求挖掘与短板归因</w:t>
      </w:r>
    </w:p>
    <w:p w14:paraId="5AD1DE1A">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以</w:t>
      </w:r>
      <w:r>
        <w:rPr>
          <w:rFonts w:hint="eastAsia" w:ascii="宋体" w:hAnsi="宋体" w:eastAsia="宋体" w:cs="宋体"/>
          <w:b/>
          <w:bCs/>
          <w:i w:val="0"/>
          <w:iCs w:val="0"/>
          <w:color w:val="000000"/>
          <w:spacing w:val="0"/>
          <w:w w:val="100"/>
          <w:sz w:val="24"/>
          <w:szCs w:val="24"/>
          <w:vertAlign w:val="baseline"/>
        </w:rPr>
        <w:t>问卷调查</w:t>
      </w:r>
      <w:r>
        <w:rPr>
          <w:rFonts w:hint="eastAsia" w:ascii="宋体" w:hAnsi="宋体" w:eastAsia="宋体" w:cs="宋体"/>
          <w:b w:val="0"/>
          <w:bCs w:val="0"/>
          <w:i w:val="0"/>
          <w:iCs w:val="0"/>
          <w:color w:val="000000"/>
          <w:spacing w:val="0"/>
          <w:w w:val="100"/>
          <w:sz w:val="24"/>
          <w:szCs w:val="24"/>
          <w:vertAlign w:val="baseline"/>
        </w:rPr>
        <w:t>为核心，辅以</w:t>
      </w:r>
      <w:r>
        <w:rPr>
          <w:rFonts w:hint="eastAsia" w:ascii="宋体" w:hAnsi="宋体" w:eastAsia="宋体" w:cs="宋体"/>
          <w:b/>
          <w:bCs/>
          <w:i w:val="0"/>
          <w:iCs w:val="0"/>
          <w:color w:val="000000"/>
          <w:spacing w:val="0"/>
          <w:w w:val="100"/>
          <w:sz w:val="24"/>
          <w:szCs w:val="24"/>
          <w:vertAlign w:val="baseline"/>
        </w:rPr>
        <w:t>深度访谈</w:t>
      </w:r>
      <w:r>
        <w:rPr>
          <w:rFonts w:hint="eastAsia" w:ascii="宋体" w:hAnsi="宋体" w:eastAsia="宋体" w:cs="宋体"/>
          <w:b w:val="0"/>
          <w:bCs w:val="0"/>
          <w:i w:val="0"/>
          <w:iCs w:val="0"/>
          <w:color w:val="000000"/>
          <w:spacing w:val="0"/>
          <w:w w:val="100"/>
          <w:sz w:val="24"/>
          <w:szCs w:val="24"/>
          <w:vertAlign w:val="baseline"/>
        </w:rPr>
        <w:t>，访谈对象涵盖常驻锻炼居民、驿站工作人员与运营方、周边未使用市民，按现有使用者、潜在使用者、服务供给方归类整理，提取高频反馈与典型观点，深化对服务落地情况、使用体验及管理难点的认知。</w:t>
      </w:r>
    </w:p>
    <w:p w14:paraId="0E1A6362">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4. 建模分析：运用多层次模型解析服务效能的内在逻辑与驱动机制</w:t>
      </w:r>
    </w:p>
    <w:p w14:paraId="3F6BB524">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采用</w:t>
      </w:r>
      <w:r>
        <w:rPr>
          <w:rFonts w:hint="eastAsia" w:ascii="宋体" w:hAnsi="宋体" w:eastAsia="宋体" w:cs="宋体"/>
          <w:b/>
          <w:bCs/>
          <w:i w:val="0"/>
          <w:iCs w:val="0"/>
          <w:color w:val="000000"/>
          <w:spacing w:val="0"/>
          <w:w w:val="100"/>
          <w:sz w:val="24"/>
          <w:szCs w:val="24"/>
          <w:vertAlign w:val="baseline"/>
        </w:rPr>
        <w:t>熵值法</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模糊综合评价模型（FCE）</w:t>
      </w:r>
      <w:r>
        <w:rPr>
          <w:rFonts w:hint="eastAsia" w:ascii="宋体" w:hAnsi="宋体" w:eastAsia="宋体" w:cs="宋体"/>
          <w:b w:val="0"/>
          <w:bCs w:val="0"/>
          <w:i w:val="0"/>
          <w:iCs w:val="0"/>
          <w:color w:val="000000"/>
          <w:spacing w:val="0"/>
          <w:w w:val="100"/>
          <w:sz w:val="24"/>
          <w:szCs w:val="24"/>
          <w:vertAlign w:val="baseline"/>
        </w:rPr>
        <w:t>测度服务效能综合得分及维度差异；通过</w:t>
      </w:r>
      <w:r>
        <w:rPr>
          <w:rFonts w:hint="eastAsia" w:ascii="宋体" w:hAnsi="宋体" w:eastAsia="宋体" w:cs="宋体"/>
          <w:b/>
          <w:bCs/>
          <w:i w:val="0"/>
          <w:iCs w:val="0"/>
          <w:color w:val="000000"/>
          <w:spacing w:val="0"/>
          <w:w w:val="100"/>
          <w:sz w:val="24"/>
          <w:szCs w:val="24"/>
          <w:vertAlign w:val="baseline"/>
        </w:rPr>
        <w:t>结构方程模型（SEM）</w:t>
      </w:r>
      <w:r>
        <w:rPr>
          <w:rFonts w:hint="eastAsia" w:ascii="宋体" w:hAnsi="宋体" w:eastAsia="宋体" w:cs="宋体"/>
          <w:b w:val="0"/>
          <w:bCs w:val="0"/>
          <w:i w:val="0"/>
          <w:iCs w:val="0"/>
          <w:color w:val="000000"/>
          <w:spacing w:val="0"/>
          <w:w w:val="100"/>
          <w:sz w:val="24"/>
          <w:szCs w:val="24"/>
          <w:vertAlign w:val="baseline"/>
        </w:rPr>
        <w:t xml:space="preserve">验证硬件设施、软性服务、数智体验、便利程度对市民满意度的宏观影响路径与强度；构建 </w:t>
      </w:r>
      <w:r>
        <w:rPr>
          <w:rFonts w:hint="eastAsia" w:ascii="宋体" w:hAnsi="宋体" w:eastAsia="宋体" w:cs="宋体"/>
          <w:b/>
          <w:bCs/>
          <w:i w:val="0"/>
          <w:iCs w:val="0"/>
          <w:color w:val="000000"/>
          <w:spacing w:val="0"/>
          <w:w w:val="100"/>
          <w:sz w:val="24"/>
          <w:szCs w:val="24"/>
          <w:vertAlign w:val="baseline"/>
        </w:rPr>
        <w:t xml:space="preserve">XGBoost </w:t>
      </w:r>
      <w:r>
        <w:rPr>
          <w:rFonts w:hint="eastAsia" w:ascii="宋体" w:hAnsi="宋体" w:eastAsia="宋体" w:cs="宋体"/>
          <w:b w:val="0"/>
          <w:bCs w:val="0"/>
          <w:i w:val="0"/>
          <w:iCs w:val="0"/>
          <w:color w:val="000000"/>
          <w:spacing w:val="0"/>
          <w:w w:val="100"/>
          <w:sz w:val="24"/>
          <w:szCs w:val="24"/>
          <w:vertAlign w:val="baseline"/>
        </w:rPr>
        <w:t xml:space="preserve">预测模型并结合 </w:t>
      </w:r>
      <w:r>
        <w:rPr>
          <w:rFonts w:hint="eastAsia" w:ascii="宋体" w:hAnsi="宋体" w:eastAsia="宋体" w:cs="宋体"/>
          <w:b/>
          <w:bCs/>
          <w:i w:val="0"/>
          <w:iCs w:val="0"/>
          <w:color w:val="000000"/>
          <w:spacing w:val="0"/>
          <w:w w:val="100"/>
          <w:sz w:val="24"/>
          <w:szCs w:val="24"/>
          <w:vertAlign w:val="baseline"/>
        </w:rPr>
        <w:t>SHAP 博弈论</w:t>
      </w:r>
      <w:r>
        <w:rPr>
          <w:rFonts w:hint="eastAsia" w:ascii="宋体" w:hAnsi="宋体" w:eastAsia="宋体" w:cs="宋体"/>
          <w:b w:val="0"/>
          <w:bCs w:val="0"/>
          <w:i w:val="0"/>
          <w:iCs w:val="0"/>
          <w:color w:val="000000"/>
          <w:spacing w:val="0"/>
          <w:w w:val="100"/>
          <w:sz w:val="24"/>
          <w:szCs w:val="24"/>
          <w:vertAlign w:val="baseline"/>
        </w:rPr>
        <w:t>解释框架，量化细分指标的微观边际贡献，挖掘关键变量阈值效应与物理边界，为精准治理提供科学依据。</w:t>
      </w:r>
    </w:p>
    <w:p w14:paraId="5B912724">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（五）研究创新：三重维度拓展公共服务效能评估范式</w:t>
      </w:r>
    </w:p>
    <w:p w14:paraId="2877CDC0">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 视角聚焦：从设施覆盖率到用户体验感的评估转向</w:t>
      </w:r>
    </w:p>
    <w:p w14:paraId="17A0CEE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现有研究多关注健身设施的数量与空间分布，本研究将评估核心转向</w:t>
      </w:r>
      <w:r>
        <w:rPr>
          <w:rFonts w:hint="eastAsia" w:ascii="宋体" w:hAnsi="宋体" w:eastAsia="宋体" w:cs="宋体"/>
          <w:b/>
          <w:bCs/>
          <w:i w:val="0"/>
          <w:iCs w:val="0"/>
          <w:color w:val="000000"/>
          <w:spacing w:val="0"/>
          <w:w w:val="100"/>
          <w:sz w:val="24"/>
          <w:szCs w:val="24"/>
          <w:vertAlign w:val="baseline"/>
        </w:rPr>
        <w:t>用户真实体验与效能感知</w:t>
      </w:r>
      <w:r>
        <w:rPr>
          <w:rFonts w:hint="eastAsia" w:ascii="宋体" w:hAnsi="宋体" w:eastAsia="宋体" w:cs="宋体"/>
          <w:b w:val="0"/>
          <w:bCs w:val="0"/>
          <w:i w:val="0"/>
          <w:iCs w:val="0"/>
          <w:color w:val="000000"/>
          <w:spacing w:val="0"/>
          <w:w w:val="100"/>
          <w:sz w:val="24"/>
          <w:szCs w:val="24"/>
          <w:vertAlign w:val="baseline"/>
        </w:rPr>
        <w:t>，构建涵盖物理环境、服务质量、数字体验、空间可达性的四维评价体系，实现“服务效能”的量化测度，精准识别上海健身驿站 “硬强软弱、数智化不足”的短板，推动研究视角从宏观布局向微观体验深化。</w:t>
      </w:r>
    </w:p>
    <w:p w14:paraId="5C068681">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方法融合：传统统计模型与机器学习解释性分析的交叉验证</w:t>
      </w:r>
    </w:p>
    <w:p w14:paraId="2465D1AE">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本研究创新融合传统统计模型与机器学习算法，在验证各维度线性影响的基础上，通过 </w:t>
      </w:r>
      <w:r>
        <w:rPr>
          <w:rFonts w:hint="eastAsia" w:ascii="宋体" w:hAnsi="宋体" w:eastAsia="宋体" w:cs="宋体"/>
          <w:b/>
          <w:bCs/>
          <w:i w:val="0"/>
          <w:iCs w:val="0"/>
          <w:color w:val="000000"/>
          <w:spacing w:val="0"/>
          <w:w w:val="100"/>
          <w:sz w:val="24"/>
          <w:szCs w:val="24"/>
          <w:vertAlign w:val="baseline"/>
        </w:rPr>
        <w:t xml:space="preserve">XGBoost </w:t>
      </w:r>
      <w:r>
        <w:rPr>
          <w:rFonts w:hint="eastAsia" w:ascii="宋体" w:hAnsi="宋体" w:eastAsia="宋体" w:cs="宋体"/>
          <w:b w:val="0"/>
          <w:bCs w:val="0"/>
          <w:i w:val="0"/>
          <w:iCs w:val="0"/>
          <w:color w:val="000000"/>
          <w:spacing w:val="0"/>
          <w:w w:val="100"/>
          <w:sz w:val="24"/>
          <w:szCs w:val="24"/>
          <w:vertAlign w:val="baseline"/>
        </w:rPr>
        <w:t xml:space="preserve">结合 </w:t>
      </w:r>
      <w:r>
        <w:rPr>
          <w:rFonts w:hint="eastAsia" w:ascii="宋体" w:hAnsi="宋体" w:eastAsia="宋体" w:cs="宋体"/>
          <w:b/>
          <w:bCs/>
          <w:i w:val="0"/>
          <w:iCs w:val="0"/>
          <w:color w:val="000000"/>
          <w:spacing w:val="0"/>
          <w:w w:val="100"/>
          <w:sz w:val="24"/>
          <w:szCs w:val="24"/>
          <w:vertAlign w:val="baseline"/>
        </w:rPr>
        <w:t xml:space="preserve">SHAP </w:t>
      </w:r>
      <w:r>
        <w:rPr>
          <w:rFonts w:hint="eastAsia" w:ascii="宋体" w:hAnsi="宋体" w:eastAsia="宋体" w:cs="宋体"/>
          <w:b w:val="0"/>
          <w:bCs w:val="0"/>
          <w:i w:val="0"/>
          <w:iCs w:val="0"/>
          <w:color w:val="000000"/>
          <w:spacing w:val="0"/>
          <w:w w:val="100"/>
          <w:sz w:val="24"/>
          <w:szCs w:val="24"/>
          <w:vertAlign w:val="baseline"/>
        </w:rPr>
        <w:t xml:space="preserve">解释框架，挖掘关键变量阈值效应，明确步行 </w:t>
      </w:r>
      <w:r>
        <w:rPr>
          <w:rFonts w:hint="eastAsia" w:ascii="宋体" w:hAnsi="宋体" w:eastAsia="宋体" w:cs="宋体"/>
          <w:b/>
          <w:bCs/>
          <w:i w:val="0"/>
          <w:iCs w:val="0"/>
          <w:color w:val="000000"/>
          <w:spacing w:val="0"/>
          <w:w w:val="100"/>
          <w:sz w:val="24"/>
          <w:szCs w:val="24"/>
          <w:vertAlign w:val="baseline"/>
        </w:rPr>
        <w:t>15 分钟</w:t>
      </w:r>
      <w:r>
        <w:rPr>
          <w:rFonts w:hint="eastAsia" w:ascii="宋体" w:hAnsi="宋体" w:eastAsia="宋体" w:cs="宋体"/>
          <w:b w:val="0"/>
          <w:bCs w:val="0"/>
          <w:i w:val="0"/>
          <w:iCs w:val="0"/>
          <w:color w:val="000000"/>
          <w:spacing w:val="0"/>
          <w:w w:val="100"/>
          <w:sz w:val="24"/>
          <w:szCs w:val="24"/>
          <w:vertAlign w:val="baseline"/>
        </w:rPr>
        <w:t>的参与临界点、设施维护</w:t>
      </w:r>
      <w:r>
        <w:rPr>
          <w:rFonts w:hint="eastAsia" w:ascii="宋体" w:hAnsi="宋体" w:eastAsia="宋体" w:cs="宋体"/>
          <w:b/>
          <w:bCs/>
          <w:i w:val="0"/>
          <w:iCs w:val="0"/>
          <w:color w:val="000000"/>
          <w:spacing w:val="0"/>
          <w:w w:val="100"/>
          <w:sz w:val="24"/>
          <w:szCs w:val="24"/>
          <w:vertAlign w:val="baseline"/>
        </w:rPr>
        <w:t xml:space="preserve"> 3 分</w:t>
      </w:r>
      <w:r>
        <w:rPr>
          <w:rFonts w:hint="eastAsia" w:ascii="宋体" w:hAnsi="宋体" w:eastAsia="宋体" w:cs="宋体"/>
          <w:b w:val="0"/>
          <w:bCs w:val="0"/>
          <w:i w:val="0"/>
          <w:iCs w:val="0"/>
          <w:color w:val="000000"/>
          <w:spacing w:val="0"/>
          <w:w w:val="100"/>
          <w:sz w:val="24"/>
          <w:szCs w:val="24"/>
          <w:vertAlign w:val="baseline"/>
        </w:rPr>
        <w:t>的满意度底线等非线性拐点，为精细化治理提供传统方法难以实现的精准决策依据。</w:t>
      </w:r>
    </w:p>
    <w:p w14:paraId="1BF736DF">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 研究产出：精准治理的策略生成与原型设计</w:t>
      </w:r>
    </w:p>
    <w:p w14:paraId="38F6384D">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基于实证结果，构建</w:t>
      </w:r>
      <w:r>
        <w:rPr>
          <w:rFonts w:hint="eastAsia" w:ascii="宋体" w:hAnsi="宋体" w:eastAsia="宋体" w:cs="宋体"/>
          <w:b/>
          <w:bCs/>
          <w:i w:val="0"/>
          <w:iCs w:val="0"/>
          <w:color w:val="000000"/>
          <w:spacing w:val="0"/>
          <w:w w:val="100"/>
          <w:sz w:val="24"/>
          <w:szCs w:val="24"/>
          <w:vertAlign w:val="baseline"/>
        </w:rPr>
        <w:t xml:space="preserve"> SHAP-IPA 策略矩阵</w:t>
      </w:r>
      <w:r>
        <w:rPr>
          <w:rFonts w:hint="eastAsia" w:ascii="宋体" w:hAnsi="宋体" w:eastAsia="宋体" w:cs="宋体"/>
          <w:b w:val="0"/>
          <w:bCs w:val="0"/>
          <w:i w:val="0"/>
          <w:iCs w:val="0"/>
          <w:color w:val="000000"/>
          <w:spacing w:val="0"/>
          <w:w w:val="100"/>
          <w:sz w:val="24"/>
          <w:szCs w:val="24"/>
          <w:vertAlign w:val="baseline"/>
        </w:rPr>
        <w:t>，明确“优先改进”与“优势保持” 领域；同步设计“驿动申城”服务平台原型，将 “15 分钟生活圈”“数据闭环” 等研究发现转化为具体功能，形成从问题诊断到方案设计的完整闭环，大幅提升研究的实践应用价值。</w:t>
      </w:r>
    </w:p>
    <w:p w14:paraId="266F7D55">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（六）研究思路：构建调研框架技术路线图</w:t>
      </w:r>
    </w:p>
    <w:p w14:paraId="71FD1778">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本文整理了整体的研究思路，最终设立如下图2的研究框架路线图。</w:t>
      </w:r>
    </w:p>
    <w:p w14:paraId="08937598">
      <w:pPr>
        <w:pStyle w:val="2"/>
        <w:keepNext w:val="0"/>
        <w:keepLines w:val="0"/>
        <w:widowControl/>
        <w:suppressLineNumbers w:val="0"/>
        <w:spacing w:before="156" w:beforeAutospacing="0" w:after="0" w:afterAutospacing="0" w:line="13" w:lineRule="atLeast"/>
        <w:ind w:left="0" w:right="0"/>
        <w:jc w:val="center"/>
      </w:pPr>
      <w:r>
        <w:drawing>
          <wp:inline distT="0" distB="0" distL="114300" distR="114300">
            <wp:extent cx="4772025" cy="5791200"/>
            <wp:effectExtent l="0" t="0" r="3175" b="0"/>
            <wp:docPr id="66" name="图片 4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7" descr="IMG_257"/>
                    <pic:cNvPicPr>
                      <a:picLocks noChangeAspect="1"/>
                    </pic:cNvPicPr>
                  </pic:nvPicPr>
                  <pic:blipFill>
                    <a:blip r:embed="rId5"/>
                    <a:stretch>
                      <a:fillRect/>
                    </a:stretch>
                  </pic:blipFill>
                  <pic:spPr>
                    <a:xfrm>
                      <a:off x="0" y="0"/>
                      <a:ext cx="4772025" cy="5791200"/>
                    </a:xfrm>
                    <a:prstGeom prst="rect">
                      <a:avLst/>
                    </a:prstGeom>
                    <a:noFill/>
                    <a:ln w="9525">
                      <a:noFill/>
                    </a:ln>
                  </pic:spPr>
                </pic:pic>
              </a:graphicData>
            </a:graphic>
          </wp:inline>
        </w:drawing>
      </w:r>
    </w:p>
    <w:p w14:paraId="798FCE55">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图2 研究思路路线图</w:t>
      </w:r>
    </w:p>
    <w:p w14:paraId="76992090">
      <w:pPr>
        <w:pStyle w:val="2"/>
        <w:keepNext w:val="0"/>
        <w:keepLines w:val="0"/>
        <w:widowControl/>
        <w:suppressLineNumbers w:val="0"/>
        <w:spacing w:before="156" w:beforeAutospacing="0" w:after="0" w:afterAutospacing="0" w:line="13" w:lineRule="atLeast"/>
        <w:ind w:left="0" w:right="0"/>
        <w:jc w:val="center"/>
      </w:pPr>
      <w:r>
        <w:rPr>
          <w:rFonts w:hint="eastAsia" w:ascii="黑体" w:hAnsi="宋体" w:eastAsia="黑体" w:cs="黑体"/>
          <w:b w:val="0"/>
          <w:bCs w:val="0"/>
          <w:i w:val="0"/>
          <w:iCs w:val="0"/>
          <w:color w:val="000000"/>
          <w:spacing w:val="0"/>
          <w:w w:val="100"/>
          <w:sz w:val="30"/>
          <w:szCs w:val="30"/>
          <w:vertAlign w:val="baseline"/>
        </w:rPr>
        <w:t>二、调查方案与抽样设计</w:t>
      </w:r>
    </w:p>
    <w:p w14:paraId="05B585EE">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（一）调查目的：解析服务现状、用户需求与优化方向</w:t>
      </w:r>
    </w:p>
    <w:p w14:paraId="4E3AF27A">
      <w:pPr>
        <w:pStyle w:val="2"/>
        <w:keepNext w:val="0"/>
        <w:keepLines w:val="0"/>
        <w:widowControl/>
        <w:numPr>
          <w:ilvl w:val="0"/>
          <w:numId w:val="6"/>
        </w:numPr>
        <w:suppressLineNumbers w:val="0"/>
        <w:spacing w:before="156" w:beforeAutospacing="0" w:after="0" w:afterAutospacing="0" w:line="13" w:lineRule="atLeast"/>
        <w:ind w:left="420" w:right="0" w:hanging="420"/>
        <w:jc w:val="both"/>
      </w:pPr>
      <w:r>
        <w:rPr>
          <w:rFonts w:hint="eastAsia" w:ascii="宋体" w:hAnsi="宋体" w:eastAsia="宋体" w:cs="宋体"/>
          <w:b w:val="0"/>
          <w:bCs w:val="0"/>
          <w:i w:val="0"/>
          <w:iCs w:val="0"/>
          <w:color w:val="000000"/>
          <w:spacing w:val="0"/>
          <w:w w:val="100"/>
          <w:sz w:val="24"/>
          <w:szCs w:val="24"/>
          <w:vertAlign w:val="baseline"/>
        </w:rPr>
        <w:t>探究上海市民健身驿站的</w:t>
      </w:r>
      <w:r>
        <w:rPr>
          <w:rFonts w:hint="eastAsia" w:ascii="宋体" w:hAnsi="宋体" w:eastAsia="宋体" w:cs="宋体"/>
          <w:b/>
          <w:bCs/>
          <w:i w:val="0"/>
          <w:iCs w:val="0"/>
          <w:color w:val="000000"/>
          <w:spacing w:val="0"/>
          <w:w w:val="100"/>
          <w:sz w:val="24"/>
          <w:szCs w:val="24"/>
          <w:vertAlign w:val="baseline"/>
        </w:rPr>
        <w:t>服务供给现状</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运营问题</w:t>
      </w:r>
      <w:r>
        <w:rPr>
          <w:rFonts w:hint="eastAsia" w:ascii="宋体" w:hAnsi="宋体" w:eastAsia="宋体" w:cs="宋体"/>
          <w:b w:val="0"/>
          <w:bCs w:val="0"/>
          <w:i w:val="0"/>
          <w:iCs w:val="0"/>
          <w:color w:val="000000"/>
          <w:spacing w:val="0"/>
          <w:w w:val="100"/>
          <w:sz w:val="24"/>
          <w:szCs w:val="24"/>
          <w:vertAlign w:val="baseline"/>
        </w:rPr>
        <w:t>。</w:t>
      </w:r>
    </w:p>
    <w:p w14:paraId="1766B20C">
      <w:pPr>
        <w:pStyle w:val="2"/>
        <w:keepNext w:val="0"/>
        <w:keepLines w:val="0"/>
        <w:widowControl/>
        <w:numPr>
          <w:ilvl w:val="0"/>
          <w:numId w:val="6"/>
        </w:numPr>
        <w:suppressLineNumbers w:val="0"/>
        <w:spacing w:before="156" w:beforeAutospacing="0" w:after="0" w:afterAutospacing="0" w:line="13" w:lineRule="atLeast"/>
        <w:ind w:left="420" w:right="0" w:hanging="420"/>
        <w:jc w:val="both"/>
      </w:pPr>
      <w:r>
        <w:rPr>
          <w:rFonts w:hint="eastAsia" w:ascii="宋体" w:hAnsi="宋体" w:eastAsia="宋体" w:cs="宋体"/>
          <w:b w:val="0"/>
          <w:bCs w:val="0"/>
          <w:i w:val="0"/>
          <w:iCs w:val="0"/>
          <w:color w:val="000000"/>
          <w:spacing w:val="0"/>
          <w:w w:val="100"/>
          <w:sz w:val="24"/>
          <w:szCs w:val="24"/>
          <w:vertAlign w:val="baseline"/>
        </w:rPr>
        <w:t>厘清市民对健身驿站的</w:t>
      </w:r>
      <w:r>
        <w:rPr>
          <w:rFonts w:hint="eastAsia" w:ascii="宋体" w:hAnsi="宋体" w:eastAsia="宋体" w:cs="宋体"/>
          <w:b/>
          <w:bCs/>
          <w:i w:val="0"/>
          <w:iCs w:val="0"/>
          <w:color w:val="000000"/>
          <w:spacing w:val="0"/>
          <w:w w:val="100"/>
          <w:sz w:val="24"/>
          <w:szCs w:val="24"/>
          <w:vertAlign w:val="baseline"/>
        </w:rPr>
        <w:t>需求重点</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服务改进方向</w:t>
      </w:r>
      <w:r>
        <w:rPr>
          <w:rFonts w:hint="eastAsia" w:ascii="宋体" w:hAnsi="宋体" w:eastAsia="宋体" w:cs="宋体"/>
          <w:b w:val="0"/>
          <w:bCs w:val="0"/>
          <w:i w:val="0"/>
          <w:iCs w:val="0"/>
          <w:color w:val="000000"/>
          <w:spacing w:val="0"/>
          <w:w w:val="100"/>
          <w:sz w:val="24"/>
          <w:szCs w:val="24"/>
          <w:vertAlign w:val="baseline"/>
        </w:rPr>
        <w:t>。</w:t>
      </w:r>
    </w:p>
    <w:p w14:paraId="6162A87E">
      <w:pPr>
        <w:pStyle w:val="2"/>
        <w:keepNext w:val="0"/>
        <w:keepLines w:val="0"/>
        <w:widowControl/>
        <w:numPr>
          <w:ilvl w:val="0"/>
          <w:numId w:val="6"/>
        </w:numPr>
        <w:suppressLineNumbers w:val="0"/>
        <w:spacing w:before="156" w:beforeAutospacing="0" w:after="0" w:afterAutospacing="0" w:line="13" w:lineRule="atLeast"/>
        <w:ind w:left="420" w:right="0" w:hanging="420"/>
        <w:jc w:val="both"/>
      </w:pPr>
      <w:r>
        <w:rPr>
          <w:rFonts w:hint="eastAsia" w:ascii="宋体" w:hAnsi="宋体" w:eastAsia="宋体" w:cs="宋体"/>
          <w:b w:val="0"/>
          <w:bCs w:val="0"/>
          <w:i w:val="0"/>
          <w:iCs w:val="0"/>
          <w:color w:val="000000"/>
          <w:spacing w:val="0"/>
          <w:w w:val="100"/>
          <w:sz w:val="24"/>
          <w:szCs w:val="24"/>
          <w:vertAlign w:val="baseline"/>
        </w:rPr>
        <w:t>为有健身需求的市民选择健身驿站提供参考依据。</w:t>
      </w:r>
    </w:p>
    <w:p w14:paraId="238BF7A1">
      <w:pPr>
        <w:pStyle w:val="2"/>
        <w:keepNext w:val="0"/>
        <w:keepLines w:val="0"/>
        <w:widowControl/>
        <w:numPr>
          <w:ilvl w:val="0"/>
          <w:numId w:val="6"/>
        </w:numPr>
        <w:suppressLineNumbers w:val="0"/>
        <w:spacing w:before="156" w:beforeAutospacing="0" w:after="0" w:afterAutospacing="0" w:line="13" w:lineRule="atLeast"/>
        <w:ind w:left="420" w:right="0" w:hanging="420"/>
        <w:jc w:val="both"/>
      </w:pPr>
      <w:r>
        <w:rPr>
          <w:rFonts w:hint="eastAsia" w:ascii="宋体" w:hAnsi="宋体" w:eastAsia="宋体" w:cs="宋体"/>
          <w:b w:val="0"/>
          <w:bCs w:val="0"/>
          <w:i w:val="0"/>
          <w:iCs w:val="0"/>
          <w:color w:val="000000"/>
          <w:spacing w:val="0"/>
          <w:w w:val="100"/>
          <w:sz w:val="24"/>
          <w:szCs w:val="24"/>
          <w:vertAlign w:val="baseline"/>
        </w:rPr>
        <w:t>为相关运营方</w:t>
      </w:r>
      <w:r>
        <w:rPr>
          <w:rFonts w:hint="eastAsia" w:ascii="宋体" w:hAnsi="宋体" w:eastAsia="宋体" w:cs="宋体"/>
          <w:b/>
          <w:bCs/>
          <w:i w:val="0"/>
          <w:iCs w:val="0"/>
          <w:color w:val="000000"/>
          <w:spacing w:val="0"/>
          <w:w w:val="100"/>
          <w:sz w:val="24"/>
          <w:szCs w:val="24"/>
          <w:vertAlign w:val="baseline"/>
        </w:rPr>
        <w:t>优化服务、提升效能</w:t>
      </w:r>
      <w:r>
        <w:rPr>
          <w:rFonts w:hint="eastAsia" w:ascii="宋体" w:hAnsi="宋体" w:eastAsia="宋体" w:cs="宋体"/>
          <w:b w:val="0"/>
          <w:bCs w:val="0"/>
          <w:i w:val="0"/>
          <w:iCs w:val="0"/>
          <w:color w:val="000000"/>
          <w:spacing w:val="0"/>
          <w:w w:val="100"/>
          <w:sz w:val="24"/>
          <w:szCs w:val="24"/>
          <w:vertAlign w:val="baseline"/>
        </w:rPr>
        <w:t>提供数据支撑，同时探索健身驿站在社区全民健身场景中的推广价值。</w:t>
      </w:r>
    </w:p>
    <w:p w14:paraId="4F157412">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（二）对象定位：精准捕捉不同群体的健身需求特征</w:t>
      </w:r>
    </w:p>
    <w:p w14:paraId="3DAC9750">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1. 调查对象：现有用户、潜在用户的界定</w:t>
      </w:r>
    </w:p>
    <w:p w14:paraId="08717342">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（1）</w:t>
      </w:r>
      <w:r>
        <w:rPr>
          <w:rFonts w:hint="eastAsia" w:ascii="宋体" w:hAnsi="宋体" w:eastAsia="宋体" w:cs="宋体"/>
          <w:b/>
          <w:bCs/>
          <w:i w:val="0"/>
          <w:iCs w:val="0"/>
          <w:color w:val="1F2329"/>
          <w:spacing w:val="0"/>
          <w:w w:val="100"/>
          <w:sz w:val="24"/>
          <w:szCs w:val="24"/>
          <w:shd w:val="clear" w:fill="FFFFFF"/>
          <w:vertAlign w:val="baseline"/>
        </w:rPr>
        <w:t>已使用过</w:t>
      </w:r>
      <w:r>
        <w:rPr>
          <w:rFonts w:hint="eastAsia" w:ascii="宋体" w:hAnsi="宋体" w:eastAsia="宋体" w:cs="宋体"/>
          <w:b w:val="0"/>
          <w:bCs w:val="0"/>
          <w:i w:val="0"/>
          <w:iCs w:val="0"/>
          <w:color w:val="1F2329"/>
          <w:spacing w:val="0"/>
          <w:w w:val="100"/>
          <w:sz w:val="24"/>
          <w:szCs w:val="24"/>
          <w:shd w:val="clear" w:fill="FFFFFF"/>
          <w:vertAlign w:val="baseline"/>
        </w:rPr>
        <w:t>健身驿站的市民，或对健身驿站有较高兴趣的</w:t>
      </w:r>
      <w:r>
        <w:rPr>
          <w:rFonts w:hint="eastAsia" w:ascii="宋体" w:hAnsi="宋体" w:eastAsia="宋体" w:cs="宋体"/>
          <w:b/>
          <w:bCs/>
          <w:i w:val="0"/>
          <w:iCs w:val="0"/>
          <w:color w:val="1F2329"/>
          <w:spacing w:val="0"/>
          <w:w w:val="100"/>
          <w:sz w:val="24"/>
          <w:szCs w:val="24"/>
          <w:shd w:val="clear" w:fill="FFFFFF"/>
          <w:vertAlign w:val="baseline"/>
        </w:rPr>
        <w:t>潜在使用者</w:t>
      </w:r>
      <w:r>
        <w:rPr>
          <w:rFonts w:hint="eastAsia" w:ascii="宋体" w:hAnsi="宋体" w:eastAsia="宋体" w:cs="宋体"/>
          <w:b w:val="0"/>
          <w:bCs w:val="0"/>
          <w:i w:val="0"/>
          <w:iCs w:val="0"/>
          <w:color w:val="1F2329"/>
          <w:spacing w:val="0"/>
          <w:w w:val="100"/>
          <w:sz w:val="24"/>
          <w:szCs w:val="24"/>
          <w:shd w:val="clear" w:fill="FFFFFF"/>
          <w:vertAlign w:val="baseline"/>
        </w:rPr>
        <w:t>。</w:t>
      </w:r>
    </w:p>
    <w:p w14:paraId="36C5A856">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（2）覆盖不同年龄、职业、居住区域的上海常住市民。</w:t>
      </w:r>
    </w:p>
    <w:p w14:paraId="6B3327ED">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2. 分类逻辑：基于使用频率与需求差异的群体划分依据</w:t>
      </w:r>
    </w:p>
    <w:p w14:paraId="0058F24F">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本文将调查对象分为两大类：</w:t>
      </w:r>
      <w:r>
        <w:rPr>
          <w:rFonts w:hint="eastAsia" w:ascii="宋体" w:hAnsi="宋体" w:eastAsia="宋体" w:cs="宋体"/>
          <w:b/>
          <w:bCs/>
          <w:i w:val="0"/>
          <w:iCs w:val="0"/>
          <w:color w:val="1F2329"/>
          <w:spacing w:val="0"/>
          <w:w w:val="100"/>
          <w:sz w:val="24"/>
          <w:szCs w:val="24"/>
          <w:shd w:val="clear" w:fill="FFFFFF"/>
          <w:vertAlign w:val="baseline"/>
        </w:rPr>
        <w:t>现有使用者和潜在使用者</w:t>
      </w:r>
      <w:r>
        <w:rPr>
          <w:rFonts w:hint="eastAsia" w:ascii="宋体" w:hAnsi="宋体" w:eastAsia="宋体" w:cs="宋体"/>
          <w:b w:val="0"/>
          <w:bCs w:val="0"/>
          <w:i w:val="0"/>
          <w:iCs w:val="0"/>
          <w:color w:val="1F2329"/>
          <w:spacing w:val="0"/>
          <w:w w:val="100"/>
          <w:sz w:val="24"/>
          <w:szCs w:val="24"/>
          <w:shd w:val="clear" w:fill="FFFFFF"/>
          <w:vertAlign w:val="baseline"/>
        </w:rPr>
        <w:t>。</w:t>
      </w:r>
    </w:p>
    <w:p w14:paraId="33BD304F">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bCs/>
          <w:i w:val="0"/>
          <w:iCs w:val="0"/>
          <w:color w:val="1F2329"/>
          <w:spacing w:val="0"/>
          <w:w w:val="100"/>
          <w:sz w:val="24"/>
          <w:szCs w:val="24"/>
          <w:shd w:val="clear" w:fill="FFFFFF"/>
          <w:vertAlign w:val="baseline"/>
        </w:rPr>
        <w:t>现有使用者</w:t>
      </w:r>
      <w:r>
        <w:rPr>
          <w:rFonts w:hint="eastAsia" w:ascii="宋体" w:hAnsi="宋体" w:eastAsia="宋体" w:cs="宋体"/>
          <w:b w:val="0"/>
          <w:bCs w:val="0"/>
          <w:i w:val="0"/>
          <w:iCs w:val="0"/>
          <w:color w:val="1F2329"/>
          <w:spacing w:val="0"/>
          <w:w w:val="100"/>
          <w:sz w:val="24"/>
          <w:szCs w:val="24"/>
          <w:shd w:val="clear" w:fill="FFFFFF"/>
          <w:vertAlign w:val="baseline"/>
        </w:rPr>
        <w:t xml:space="preserve">：划分标准为在一个月内至少有 </w:t>
      </w:r>
      <w:r>
        <w:rPr>
          <w:rFonts w:hint="eastAsia" w:ascii="宋体" w:hAnsi="宋体" w:eastAsia="宋体" w:cs="宋体"/>
          <w:b/>
          <w:bCs/>
          <w:i w:val="0"/>
          <w:iCs w:val="0"/>
          <w:color w:val="1F2329"/>
          <w:spacing w:val="0"/>
          <w:w w:val="100"/>
          <w:sz w:val="24"/>
          <w:szCs w:val="24"/>
          <w:shd w:val="clear" w:fill="FFFFFF"/>
          <w:vertAlign w:val="baseline"/>
        </w:rPr>
        <w:t>1-2</w:t>
      </w:r>
      <w:r>
        <w:rPr>
          <w:rFonts w:hint="eastAsia" w:ascii="宋体" w:hAnsi="宋体" w:eastAsia="宋体" w:cs="宋体"/>
          <w:b w:val="0"/>
          <w:bCs w:val="0"/>
          <w:i w:val="0"/>
          <w:iCs w:val="0"/>
          <w:color w:val="1F2329"/>
          <w:spacing w:val="0"/>
          <w:w w:val="100"/>
          <w:sz w:val="24"/>
          <w:szCs w:val="24"/>
          <w:shd w:val="clear" w:fill="FFFFFF"/>
          <w:vertAlign w:val="baseline"/>
        </w:rPr>
        <w:t xml:space="preserve"> 次使用健身驿站的经历。</w:t>
      </w:r>
    </w:p>
    <w:p w14:paraId="1E88CDF6">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进一步按使用目的分为两类：</w:t>
      </w:r>
    </w:p>
    <w:p w14:paraId="4C02A3DE">
      <w:pPr>
        <w:pStyle w:val="2"/>
        <w:keepNext w:val="0"/>
        <w:keepLines w:val="0"/>
        <w:widowControl/>
        <w:numPr>
          <w:ilvl w:val="0"/>
          <w:numId w:val="7"/>
        </w:numPr>
        <w:suppressLineNumbers w:val="0"/>
        <w:spacing w:before="156" w:beforeAutospacing="0" w:after="0" w:afterAutospacing="0" w:line="13" w:lineRule="atLeast"/>
        <w:ind w:left="660" w:right="0" w:hanging="420"/>
        <w:jc w:val="both"/>
      </w:pPr>
      <w:r>
        <w:rPr>
          <w:rFonts w:hint="eastAsia" w:ascii="宋体" w:hAnsi="宋体" w:eastAsia="宋体" w:cs="宋体"/>
          <w:b/>
          <w:bCs/>
          <w:i w:val="0"/>
          <w:iCs w:val="0"/>
          <w:color w:val="1F2329"/>
          <w:spacing w:val="0"/>
          <w:w w:val="100"/>
          <w:sz w:val="24"/>
          <w:szCs w:val="24"/>
          <w:shd w:val="clear" w:fill="FFFFFF"/>
          <w:vertAlign w:val="baseline"/>
        </w:rPr>
        <w:t>日常锻炼型：</w:t>
      </w:r>
      <w:r>
        <w:rPr>
          <w:rFonts w:hint="eastAsia" w:ascii="宋体" w:hAnsi="宋体" w:eastAsia="宋体" w:cs="宋体"/>
          <w:b w:val="0"/>
          <w:bCs w:val="0"/>
          <w:i w:val="0"/>
          <w:iCs w:val="0"/>
          <w:color w:val="1F2329"/>
          <w:spacing w:val="0"/>
          <w:w w:val="100"/>
          <w:sz w:val="24"/>
          <w:szCs w:val="24"/>
          <w:shd w:val="clear" w:fill="FFFFFF"/>
          <w:vertAlign w:val="baseline"/>
        </w:rPr>
        <w:t>以强身健体、日常活动为主要目的，更关注设施实用性与便捷性。</w:t>
      </w:r>
    </w:p>
    <w:p w14:paraId="1598A3A7">
      <w:pPr>
        <w:pStyle w:val="2"/>
        <w:keepNext w:val="0"/>
        <w:keepLines w:val="0"/>
        <w:widowControl/>
        <w:numPr>
          <w:ilvl w:val="0"/>
          <w:numId w:val="7"/>
        </w:numPr>
        <w:suppressLineNumbers w:val="0"/>
        <w:spacing w:before="156" w:beforeAutospacing="0" w:after="0" w:afterAutospacing="0" w:line="13" w:lineRule="atLeast"/>
        <w:ind w:left="660" w:right="0" w:hanging="420"/>
        <w:jc w:val="both"/>
      </w:pPr>
      <w:r>
        <w:rPr>
          <w:rFonts w:hint="eastAsia" w:ascii="宋体" w:hAnsi="宋体" w:eastAsia="宋体" w:cs="宋体"/>
          <w:b/>
          <w:bCs/>
          <w:i w:val="0"/>
          <w:iCs w:val="0"/>
          <w:color w:val="1F2329"/>
          <w:spacing w:val="0"/>
          <w:w w:val="100"/>
          <w:sz w:val="24"/>
          <w:szCs w:val="24"/>
          <w:shd w:val="clear" w:fill="FFFFFF"/>
          <w:vertAlign w:val="baseline"/>
        </w:rPr>
        <w:t>休闲社交型</w:t>
      </w:r>
      <w:r>
        <w:rPr>
          <w:rFonts w:hint="eastAsia" w:ascii="宋体" w:hAnsi="宋体" w:eastAsia="宋体" w:cs="宋体"/>
          <w:b w:val="0"/>
          <w:bCs w:val="0"/>
          <w:i w:val="0"/>
          <w:iCs w:val="0"/>
          <w:color w:val="1F2329"/>
          <w:spacing w:val="0"/>
          <w:w w:val="100"/>
          <w:sz w:val="24"/>
          <w:szCs w:val="24"/>
          <w:shd w:val="clear" w:fill="FFFFFF"/>
          <w:vertAlign w:val="baseline"/>
        </w:rPr>
        <w:t>：以休闲放松、社交互动为主要目的，更关注场地氛围与配套服务。</w:t>
      </w:r>
    </w:p>
    <w:p w14:paraId="430D811B">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bCs/>
          <w:i w:val="0"/>
          <w:iCs w:val="0"/>
          <w:color w:val="1F2329"/>
          <w:spacing w:val="0"/>
          <w:w w:val="100"/>
          <w:sz w:val="24"/>
          <w:szCs w:val="24"/>
          <w:shd w:val="clear" w:fill="FFFFFF"/>
          <w:vertAlign w:val="baseline"/>
        </w:rPr>
        <w:t>潜在使用者：</w:t>
      </w:r>
      <w:r>
        <w:rPr>
          <w:rFonts w:hint="eastAsia" w:ascii="宋体" w:hAnsi="宋体" w:eastAsia="宋体" w:cs="宋体"/>
          <w:b w:val="0"/>
          <w:bCs w:val="0"/>
          <w:i w:val="0"/>
          <w:iCs w:val="0"/>
          <w:color w:val="1F2329"/>
          <w:spacing w:val="0"/>
          <w:w w:val="100"/>
          <w:sz w:val="24"/>
          <w:szCs w:val="24"/>
          <w:shd w:val="clear" w:fill="FFFFFF"/>
          <w:vertAlign w:val="baseline"/>
        </w:rPr>
        <w:t>划分标准为对健身驿站有一定了解且有使用意愿，但尚未体验的群体。</w:t>
      </w:r>
    </w:p>
    <w:p w14:paraId="516C880F">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完全不了解或无兴趣的群体将被排除在外。</w:t>
      </w:r>
    </w:p>
    <w:p w14:paraId="4A5D3DFB">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通过此划分，可保证调查结果更具针对性与有效性，精准匹配不同群体的服务需求。</w:t>
      </w:r>
    </w:p>
    <w:p w14:paraId="2CA1062E">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（三）方法整合：多维度数据采集策略的协同</w:t>
      </w:r>
    </w:p>
    <w:p w14:paraId="2C629B1E">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本文首先采用</w:t>
      </w:r>
      <w:r>
        <w:rPr>
          <w:rFonts w:hint="eastAsia" w:ascii="宋体" w:hAnsi="宋体" w:eastAsia="宋体" w:cs="宋体"/>
          <w:b/>
          <w:bCs/>
          <w:i w:val="0"/>
          <w:iCs w:val="0"/>
          <w:color w:val="1F2329"/>
          <w:spacing w:val="0"/>
          <w:w w:val="100"/>
          <w:sz w:val="24"/>
          <w:szCs w:val="24"/>
          <w:shd w:val="clear" w:fill="FFFFFF"/>
          <w:vertAlign w:val="baseline"/>
        </w:rPr>
        <w:t>文献调查法</w:t>
      </w:r>
      <w:r>
        <w:rPr>
          <w:rFonts w:hint="eastAsia" w:ascii="宋体" w:hAnsi="宋体" w:eastAsia="宋体" w:cs="宋体"/>
          <w:b w:val="0"/>
          <w:bCs w:val="0"/>
          <w:i w:val="0"/>
          <w:iCs w:val="0"/>
          <w:color w:val="1F2329"/>
          <w:spacing w:val="0"/>
          <w:w w:val="100"/>
          <w:sz w:val="24"/>
          <w:szCs w:val="24"/>
          <w:shd w:val="clear" w:fill="FFFFFF"/>
          <w:vertAlign w:val="baseline"/>
        </w:rPr>
        <w:t>梳理城市公共健身服务的发展历程与趋势；</w:t>
      </w:r>
    </w:p>
    <w:p w14:paraId="65E5970A">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同时以线上问卷的方式收集现有使用者的真实体验与潜在使用者的需求；</w:t>
      </w:r>
    </w:p>
    <w:p w14:paraId="6ACEA46F">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结合开放性问题挖掘市民对健身驿站的优化建议，形成 “现状 - 需求 - 建议” 的完整数据链。</w:t>
      </w:r>
    </w:p>
    <w:p w14:paraId="47F0BA16">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（四）问卷设计：分层挖掘用户需求的系统方案</w:t>
      </w:r>
    </w:p>
    <w:p w14:paraId="118ECF75">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在正式调研前，我们通过</w:t>
      </w:r>
      <w:r>
        <w:rPr>
          <w:rFonts w:hint="eastAsia" w:ascii="宋体" w:hAnsi="宋体" w:eastAsia="宋体" w:cs="宋体"/>
          <w:b/>
          <w:bCs/>
          <w:i w:val="0"/>
          <w:iCs w:val="0"/>
          <w:color w:val="1F2329"/>
          <w:spacing w:val="0"/>
          <w:w w:val="100"/>
          <w:sz w:val="24"/>
          <w:szCs w:val="24"/>
          <w:shd w:val="clear" w:fill="FFFFFF"/>
          <w:vertAlign w:val="baseline"/>
        </w:rPr>
        <w:t>观察法</w:t>
      </w:r>
      <w:r>
        <w:rPr>
          <w:rFonts w:hint="eastAsia" w:ascii="宋体" w:hAnsi="宋体" w:eastAsia="宋体" w:cs="宋体"/>
          <w:b w:val="0"/>
          <w:bCs w:val="0"/>
          <w:i w:val="0"/>
          <w:iCs w:val="0"/>
          <w:color w:val="1F2329"/>
          <w:spacing w:val="0"/>
          <w:w w:val="100"/>
          <w:sz w:val="24"/>
          <w:szCs w:val="24"/>
          <w:shd w:val="clear" w:fill="FFFFFF"/>
          <w:vertAlign w:val="baseline"/>
        </w:rPr>
        <w:t>和</w:t>
      </w:r>
      <w:r>
        <w:rPr>
          <w:rFonts w:hint="eastAsia" w:ascii="宋体" w:hAnsi="宋体" w:eastAsia="宋体" w:cs="宋体"/>
          <w:b/>
          <w:bCs/>
          <w:i w:val="0"/>
          <w:iCs w:val="0"/>
          <w:color w:val="1F2329"/>
          <w:spacing w:val="0"/>
          <w:w w:val="100"/>
          <w:sz w:val="24"/>
          <w:szCs w:val="24"/>
          <w:shd w:val="clear" w:fill="FFFFFF"/>
          <w:vertAlign w:val="baseline"/>
        </w:rPr>
        <w:t>个人深度访谈</w:t>
      </w:r>
      <w:r>
        <w:rPr>
          <w:rFonts w:hint="eastAsia" w:ascii="宋体" w:hAnsi="宋体" w:eastAsia="宋体" w:cs="宋体"/>
          <w:b w:val="0"/>
          <w:bCs w:val="0"/>
          <w:i w:val="0"/>
          <w:iCs w:val="0"/>
          <w:color w:val="1F2329"/>
          <w:spacing w:val="0"/>
          <w:w w:val="100"/>
          <w:sz w:val="24"/>
          <w:szCs w:val="24"/>
          <w:shd w:val="clear" w:fill="FFFFFF"/>
          <w:vertAlign w:val="baseline"/>
        </w:rPr>
        <w:t>进行了</w:t>
      </w:r>
      <w:r>
        <w:rPr>
          <w:rFonts w:hint="eastAsia" w:ascii="宋体" w:hAnsi="宋体" w:eastAsia="宋体" w:cs="宋体"/>
          <w:b/>
          <w:bCs/>
          <w:i w:val="0"/>
          <w:iCs w:val="0"/>
          <w:color w:val="1F2329"/>
          <w:spacing w:val="0"/>
          <w:w w:val="100"/>
          <w:sz w:val="24"/>
          <w:szCs w:val="24"/>
          <w:shd w:val="clear" w:fill="FFFFFF"/>
          <w:vertAlign w:val="baseline"/>
        </w:rPr>
        <w:t>定性摸底</w:t>
      </w:r>
      <w:r>
        <w:rPr>
          <w:rFonts w:hint="eastAsia" w:ascii="宋体" w:hAnsi="宋体" w:eastAsia="宋体" w:cs="宋体"/>
          <w:b w:val="0"/>
          <w:bCs w:val="0"/>
          <w:i w:val="0"/>
          <w:iCs w:val="0"/>
          <w:color w:val="1F2329"/>
          <w:spacing w:val="0"/>
          <w:w w:val="100"/>
          <w:sz w:val="24"/>
          <w:szCs w:val="24"/>
          <w:shd w:val="clear" w:fill="FFFFFF"/>
          <w:vertAlign w:val="baseline"/>
        </w:rPr>
        <w:t>：在上海3个典型社区的健身驿站连续蹲点观察5天，记录使用人群特征与设施反馈；同时对10位使用者和5位管理者开展一对一访谈，挖掘</w:t>
      </w:r>
      <w:r>
        <w:rPr>
          <w:rFonts w:hint="eastAsia" w:ascii="宋体" w:hAnsi="宋体" w:eastAsia="宋体" w:cs="宋体"/>
          <w:b/>
          <w:bCs/>
          <w:i w:val="0"/>
          <w:iCs w:val="0"/>
          <w:color w:val="1F2329"/>
          <w:spacing w:val="0"/>
          <w:w w:val="100"/>
          <w:sz w:val="24"/>
          <w:szCs w:val="24"/>
          <w:shd w:val="clear" w:fill="FFFFFF"/>
          <w:vertAlign w:val="baseline"/>
        </w:rPr>
        <w:t>“设施老化”“夜间照明不足”“缺乏适老化设计”</w:t>
      </w:r>
      <w:r>
        <w:rPr>
          <w:rFonts w:hint="eastAsia" w:ascii="宋体" w:hAnsi="宋体" w:eastAsia="宋体" w:cs="宋体"/>
          <w:b w:val="0"/>
          <w:bCs w:val="0"/>
          <w:i w:val="0"/>
          <w:iCs w:val="0"/>
          <w:color w:val="1F2329"/>
          <w:spacing w:val="0"/>
          <w:w w:val="100"/>
          <w:sz w:val="24"/>
          <w:szCs w:val="24"/>
          <w:shd w:val="clear" w:fill="FFFFFF"/>
          <w:vertAlign w:val="baseline"/>
        </w:rPr>
        <w:t>等高频痛点，并将这些发现直接转化为问卷核心题项，确保了后续量化调研的针对性和有效性。</w:t>
      </w:r>
    </w:p>
    <w:p w14:paraId="6787DC46">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1. 现有使用者：使用体验与效能优化需求设计</w:t>
      </w:r>
    </w:p>
    <w:p w14:paraId="55B5309B">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在现有使用者的分析中，本文分为</w:t>
      </w:r>
      <w:r>
        <w:rPr>
          <w:rFonts w:hint="eastAsia" w:ascii="宋体" w:hAnsi="宋体" w:eastAsia="宋体" w:cs="宋体"/>
          <w:b/>
          <w:bCs/>
          <w:i w:val="0"/>
          <w:iCs w:val="0"/>
          <w:color w:val="1F2329"/>
          <w:spacing w:val="0"/>
          <w:w w:val="100"/>
          <w:sz w:val="24"/>
          <w:szCs w:val="24"/>
          <w:shd w:val="clear" w:fill="FFFFFF"/>
          <w:vertAlign w:val="baseline"/>
        </w:rPr>
        <w:t>消费者画像、服务评价和优化建议</w:t>
      </w:r>
      <w:r>
        <w:rPr>
          <w:rFonts w:hint="eastAsia" w:ascii="宋体" w:hAnsi="宋体" w:eastAsia="宋体" w:cs="宋体"/>
          <w:b w:val="0"/>
          <w:bCs w:val="0"/>
          <w:i w:val="0"/>
          <w:iCs w:val="0"/>
          <w:color w:val="1F2329"/>
          <w:spacing w:val="0"/>
          <w:w w:val="100"/>
          <w:sz w:val="24"/>
          <w:szCs w:val="24"/>
          <w:shd w:val="clear" w:fill="FFFFFF"/>
          <w:vertAlign w:val="baseline"/>
        </w:rPr>
        <w:t>三个方面：</w:t>
      </w:r>
    </w:p>
    <w:p w14:paraId="6B45C892">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bCs/>
          <w:i w:val="0"/>
          <w:iCs w:val="0"/>
          <w:color w:val="1F2329"/>
          <w:spacing w:val="0"/>
          <w:w w:val="100"/>
          <w:sz w:val="24"/>
          <w:szCs w:val="24"/>
          <w:shd w:val="clear" w:fill="FFFFFF"/>
          <w:vertAlign w:val="baseline"/>
        </w:rPr>
        <w:t>消费者画像</w:t>
      </w:r>
      <w:r>
        <w:rPr>
          <w:rFonts w:hint="eastAsia" w:ascii="宋体" w:hAnsi="宋体" w:eastAsia="宋体" w:cs="宋体"/>
          <w:b w:val="0"/>
          <w:bCs w:val="0"/>
          <w:i w:val="0"/>
          <w:iCs w:val="0"/>
          <w:color w:val="1F2329"/>
          <w:spacing w:val="0"/>
          <w:w w:val="100"/>
          <w:sz w:val="24"/>
          <w:szCs w:val="24"/>
          <w:shd w:val="clear" w:fill="FFFFFF"/>
          <w:vertAlign w:val="baseline"/>
        </w:rPr>
        <w:t>：由使用渠道、使用动机、使用意愿、消费能力和使用强度组成。</w:t>
      </w:r>
    </w:p>
    <w:p w14:paraId="036D0E0F">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bCs/>
          <w:i w:val="0"/>
          <w:iCs w:val="0"/>
          <w:color w:val="1F2329"/>
          <w:spacing w:val="0"/>
          <w:w w:val="100"/>
          <w:sz w:val="24"/>
          <w:szCs w:val="24"/>
          <w:shd w:val="clear" w:fill="FFFFFF"/>
          <w:vertAlign w:val="baseline"/>
        </w:rPr>
        <w:t>服务评价：</w:t>
      </w:r>
      <w:r>
        <w:rPr>
          <w:rFonts w:hint="eastAsia" w:ascii="宋体" w:hAnsi="宋体" w:eastAsia="宋体" w:cs="宋体"/>
          <w:b w:val="0"/>
          <w:bCs w:val="0"/>
          <w:i w:val="0"/>
          <w:iCs w:val="0"/>
          <w:color w:val="1F2329"/>
          <w:spacing w:val="0"/>
          <w:w w:val="100"/>
          <w:sz w:val="24"/>
          <w:szCs w:val="24"/>
          <w:shd w:val="clear" w:fill="FFFFFF"/>
          <w:vertAlign w:val="baseline"/>
        </w:rPr>
        <w:t>包含设施使用满意度、服务整体评价和推荐意愿。</w:t>
      </w:r>
    </w:p>
    <w:p w14:paraId="1596163E">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bCs/>
          <w:i w:val="0"/>
          <w:iCs w:val="0"/>
          <w:color w:val="1F2329"/>
          <w:spacing w:val="0"/>
          <w:w w:val="100"/>
          <w:sz w:val="24"/>
          <w:szCs w:val="24"/>
          <w:shd w:val="clear" w:fill="FFFFFF"/>
          <w:vertAlign w:val="baseline"/>
        </w:rPr>
        <w:t>优化建议：</w:t>
      </w:r>
      <w:r>
        <w:rPr>
          <w:rFonts w:hint="eastAsia" w:ascii="宋体" w:hAnsi="宋体" w:eastAsia="宋体" w:cs="宋体"/>
          <w:b w:val="0"/>
          <w:bCs w:val="0"/>
          <w:i w:val="0"/>
          <w:iCs w:val="0"/>
          <w:color w:val="1F2329"/>
          <w:spacing w:val="0"/>
          <w:w w:val="100"/>
          <w:sz w:val="24"/>
          <w:szCs w:val="24"/>
          <w:shd w:val="clear" w:fill="FFFFFF"/>
          <w:vertAlign w:val="baseline"/>
        </w:rPr>
        <w:t>囊括市民看重属性、服务使用缺陷和未来改进期待。</w:t>
      </w:r>
    </w:p>
    <w:p w14:paraId="6B04B766">
      <w:pPr>
        <w:pStyle w:val="2"/>
        <w:keepNext w:val="0"/>
        <w:keepLines w:val="0"/>
        <w:widowControl/>
        <w:suppressLineNumbers w:val="0"/>
        <w:spacing w:before="156" w:beforeAutospacing="0" w:after="0" w:afterAutospacing="0" w:line="13" w:lineRule="atLeast"/>
        <w:ind w:left="0" w:right="0" w:firstLine="210"/>
        <w:jc w:val="center"/>
      </w:pPr>
      <w:r>
        <w:rPr>
          <w:rFonts w:hint="eastAsia" w:ascii="宋体" w:hAnsi="宋体" w:eastAsia="宋体" w:cs="宋体"/>
          <w:b w:val="0"/>
          <w:bCs w:val="0"/>
          <w:i w:val="0"/>
          <w:iCs w:val="0"/>
          <w:color w:val="1F2329"/>
          <w:spacing w:val="0"/>
          <w:w w:val="100"/>
          <w:sz w:val="24"/>
          <w:szCs w:val="24"/>
          <w:shd w:val="clear" w:fill="FFFFFF"/>
          <w:vertAlign w:val="baseline"/>
        </w:rPr>
        <w:t>表1 现有消费者指标测度设计表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43"/>
        <w:gridCol w:w="1831"/>
        <w:gridCol w:w="1857"/>
      </w:tblGrid>
      <w:tr w14:paraId="2AC95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69216BA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潜变量</w:t>
            </w:r>
          </w:p>
        </w:tc>
        <w:tc>
          <w:tcPr>
            <w:tcW w:w="1831"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683F725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显变量（一级指标）</w:t>
            </w:r>
          </w:p>
        </w:tc>
        <w:tc>
          <w:tcPr>
            <w:tcW w:w="1857"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7BACEAF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测量题项（二级指标）</w:t>
            </w:r>
          </w:p>
        </w:tc>
      </w:tr>
      <w:tr w14:paraId="22DE5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C727A3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消费者画像</w:t>
            </w:r>
          </w:p>
        </w:tc>
        <w:tc>
          <w:tcPr>
            <w:tcW w:w="1831"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DE555B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使用渠道</w:t>
            </w:r>
          </w:p>
        </w:tc>
        <w:tc>
          <w:tcPr>
            <w:tcW w:w="185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251E161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您了解该健身驿站的主要渠道？</w:t>
            </w:r>
          </w:p>
        </w:tc>
      </w:tr>
      <w:tr w14:paraId="4604E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785484F">
            <w:pPr>
              <w:rPr>
                <w:rFonts w:hint="eastAsia" w:ascii="宋体"/>
                <w:sz w:val="24"/>
                <w:szCs w:val="24"/>
              </w:rPr>
            </w:pPr>
          </w:p>
        </w:tc>
        <w:tc>
          <w:tcPr>
            <w:tcW w:w="1831"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45D5453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使用意愿</w:t>
            </w:r>
          </w:p>
        </w:tc>
        <w:tc>
          <w:tcPr>
            <w:tcW w:w="1857"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0E48068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您未来继续使用该健身驿站的意愿？</w:t>
            </w:r>
          </w:p>
        </w:tc>
      </w:tr>
      <w:tr w14:paraId="2DA27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EB68BFE">
            <w:pPr>
              <w:rPr>
                <w:rFonts w:hint="eastAsia" w:ascii="宋体"/>
                <w:sz w:val="24"/>
                <w:szCs w:val="24"/>
              </w:rPr>
            </w:pPr>
          </w:p>
        </w:tc>
        <w:tc>
          <w:tcPr>
            <w:tcW w:w="1831"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F03571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消费能力</w:t>
            </w:r>
          </w:p>
        </w:tc>
        <w:tc>
          <w:tcPr>
            <w:tcW w:w="185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14E6CC4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您能接受的健身驿站增值服务价格？</w:t>
            </w:r>
          </w:p>
        </w:tc>
      </w:tr>
      <w:tr w14:paraId="0ED97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C9B62A4">
            <w:pPr>
              <w:rPr>
                <w:rFonts w:hint="eastAsia" w:ascii="宋体"/>
                <w:sz w:val="24"/>
                <w:szCs w:val="24"/>
              </w:rPr>
            </w:pPr>
          </w:p>
        </w:tc>
        <w:tc>
          <w:tcPr>
            <w:tcW w:w="1831"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9D2A0C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使用强度</w:t>
            </w:r>
          </w:p>
        </w:tc>
        <w:tc>
          <w:tcPr>
            <w:tcW w:w="1857"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373B646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您每次在健身驿站的停留时长？</w:t>
            </w:r>
          </w:p>
        </w:tc>
      </w:tr>
      <w:tr w14:paraId="4910F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restart"/>
            <w:tcBorders>
              <w:top w:val="single" w:color="auto" w:sz="2" w:space="0"/>
              <w:left w:val="single" w:color="CBCDD1" w:sz="2" w:space="0"/>
              <w:bottom w:val="single" w:color="auto" w:sz="2" w:space="0"/>
              <w:right w:val="single" w:color="auto" w:sz="2" w:space="0"/>
            </w:tcBorders>
            <w:shd w:val="clear" w:color="auto" w:fill="FFFFFF"/>
            <w:tcMar>
              <w:top w:w="0" w:type="dxa"/>
              <w:left w:w="72" w:type="dxa"/>
              <w:bottom w:w="0" w:type="dxa"/>
              <w:right w:w="72" w:type="dxa"/>
            </w:tcMar>
            <w:vAlign w:val="center"/>
          </w:tcPr>
          <w:p w14:paraId="2E4BF7E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服务评价</w:t>
            </w:r>
          </w:p>
        </w:tc>
        <w:tc>
          <w:tcPr>
            <w:tcW w:w="1831" w:type="dxa"/>
            <w:tcBorders>
              <w:top w:val="single" w:color="auto" w:sz="2" w:space="0"/>
              <w:left w:val="single" w:color="auto" w:sz="2" w:space="0"/>
              <w:bottom w:val="single" w:color="auto" w:sz="2" w:space="0"/>
              <w:right w:val="single" w:color="auto" w:sz="2" w:space="0"/>
            </w:tcBorders>
            <w:shd w:val="clear" w:color="auto" w:fill="FFFFFF"/>
            <w:tcMar>
              <w:top w:w="0" w:type="dxa"/>
              <w:left w:w="72" w:type="dxa"/>
              <w:bottom w:w="0" w:type="dxa"/>
              <w:right w:w="72" w:type="dxa"/>
            </w:tcMar>
            <w:vAlign w:val="center"/>
          </w:tcPr>
          <w:p w14:paraId="34D52FD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设施使用满意度</w:t>
            </w:r>
          </w:p>
        </w:tc>
        <w:tc>
          <w:tcPr>
            <w:tcW w:w="1857" w:type="dxa"/>
            <w:tcBorders>
              <w:top w:val="single" w:color="auto" w:sz="2" w:space="0"/>
              <w:left w:val="single" w:color="auto" w:sz="2" w:space="0"/>
              <w:bottom w:val="single" w:color="auto" w:sz="2" w:space="0"/>
              <w:right w:val="single" w:color="CBCDD1" w:sz="2" w:space="0"/>
            </w:tcBorders>
            <w:shd w:val="clear" w:color="auto" w:fill="FFFFFF"/>
            <w:tcMar>
              <w:top w:w="0" w:type="dxa"/>
              <w:left w:w="72" w:type="dxa"/>
              <w:bottom w:w="0" w:type="dxa"/>
              <w:right w:w="72" w:type="dxa"/>
            </w:tcMar>
            <w:vAlign w:val="center"/>
          </w:tcPr>
          <w:p w14:paraId="0CD1417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您对健身驿站的整体满意度如何？（7级李克特量表）</w:t>
            </w:r>
          </w:p>
        </w:tc>
      </w:tr>
      <w:tr w14:paraId="47846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FFFFFF"/>
            <w:tcMar>
              <w:top w:w="0" w:type="dxa"/>
              <w:left w:w="72" w:type="dxa"/>
              <w:bottom w:w="0" w:type="dxa"/>
              <w:right w:w="72" w:type="dxa"/>
            </w:tcMar>
            <w:vAlign w:val="center"/>
          </w:tcPr>
          <w:p w14:paraId="2FFB65BD">
            <w:pPr>
              <w:rPr>
                <w:rFonts w:hint="eastAsia" w:ascii="宋体"/>
                <w:sz w:val="24"/>
                <w:szCs w:val="24"/>
              </w:rPr>
            </w:pPr>
          </w:p>
        </w:tc>
        <w:tc>
          <w:tcPr>
            <w:tcW w:w="1831" w:type="dxa"/>
            <w:tcBorders>
              <w:top w:val="single" w:color="auto" w:sz="2" w:space="0"/>
              <w:left w:val="single" w:color="auto" w:sz="2" w:space="0"/>
              <w:bottom w:val="single" w:color="auto" w:sz="2" w:space="0"/>
              <w:right w:val="single" w:color="auto" w:sz="2" w:space="0"/>
            </w:tcBorders>
            <w:shd w:val="clear" w:color="auto" w:fill="FFFFFF"/>
            <w:tcMar>
              <w:top w:w="0" w:type="dxa"/>
              <w:left w:w="72" w:type="dxa"/>
              <w:bottom w:w="0" w:type="dxa"/>
              <w:right w:w="72" w:type="dxa"/>
            </w:tcMar>
            <w:vAlign w:val="center"/>
          </w:tcPr>
          <w:p w14:paraId="39D6AED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推荐意愿</w:t>
            </w:r>
          </w:p>
        </w:tc>
        <w:tc>
          <w:tcPr>
            <w:tcW w:w="1857" w:type="dxa"/>
            <w:tcBorders>
              <w:top w:val="single" w:color="auto" w:sz="2" w:space="0"/>
              <w:left w:val="single" w:color="auto" w:sz="2" w:space="0"/>
              <w:bottom w:val="single" w:color="auto" w:sz="2" w:space="0"/>
              <w:right w:val="single" w:color="CBCDD1" w:sz="2" w:space="0"/>
            </w:tcBorders>
            <w:shd w:val="clear" w:color="auto" w:fill="FFFFFF"/>
            <w:tcMar>
              <w:top w:w="0" w:type="dxa"/>
              <w:left w:w="72" w:type="dxa"/>
              <w:bottom w:w="0" w:type="dxa"/>
              <w:right w:w="72" w:type="dxa"/>
            </w:tcMar>
            <w:vAlign w:val="center"/>
          </w:tcPr>
          <w:p w14:paraId="21363FB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您向亲友推荐该健身驿站的意愿？（7级李克特量表）</w:t>
            </w:r>
          </w:p>
        </w:tc>
      </w:tr>
      <w:tr w14:paraId="6E8F4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E16AE0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优化建议</w:t>
            </w:r>
          </w:p>
        </w:tc>
        <w:tc>
          <w:tcPr>
            <w:tcW w:w="1831"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9E81C8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市民看重属性</w:t>
            </w:r>
          </w:p>
        </w:tc>
        <w:tc>
          <w:tcPr>
            <w:tcW w:w="185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7B13089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您对健身驿站营业时间、收费标准......的满意程度？（7级李克特量表）</w:t>
            </w:r>
          </w:p>
        </w:tc>
      </w:tr>
      <w:tr w14:paraId="450B8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A759BE1">
            <w:pPr>
              <w:rPr>
                <w:rFonts w:hint="eastAsia" w:ascii="宋体"/>
                <w:sz w:val="24"/>
                <w:szCs w:val="24"/>
              </w:rPr>
            </w:pPr>
          </w:p>
        </w:tc>
        <w:tc>
          <w:tcPr>
            <w:tcW w:w="1831"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CAF0DA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服务使用缺陷</w:t>
            </w:r>
          </w:p>
        </w:tc>
        <w:tc>
          <w:tcPr>
            <w:tcW w:w="185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705F153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您觉得健身驿站目前存在的最突出问题是？</w:t>
            </w:r>
          </w:p>
        </w:tc>
      </w:tr>
      <w:tr w14:paraId="422C5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AC143A8">
            <w:pPr>
              <w:rPr>
                <w:rFonts w:hint="eastAsia" w:ascii="宋体"/>
                <w:sz w:val="24"/>
                <w:szCs w:val="24"/>
              </w:rPr>
            </w:pPr>
          </w:p>
        </w:tc>
        <w:tc>
          <w:tcPr>
            <w:tcW w:w="1831"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755D087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未来改进期待</w:t>
            </w:r>
          </w:p>
        </w:tc>
        <w:tc>
          <w:tcPr>
            <w:tcW w:w="1857"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32102C1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您认为提升健身驿站服务效能的关键举措有哪些？</w:t>
            </w:r>
          </w:p>
        </w:tc>
      </w:tr>
    </w:tbl>
    <w:p w14:paraId="220C0F5F">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2. 潜在使用者：使用意愿与期待的全面洞察设计</w:t>
      </w:r>
    </w:p>
    <w:p w14:paraId="789678AB">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在潜在使用者的分析中，本文分为</w:t>
      </w:r>
      <w:r>
        <w:rPr>
          <w:rFonts w:hint="eastAsia" w:ascii="宋体" w:hAnsi="宋体" w:eastAsia="宋体" w:cs="宋体"/>
          <w:b/>
          <w:bCs/>
          <w:i w:val="0"/>
          <w:iCs w:val="0"/>
          <w:color w:val="1F2329"/>
          <w:spacing w:val="0"/>
          <w:w w:val="100"/>
          <w:sz w:val="24"/>
          <w:szCs w:val="24"/>
          <w:shd w:val="clear" w:fill="FFFFFF"/>
          <w:vertAlign w:val="baseline"/>
        </w:rPr>
        <w:t>消费者画像</w:t>
      </w:r>
      <w:r>
        <w:rPr>
          <w:rFonts w:hint="eastAsia" w:ascii="宋体" w:hAnsi="宋体" w:eastAsia="宋体" w:cs="宋体"/>
          <w:b w:val="0"/>
          <w:bCs w:val="0"/>
          <w:i w:val="0"/>
          <w:iCs w:val="0"/>
          <w:color w:val="1F2329"/>
          <w:spacing w:val="0"/>
          <w:w w:val="100"/>
          <w:sz w:val="24"/>
          <w:szCs w:val="24"/>
          <w:shd w:val="clear" w:fill="FFFFFF"/>
          <w:vertAlign w:val="baseline"/>
        </w:rPr>
        <w:t>和</w:t>
      </w:r>
      <w:r>
        <w:rPr>
          <w:rFonts w:hint="eastAsia" w:ascii="宋体" w:hAnsi="宋体" w:eastAsia="宋体" w:cs="宋体"/>
          <w:b/>
          <w:bCs/>
          <w:i w:val="0"/>
          <w:iCs w:val="0"/>
          <w:color w:val="1F2329"/>
          <w:spacing w:val="0"/>
          <w:w w:val="100"/>
          <w:sz w:val="24"/>
          <w:szCs w:val="24"/>
          <w:shd w:val="clear" w:fill="FFFFFF"/>
          <w:vertAlign w:val="baseline"/>
        </w:rPr>
        <w:t>优化建议</w:t>
      </w:r>
      <w:r>
        <w:rPr>
          <w:rFonts w:hint="eastAsia" w:ascii="宋体" w:hAnsi="宋体" w:eastAsia="宋体" w:cs="宋体"/>
          <w:b w:val="0"/>
          <w:bCs w:val="0"/>
          <w:i w:val="0"/>
          <w:iCs w:val="0"/>
          <w:color w:val="1F2329"/>
          <w:spacing w:val="0"/>
          <w:w w:val="100"/>
          <w:sz w:val="24"/>
          <w:szCs w:val="24"/>
          <w:shd w:val="clear" w:fill="FFFFFF"/>
          <w:vertAlign w:val="baseline"/>
        </w:rPr>
        <w:t>两大方面：</w:t>
      </w:r>
    </w:p>
    <w:p w14:paraId="2B7B539C">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1F2329"/>
          <w:spacing w:val="0"/>
          <w:w w:val="100"/>
          <w:sz w:val="24"/>
          <w:szCs w:val="24"/>
          <w:shd w:val="clear" w:fill="FFFFFF"/>
          <w:vertAlign w:val="baseline"/>
        </w:rPr>
        <w:t>表2 潜在使用者指标测度设计表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43"/>
        <w:gridCol w:w="1843"/>
        <w:gridCol w:w="1844"/>
      </w:tblGrid>
      <w:tr w14:paraId="6DF70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4FBA9AD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潜变量</w:t>
            </w:r>
          </w:p>
        </w:tc>
        <w:tc>
          <w:tcPr>
            <w:tcW w:w="184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2A27D65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显变量（一级指标）</w:t>
            </w:r>
          </w:p>
        </w:tc>
        <w:tc>
          <w:tcPr>
            <w:tcW w:w="1844"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273C952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测量题项</w:t>
            </w:r>
          </w:p>
        </w:tc>
      </w:tr>
      <w:tr w14:paraId="63D95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FB9E02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消费者画像</w:t>
            </w:r>
          </w:p>
        </w:tc>
        <w:tc>
          <w:tcPr>
            <w:tcW w:w="184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4CCF18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了解渠道</w:t>
            </w:r>
          </w:p>
        </w:tc>
        <w:tc>
          <w:tcPr>
            <w:tcW w:w="1844"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29E2F75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您了解健身驿站的渠道？</w:t>
            </w:r>
          </w:p>
        </w:tc>
      </w:tr>
      <w:tr w14:paraId="0989B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8BF8329">
            <w:pPr>
              <w:rPr>
                <w:rFonts w:hint="eastAsia" w:ascii="宋体"/>
                <w:sz w:val="24"/>
                <w:szCs w:val="24"/>
              </w:rPr>
            </w:pPr>
          </w:p>
        </w:tc>
        <w:tc>
          <w:tcPr>
            <w:tcW w:w="184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8B2CFB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未使用原因</w:t>
            </w:r>
          </w:p>
        </w:tc>
        <w:tc>
          <w:tcPr>
            <w:tcW w:w="1844"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5ACF78C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您不使用健身驿站的主要原因？</w:t>
            </w:r>
          </w:p>
        </w:tc>
      </w:tr>
      <w:tr w14:paraId="3D6A0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8CDA3D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优化建议</w:t>
            </w:r>
          </w:p>
        </w:tc>
        <w:tc>
          <w:tcPr>
            <w:tcW w:w="184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38868A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体验倾向</w:t>
            </w:r>
          </w:p>
        </w:tc>
        <w:tc>
          <w:tcPr>
            <w:tcW w:w="1844"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1AD906A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您是否愿意未来使用视频健身驿站？</w:t>
            </w:r>
          </w:p>
        </w:tc>
      </w:tr>
      <w:tr w14:paraId="6DDEB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5EAC399">
            <w:pPr>
              <w:rPr>
                <w:rFonts w:hint="eastAsia" w:ascii="宋体"/>
                <w:sz w:val="24"/>
                <w:szCs w:val="24"/>
              </w:rPr>
            </w:pPr>
          </w:p>
        </w:tc>
        <w:tc>
          <w:tcPr>
            <w:tcW w:w="184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1E6A220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增值服务期待</w:t>
            </w:r>
          </w:p>
        </w:tc>
        <w:tc>
          <w:tcPr>
            <w:tcW w:w="1844"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7132FA6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您希望健身驿站提供哪些增值服务？</w:t>
            </w:r>
          </w:p>
        </w:tc>
      </w:tr>
      <w:tr w14:paraId="26F6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3B12816">
            <w:pPr>
              <w:rPr>
                <w:rFonts w:hint="eastAsia" w:ascii="宋体"/>
                <w:sz w:val="24"/>
                <w:szCs w:val="24"/>
              </w:rPr>
            </w:pPr>
          </w:p>
        </w:tc>
        <w:tc>
          <w:tcPr>
            <w:tcW w:w="184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2BDEE40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未来改进期待</w:t>
            </w:r>
          </w:p>
        </w:tc>
        <w:tc>
          <w:tcPr>
            <w:tcW w:w="1844"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3B19ED97">
            <w:pPr>
              <w:pStyle w:val="2"/>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1F2329"/>
                <w:spacing w:val="0"/>
                <w:w w:val="100"/>
                <w:sz w:val="21"/>
                <w:szCs w:val="21"/>
                <w:vertAlign w:val="baseline"/>
              </w:rPr>
              <w:t>您认为提升健身驿站服务效能的关键举措有哪些？</w:t>
            </w:r>
          </w:p>
        </w:tc>
      </w:tr>
    </w:tbl>
    <w:p w14:paraId="0FDB0CCB">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3.</w:t>
      </w:r>
      <w:r>
        <w:rPr>
          <w:rFonts w:ascii="等线" w:hAnsi="等线" w:eastAsia="等线" w:cs="等线"/>
          <w:b w:val="0"/>
          <w:bCs w:val="0"/>
          <w:i w:val="0"/>
          <w:iCs w:val="0"/>
          <w:color w:val="1F2329"/>
          <w:spacing w:val="0"/>
          <w:w w:val="100"/>
          <w:sz w:val="21"/>
          <w:szCs w:val="21"/>
          <w:shd w:val="clear" w:fill="FFFFFF"/>
          <w:vertAlign w:val="baseline"/>
        </w:rPr>
        <w:t xml:space="preserve"> </w:t>
      </w:r>
      <w:r>
        <w:rPr>
          <w:rFonts w:hint="eastAsia" w:ascii="宋体" w:hAnsi="宋体" w:eastAsia="宋体" w:cs="宋体"/>
          <w:b w:val="0"/>
          <w:bCs w:val="0"/>
          <w:i w:val="0"/>
          <w:iCs w:val="0"/>
          <w:color w:val="1F2329"/>
          <w:spacing w:val="0"/>
          <w:w w:val="100"/>
          <w:sz w:val="24"/>
          <w:szCs w:val="24"/>
          <w:shd w:val="clear" w:fill="FFFFFF"/>
          <w:vertAlign w:val="baseline"/>
        </w:rPr>
        <w:t>特殊场景：社区全龄健身与残障群体专属需求探索</w:t>
      </w:r>
    </w:p>
    <w:p w14:paraId="6B496EDC">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在社区全龄健身与特殊人群关爱中，本文分为</w:t>
      </w:r>
      <w:r>
        <w:rPr>
          <w:rFonts w:hint="eastAsia" w:ascii="宋体" w:hAnsi="宋体" w:eastAsia="宋体" w:cs="宋体"/>
          <w:b/>
          <w:bCs/>
          <w:i w:val="0"/>
          <w:iCs w:val="0"/>
          <w:color w:val="1F2329"/>
          <w:spacing w:val="0"/>
          <w:w w:val="100"/>
          <w:sz w:val="24"/>
          <w:szCs w:val="24"/>
          <w:shd w:val="clear" w:fill="FFFFFF"/>
          <w:vertAlign w:val="baseline"/>
        </w:rPr>
        <w:t>全龄适配</w:t>
      </w:r>
      <w:r>
        <w:rPr>
          <w:rFonts w:hint="eastAsia" w:ascii="宋体" w:hAnsi="宋体" w:eastAsia="宋体" w:cs="宋体"/>
          <w:b w:val="0"/>
          <w:bCs w:val="0"/>
          <w:i w:val="0"/>
          <w:iCs w:val="0"/>
          <w:color w:val="1F2329"/>
          <w:spacing w:val="0"/>
          <w:w w:val="100"/>
          <w:sz w:val="24"/>
          <w:szCs w:val="24"/>
          <w:shd w:val="clear" w:fill="FFFFFF"/>
          <w:vertAlign w:val="baseline"/>
        </w:rPr>
        <w:t>与</w:t>
      </w:r>
      <w:r>
        <w:rPr>
          <w:rFonts w:hint="eastAsia" w:ascii="宋体" w:hAnsi="宋体" w:eastAsia="宋体" w:cs="宋体"/>
          <w:b/>
          <w:bCs/>
          <w:i w:val="0"/>
          <w:iCs w:val="0"/>
          <w:color w:val="1F2329"/>
          <w:spacing w:val="0"/>
          <w:w w:val="100"/>
          <w:sz w:val="24"/>
          <w:szCs w:val="24"/>
          <w:shd w:val="clear" w:fill="FFFFFF"/>
          <w:vertAlign w:val="baseline"/>
        </w:rPr>
        <w:t>残障支持</w:t>
      </w:r>
      <w:r>
        <w:rPr>
          <w:rFonts w:hint="eastAsia" w:ascii="宋体" w:hAnsi="宋体" w:eastAsia="宋体" w:cs="宋体"/>
          <w:b w:val="0"/>
          <w:bCs w:val="0"/>
          <w:i w:val="0"/>
          <w:iCs w:val="0"/>
          <w:color w:val="1F2329"/>
          <w:spacing w:val="0"/>
          <w:w w:val="100"/>
          <w:sz w:val="24"/>
          <w:szCs w:val="24"/>
          <w:shd w:val="clear" w:fill="FFFFFF"/>
          <w:vertAlign w:val="baseline"/>
        </w:rPr>
        <w:t>两大板块，具体划分内容如下表所示。</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43"/>
        <w:gridCol w:w="1843"/>
        <w:gridCol w:w="1844"/>
      </w:tblGrid>
      <w:tr w14:paraId="47345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A84925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潜变量</w:t>
            </w:r>
          </w:p>
        </w:tc>
        <w:tc>
          <w:tcPr>
            <w:tcW w:w="184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6904BC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显变量（一级指标）</w:t>
            </w:r>
          </w:p>
        </w:tc>
        <w:tc>
          <w:tcPr>
            <w:tcW w:w="1844"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17DA5AF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测量题项（二级指标）</w:t>
            </w:r>
          </w:p>
        </w:tc>
      </w:tr>
      <w:tr w14:paraId="71C8C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994FB7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全龄适配</w:t>
            </w:r>
          </w:p>
        </w:tc>
        <w:tc>
          <w:tcPr>
            <w:tcW w:w="184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5FE52B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设施适配性</w:t>
            </w:r>
          </w:p>
        </w:tc>
        <w:tc>
          <w:tcPr>
            <w:tcW w:w="1844"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6B0CBEC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适儿化设计、适老化设计（7级李克特量表）</w:t>
            </w:r>
          </w:p>
        </w:tc>
      </w:tr>
      <w:tr w14:paraId="2E5B5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A8572EB">
            <w:pPr>
              <w:rPr>
                <w:rFonts w:hint="eastAsia" w:ascii="宋体"/>
                <w:sz w:val="24"/>
                <w:szCs w:val="24"/>
              </w:rPr>
            </w:pPr>
          </w:p>
        </w:tc>
        <w:tc>
          <w:tcPr>
            <w:tcW w:w="184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5CF0E8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场景实用性</w:t>
            </w:r>
          </w:p>
        </w:tc>
        <w:tc>
          <w:tcPr>
            <w:tcW w:w="1844"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356BD89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您希望健身驿站新增/优化哪些设施？</w:t>
            </w:r>
          </w:p>
        </w:tc>
      </w:tr>
      <w:tr w14:paraId="5C539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3859AC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残障支持</w:t>
            </w:r>
          </w:p>
        </w:tc>
        <w:tc>
          <w:tcPr>
            <w:tcW w:w="184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A50C04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功能适配性</w:t>
            </w:r>
          </w:p>
        </w:tc>
        <w:tc>
          <w:tcPr>
            <w:tcW w:w="1844"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25DD8F0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残障适配设施（7级李克特量表）</w:t>
            </w:r>
          </w:p>
        </w:tc>
      </w:tr>
      <w:tr w14:paraId="6DA57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FC0BEA3">
            <w:pPr>
              <w:rPr>
                <w:rFonts w:hint="eastAsia" w:ascii="宋体"/>
                <w:sz w:val="24"/>
                <w:szCs w:val="24"/>
              </w:rPr>
            </w:pPr>
          </w:p>
        </w:tc>
        <w:tc>
          <w:tcPr>
            <w:tcW w:w="1843"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65DA4C9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无障碍可达性</w:t>
            </w:r>
          </w:p>
        </w:tc>
        <w:tc>
          <w:tcPr>
            <w:tcW w:w="1844" w:type="dxa"/>
            <w:tcBorders>
              <w:top w:val="single" w:color="auto" w:sz="2" w:space="0"/>
              <w:left w:val="single" w:color="auto" w:sz="2" w:space="0"/>
              <w:bottom w:val="single" w:color="auto" w:sz="8" w:space="0"/>
              <w:right w:val="single" w:color="CBCDD1" w:sz="2" w:space="0"/>
            </w:tcBorders>
            <w:shd w:val="clear"/>
            <w:tcMar>
              <w:top w:w="0" w:type="dxa"/>
              <w:left w:w="72" w:type="dxa"/>
              <w:bottom w:w="0" w:type="dxa"/>
              <w:right w:w="72" w:type="dxa"/>
            </w:tcMar>
            <w:vAlign w:val="center"/>
          </w:tcPr>
          <w:p w14:paraId="729983A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无障碍可达性（7级李克特量表）</w:t>
            </w:r>
          </w:p>
        </w:tc>
      </w:tr>
    </w:tbl>
    <w:p w14:paraId="2D846095">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为进一步实现服务效能的客观评估，本研究在上述用户感知框架的基础上，将相关指标归并为硬件设施、软性服务、数智体验、便利程度四大维度，形成可量化的评价体系。需要说明的是，此处的维度划分与后续熵值法分析中采用的维度体系在逻辑上同源，但在具体指标归属与权重计算上存在差异：本阶段的维度归并以</w:t>
      </w:r>
      <w:r>
        <w:rPr>
          <w:rFonts w:hint="eastAsia" w:ascii="宋体" w:hAnsi="宋体" w:eastAsia="宋体" w:cs="宋体"/>
          <w:b/>
          <w:bCs/>
          <w:i w:val="0"/>
          <w:iCs w:val="0"/>
          <w:color w:val="1F2329"/>
          <w:spacing w:val="0"/>
          <w:w w:val="100"/>
          <w:sz w:val="24"/>
          <w:szCs w:val="24"/>
          <w:shd w:val="clear" w:fill="FFFFFF"/>
          <w:vertAlign w:val="baseline"/>
        </w:rPr>
        <w:t>用户感知</w:t>
      </w:r>
      <w:r>
        <w:rPr>
          <w:rFonts w:hint="eastAsia" w:ascii="宋体" w:hAnsi="宋体" w:eastAsia="宋体" w:cs="宋体"/>
          <w:b w:val="0"/>
          <w:bCs w:val="0"/>
          <w:i w:val="0"/>
          <w:iCs w:val="0"/>
          <w:color w:val="1F2329"/>
          <w:spacing w:val="0"/>
          <w:w w:val="100"/>
          <w:sz w:val="24"/>
          <w:szCs w:val="24"/>
          <w:shd w:val="clear" w:fill="FFFFFF"/>
          <w:vertAlign w:val="baseline"/>
        </w:rPr>
        <w:t>为核心，而熵值法分析则以数据驱动的客观权重为依据，二者相互补充，共同构成 “主观感知 - 客观效能”的完整评估链条。</w:t>
      </w:r>
    </w:p>
    <w:p w14:paraId="7167B1D9">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4. 指标体系：构建多维需求分析框架</w:t>
      </w:r>
    </w:p>
    <w:p w14:paraId="05F4023E">
      <w:pPr>
        <w:pStyle w:val="2"/>
        <w:keepNext w:val="0"/>
        <w:keepLines w:val="0"/>
        <w:widowControl/>
        <w:suppressLineNumbers w:val="0"/>
        <w:spacing w:before="156" w:beforeAutospacing="0" w:after="0" w:afterAutospacing="0" w:line="13" w:lineRule="atLeast"/>
        <w:ind w:left="0" w:right="0" w:firstLine="210"/>
        <w:jc w:val="both"/>
      </w:pPr>
      <w:r>
        <w:drawing>
          <wp:inline distT="0" distB="0" distL="114300" distR="114300">
            <wp:extent cx="5562600" cy="2743200"/>
            <wp:effectExtent l="0" t="0" r="0" b="0"/>
            <wp:docPr id="57" name="图片 4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8" descr="IMG_258"/>
                    <pic:cNvPicPr>
                      <a:picLocks noChangeAspect="1"/>
                    </pic:cNvPicPr>
                  </pic:nvPicPr>
                  <pic:blipFill>
                    <a:blip r:embed="rId6"/>
                    <a:stretch>
                      <a:fillRect/>
                    </a:stretch>
                  </pic:blipFill>
                  <pic:spPr>
                    <a:xfrm>
                      <a:off x="0" y="0"/>
                      <a:ext cx="5562600" cy="2743200"/>
                    </a:xfrm>
                    <a:prstGeom prst="rect">
                      <a:avLst/>
                    </a:prstGeom>
                    <a:noFill/>
                    <a:ln w="9525">
                      <a:noFill/>
                    </a:ln>
                  </pic:spPr>
                </pic:pic>
              </a:graphicData>
            </a:graphic>
          </wp:inline>
        </w:drawing>
      </w:r>
      <w:r>
        <w:rPr>
          <w:rFonts w:hint="eastAsia" w:ascii="宋体" w:hAnsi="宋体" w:eastAsia="宋体" w:cs="宋体"/>
          <w:b w:val="0"/>
          <w:bCs w:val="0"/>
          <w:i w:val="0"/>
          <w:iCs w:val="0"/>
          <w:color w:val="1F2329"/>
          <w:spacing w:val="0"/>
          <w:w w:val="100"/>
          <w:sz w:val="24"/>
          <w:szCs w:val="24"/>
          <w:shd w:val="clear" w:fill="FFFFFF"/>
          <w:vertAlign w:val="baseline"/>
        </w:rPr>
        <w:t>将所有指标进行分类汇总，本文构建</w:t>
      </w:r>
      <w:r>
        <w:rPr>
          <w:rFonts w:hint="eastAsia" w:ascii="宋体" w:hAnsi="宋体" w:eastAsia="宋体" w:cs="宋体"/>
          <w:b/>
          <w:bCs/>
          <w:i w:val="0"/>
          <w:iCs w:val="0"/>
          <w:color w:val="1F2329"/>
          <w:spacing w:val="0"/>
          <w:w w:val="100"/>
          <w:sz w:val="24"/>
          <w:szCs w:val="24"/>
          <w:shd w:val="clear" w:fill="FFFFFF"/>
          <w:vertAlign w:val="baseline"/>
        </w:rPr>
        <w:t>逻辑框架图</w:t>
      </w:r>
      <w:r>
        <w:rPr>
          <w:rFonts w:hint="eastAsia" w:ascii="宋体" w:hAnsi="宋体" w:eastAsia="宋体" w:cs="宋体"/>
          <w:b w:val="0"/>
          <w:bCs w:val="0"/>
          <w:i w:val="0"/>
          <w:iCs w:val="0"/>
          <w:color w:val="1F2329"/>
          <w:spacing w:val="0"/>
          <w:w w:val="100"/>
          <w:sz w:val="24"/>
          <w:szCs w:val="24"/>
          <w:shd w:val="clear" w:fill="FFFFFF"/>
          <w:vertAlign w:val="baseline"/>
        </w:rPr>
        <w:t>，全面展示指标间的逻辑关系，为后续数据分析提供清晰的结构支撑。</w:t>
      </w:r>
    </w:p>
    <w:p w14:paraId="4A884BF2">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（五）抽样规划：科学保障数据可靠性的样本设计</w:t>
      </w:r>
    </w:p>
    <w:p w14:paraId="5E186217">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1. 目标总体：明确研究覆盖范围</w:t>
      </w:r>
    </w:p>
    <w:p w14:paraId="44A67CD9">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本次方案主要针对上海</w:t>
      </w:r>
      <w:r>
        <w:rPr>
          <w:rFonts w:hint="eastAsia" w:ascii="宋体" w:hAnsi="宋体" w:eastAsia="宋体" w:cs="宋体"/>
          <w:b/>
          <w:bCs/>
          <w:i w:val="0"/>
          <w:iCs w:val="0"/>
          <w:color w:val="1F2329"/>
          <w:spacing w:val="0"/>
          <w:w w:val="100"/>
          <w:sz w:val="24"/>
          <w:szCs w:val="24"/>
          <w:shd w:val="clear" w:fill="FFFFFF"/>
          <w:vertAlign w:val="baseline"/>
        </w:rPr>
        <w:t>16</w:t>
      </w:r>
      <w:r>
        <w:rPr>
          <w:rFonts w:hint="eastAsia" w:ascii="宋体" w:hAnsi="宋体" w:eastAsia="宋体" w:cs="宋体"/>
          <w:b w:val="0"/>
          <w:bCs w:val="0"/>
          <w:i w:val="0"/>
          <w:iCs w:val="0"/>
          <w:color w:val="1F2329"/>
          <w:spacing w:val="0"/>
          <w:w w:val="100"/>
          <w:sz w:val="24"/>
          <w:szCs w:val="24"/>
          <w:shd w:val="clear" w:fill="FFFFFF"/>
          <w:vertAlign w:val="baseline"/>
        </w:rPr>
        <w:t>个行政区的现有使用者和潜在使用者进行调研，为保证样本代表性，将覆盖不同行政区、年龄层和职业的常住市民，以反映全市健身驿站的服务效能差异。</w:t>
      </w:r>
    </w:p>
    <w:p w14:paraId="1F4B1729">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2. 样本测算：统计学方法明确合理样本规模</w:t>
      </w:r>
    </w:p>
    <w:p w14:paraId="29223D30">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本次抽样的必要样本容量根据式(1)—(3)计算：</w:t>
      </w:r>
    </w:p>
    <w:p w14:paraId="55C0F1AF">
      <w:pPr>
        <w:pStyle w:val="2"/>
        <w:keepNext w:val="0"/>
        <w:keepLines w:val="0"/>
        <w:widowControl/>
        <w:suppressLineNumbers w:val="0"/>
        <w:spacing w:before="156" w:beforeAutospacing="0" w:after="0" w:afterAutospacing="0" w:line="13" w:lineRule="atLeast"/>
        <w:ind w:left="0" w:right="0" w:firstLine="210"/>
        <w:jc w:val="both"/>
      </w:pPr>
      <w:r>
        <w:rPr>
          <w:b w:val="0"/>
          <w:bCs w:val="0"/>
          <w:i w:val="0"/>
          <w:iCs w:val="0"/>
          <w:color w:val="1F2329"/>
          <w:spacing w:val="0"/>
          <w:w w:val="100"/>
          <w:sz w:val="24"/>
          <w:szCs w:val="24"/>
          <w:vertAlign w:val="baseline"/>
        </w:rPr>
        <w:t>n</w:t>
      </w:r>
      <w:r>
        <w:rPr>
          <w:b w:val="0"/>
          <w:bCs w:val="0"/>
          <w:i w:val="0"/>
          <w:iCs w:val="0"/>
          <w:color w:val="1F2329"/>
          <w:spacing w:val="0"/>
          <w:w w:val="100"/>
          <w:sz w:val="17"/>
          <w:szCs w:val="17"/>
          <w:vertAlign w:val="baseline"/>
        </w:rPr>
        <w:t>0</w:t>
      </w:r>
      <w:r>
        <w:rPr>
          <w:b w:val="0"/>
          <w:bCs w:val="0"/>
          <w:i w:val="0"/>
          <w:iCs w:val="0"/>
          <w:color w:val="1F2329"/>
          <w:spacing w:val="0"/>
          <w:w w:val="100"/>
          <w:sz w:val="24"/>
          <w:szCs w:val="24"/>
          <w:vertAlign w:val="baseline"/>
        </w:rPr>
        <w:t>=Z</w:t>
      </w:r>
      <w:r>
        <w:rPr>
          <w:b w:val="0"/>
          <w:bCs w:val="0"/>
          <w:i w:val="0"/>
          <w:iCs w:val="0"/>
          <w:color w:val="1F2329"/>
          <w:spacing w:val="0"/>
          <w:w w:val="100"/>
          <w:sz w:val="17"/>
          <w:szCs w:val="17"/>
          <w:vertAlign w:val="baseline"/>
        </w:rPr>
        <w:t>α/22</w:t>
      </w:r>
      <w:r>
        <w:rPr>
          <w:b w:val="0"/>
          <w:bCs w:val="0"/>
          <w:i w:val="0"/>
          <w:iCs w:val="0"/>
          <w:color w:val="1F2329"/>
          <w:spacing w:val="0"/>
          <w:w w:val="100"/>
          <w:sz w:val="24"/>
          <w:szCs w:val="24"/>
          <w:vertAlign w:val="baseline"/>
        </w:rPr>
        <w:t>P(1-P)E</w:t>
      </w:r>
      <w:r>
        <w:rPr>
          <w:b w:val="0"/>
          <w:bCs w:val="0"/>
          <w:i w:val="0"/>
          <w:iCs w:val="0"/>
          <w:color w:val="1F2329"/>
          <w:spacing w:val="0"/>
          <w:w w:val="100"/>
          <w:sz w:val="17"/>
          <w:szCs w:val="17"/>
          <w:vertAlign w:val="baseline"/>
        </w:rPr>
        <w:t>2</w:t>
      </w:r>
      <w:r>
        <w:rPr>
          <w:b w:val="0"/>
          <w:bCs w:val="0"/>
          <w:i w:val="0"/>
          <w:iCs w:val="0"/>
          <w:color w:val="1F2329"/>
          <w:spacing w:val="0"/>
          <w:w w:val="100"/>
          <w:sz w:val="24"/>
          <w:szCs w:val="24"/>
          <w:vertAlign w:val="baseline"/>
        </w:rPr>
        <w:t>#(1)</w:t>
      </w:r>
    </w:p>
    <w:p w14:paraId="73E4C32C">
      <w:pPr>
        <w:pStyle w:val="2"/>
        <w:keepNext w:val="0"/>
        <w:keepLines w:val="0"/>
        <w:widowControl/>
        <w:suppressLineNumbers w:val="0"/>
        <w:spacing w:before="156" w:beforeAutospacing="0" w:after="0" w:afterAutospacing="0" w:line="13" w:lineRule="atLeast"/>
        <w:ind w:left="0" w:right="0" w:firstLine="210"/>
        <w:jc w:val="both"/>
      </w:pPr>
      <w:r>
        <w:rPr>
          <w:b w:val="0"/>
          <w:bCs w:val="0"/>
          <w:i w:val="0"/>
          <w:iCs w:val="0"/>
          <w:color w:val="1F2329"/>
          <w:spacing w:val="0"/>
          <w:w w:val="100"/>
          <w:sz w:val="24"/>
          <w:szCs w:val="24"/>
          <w:vertAlign w:val="baseline"/>
        </w:rPr>
        <w:t>n</w:t>
      </w:r>
      <w:r>
        <w:rPr>
          <w:b w:val="0"/>
          <w:bCs w:val="0"/>
          <w:i w:val="0"/>
          <w:iCs w:val="0"/>
          <w:color w:val="1F2329"/>
          <w:spacing w:val="0"/>
          <w:w w:val="100"/>
          <w:sz w:val="17"/>
          <w:szCs w:val="17"/>
          <w:vertAlign w:val="baseline"/>
        </w:rPr>
        <w:t>1</w:t>
      </w:r>
      <w:r>
        <w:rPr>
          <w:b w:val="0"/>
          <w:bCs w:val="0"/>
          <w:i w:val="0"/>
          <w:iCs w:val="0"/>
          <w:color w:val="1F2329"/>
          <w:spacing w:val="0"/>
          <w:w w:val="100"/>
          <w:sz w:val="24"/>
          <w:szCs w:val="24"/>
          <w:vertAlign w:val="baseline"/>
        </w:rPr>
        <w:t>=Deff×n</w:t>
      </w:r>
      <w:r>
        <w:rPr>
          <w:b w:val="0"/>
          <w:bCs w:val="0"/>
          <w:i w:val="0"/>
          <w:iCs w:val="0"/>
          <w:color w:val="1F2329"/>
          <w:spacing w:val="0"/>
          <w:w w:val="100"/>
          <w:sz w:val="17"/>
          <w:szCs w:val="17"/>
          <w:vertAlign w:val="baseline"/>
        </w:rPr>
        <w:t>0</w:t>
      </w:r>
      <w:r>
        <w:rPr>
          <w:b w:val="0"/>
          <w:bCs w:val="0"/>
          <w:i w:val="0"/>
          <w:iCs w:val="0"/>
          <w:color w:val="1F2329"/>
          <w:spacing w:val="0"/>
          <w:w w:val="100"/>
          <w:sz w:val="24"/>
          <w:szCs w:val="24"/>
          <w:vertAlign w:val="baseline"/>
        </w:rPr>
        <w:t>#(2)</w:t>
      </w:r>
    </w:p>
    <w:p w14:paraId="204D2FE0">
      <w:pPr>
        <w:pStyle w:val="2"/>
        <w:keepNext w:val="0"/>
        <w:keepLines w:val="0"/>
        <w:widowControl/>
        <w:suppressLineNumbers w:val="0"/>
        <w:spacing w:before="156" w:beforeAutospacing="0" w:after="0" w:afterAutospacing="0" w:line="13" w:lineRule="atLeast"/>
        <w:ind w:left="0" w:right="0" w:firstLine="210"/>
        <w:jc w:val="both"/>
      </w:pPr>
      <w:r>
        <w:rPr>
          <w:b w:val="0"/>
          <w:bCs w:val="0"/>
          <w:i w:val="0"/>
          <w:iCs w:val="0"/>
          <w:color w:val="1F2329"/>
          <w:spacing w:val="0"/>
          <w:w w:val="100"/>
          <w:sz w:val="24"/>
          <w:szCs w:val="24"/>
          <w:vertAlign w:val="baseline"/>
        </w:rPr>
        <w:t>n=n</w:t>
      </w:r>
      <w:r>
        <w:rPr>
          <w:b w:val="0"/>
          <w:bCs w:val="0"/>
          <w:i w:val="0"/>
          <w:iCs w:val="0"/>
          <w:color w:val="1F2329"/>
          <w:spacing w:val="0"/>
          <w:w w:val="100"/>
          <w:sz w:val="17"/>
          <w:szCs w:val="17"/>
          <w:vertAlign w:val="baseline"/>
        </w:rPr>
        <w:t>1</w:t>
      </w:r>
      <w:r>
        <w:rPr>
          <w:b w:val="0"/>
          <w:bCs w:val="0"/>
          <w:i w:val="0"/>
          <w:iCs w:val="0"/>
          <w:color w:val="1F2329"/>
          <w:spacing w:val="0"/>
          <w:w w:val="100"/>
          <w:sz w:val="24"/>
          <w:szCs w:val="24"/>
          <w:vertAlign w:val="baseline"/>
        </w:rPr>
        <w:t>r#(3)</w:t>
      </w:r>
    </w:p>
    <w:p w14:paraId="0AA326E0">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其中：</w:t>
      </w:r>
    </w:p>
    <w:p w14:paraId="41EC7CD0">
      <w:pPr>
        <w:pStyle w:val="2"/>
        <w:keepNext w:val="0"/>
        <w:keepLines w:val="0"/>
        <w:widowControl/>
        <w:numPr>
          <w:ilvl w:val="0"/>
          <w:numId w:val="8"/>
        </w:numPr>
        <w:suppressLineNumbers w:val="0"/>
        <w:spacing w:before="156" w:beforeAutospacing="0" w:after="0" w:afterAutospacing="0" w:line="13" w:lineRule="atLeast"/>
        <w:ind w:left="720" w:right="0" w:firstLine="210"/>
        <w:jc w:val="both"/>
      </w:pPr>
      <w:r>
        <w:rPr>
          <w:b w:val="0"/>
          <w:bCs w:val="0"/>
          <w:i w:val="0"/>
          <w:iCs w:val="0"/>
          <w:color w:val="1F2329"/>
          <w:spacing w:val="0"/>
          <w:w w:val="100"/>
          <w:sz w:val="24"/>
          <w:szCs w:val="24"/>
          <w:vertAlign w:val="baseline"/>
        </w:rPr>
        <w:t>n</w:t>
      </w:r>
      <w:r>
        <w:rPr>
          <w:b w:val="0"/>
          <w:bCs w:val="0"/>
          <w:i w:val="0"/>
          <w:iCs w:val="0"/>
          <w:color w:val="1F2329"/>
          <w:spacing w:val="0"/>
          <w:w w:val="100"/>
          <w:sz w:val="17"/>
          <w:szCs w:val="17"/>
          <w:vertAlign w:val="baseline"/>
        </w:rPr>
        <w:t>0</w:t>
      </w:r>
      <w:r>
        <w:rPr>
          <w:rFonts w:hint="eastAsia" w:ascii="宋体" w:hAnsi="宋体" w:eastAsia="宋体" w:cs="宋体"/>
          <w:b w:val="0"/>
          <w:bCs w:val="0"/>
          <w:i w:val="0"/>
          <w:iCs w:val="0"/>
          <w:color w:val="1F2329"/>
          <w:spacing w:val="0"/>
          <w:w w:val="100"/>
          <w:sz w:val="24"/>
          <w:szCs w:val="24"/>
          <w:shd w:val="clear" w:fill="FFFFFF"/>
          <w:vertAlign w:val="baseline"/>
        </w:rPr>
        <w:t>为初始样本量</w:t>
      </w:r>
    </w:p>
    <w:p w14:paraId="44465A38">
      <w:pPr>
        <w:pStyle w:val="2"/>
        <w:keepNext w:val="0"/>
        <w:keepLines w:val="0"/>
        <w:widowControl/>
        <w:numPr>
          <w:ilvl w:val="0"/>
          <w:numId w:val="8"/>
        </w:numPr>
        <w:suppressLineNumbers w:val="0"/>
        <w:spacing w:before="156" w:beforeAutospacing="0" w:after="0" w:afterAutospacing="0" w:line="13" w:lineRule="atLeast"/>
        <w:ind w:left="720" w:right="0" w:firstLine="210"/>
        <w:jc w:val="both"/>
      </w:pPr>
      <w:r>
        <w:rPr>
          <w:b w:val="0"/>
          <w:bCs w:val="0"/>
          <w:i w:val="0"/>
          <w:iCs w:val="0"/>
          <w:color w:val="1F2329"/>
          <w:spacing w:val="0"/>
          <w:w w:val="100"/>
          <w:sz w:val="24"/>
          <w:szCs w:val="24"/>
          <w:vertAlign w:val="baseline"/>
        </w:rPr>
        <w:t>Z</w:t>
      </w:r>
      <w:r>
        <w:rPr>
          <w:b w:val="0"/>
          <w:bCs w:val="0"/>
          <w:i w:val="0"/>
          <w:iCs w:val="0"/>
          <w:color w:val="1F2329"/>
          <w:spacing w:val="0"/>
          <w:w w:val="100"/>
          <w:sz w:val="17"/>
          <w:szCs w:val="17"/>
          <w:vertAlign w:val="baseline"/>
        </w:rPr>
        <w:t>α/2</w:t>
      </w:r>
      <w:r>
        <w:rPr>
          <w:rFonts w:hint="eastAsia" w:ascii="宋体" w:hAnsi="宋体" w:eastAsia="宋体" w:cs="宋体"/>
          <w:b w:val="0"/>
          <w:bCs w:val="0"/>
          <w:i w:val="0"/>
          <w:iCs w:val="0"/>
          <w:color w:val="1F2329"/>
          <w:spacing w:val="0"/>
          <w:w w:val="100"/>
          <w:sz w:val="24"/>
          <w:szCs w:val="24"/>
          <w:shd w:val="clear" w:fill="FFFFFF"/>
          <w:vertAlign w:val="baseline"/>
        </w:rPr>
        <w:t>为置信度为</w:t>
      </w:r>
      <w:r>
        <w:rPr>
          <w:b w:val="0"/>
          <w:bCs w:val="0"/>
          <w:i w:val="0"/>
          <w:iCs w:val="0"/>
          <w:color w:val="1F2329"/>
          <w:spacing w:val="0"/>
          <w:w w:val="100"/>
          <w:sz w:val="24"/>
          <w:szCs w:val="24"/>
          <w:vertAlign w:val="baseline"/>
        </w:rPr>
        <w:t>1-α</w:t>
      </w:r>
      <w:r>
        <w:rPr>
          <w:rFonts w:hint="eastAsia" w:ascii="宋体" w:hAnsi="宋体" w:eastAsia="宋体" w:cs="宋体"/>
          <w:b w:val="0"/>
          <w:bCs w:val="0"/>
          <w:i w:val="0"/>
          <w:iCs w:val="0"/>
          <w:color w:val="1F2329"/>
          <w:spacing w:val="0"/>
          <w:w w:val="100"/>
          <w:sz w:val="24"/>
          <w:szCs w:val="24"/>
          <w:shd w:val="clear" w:fill="FFFFFF"/>
          <w:vertAlign w:val="baseline"/>
        </w:rPr>
        <w:t>时Z的统计量值</w:t>
      </w:r>
    </w:p>
    <w:p w14:paraId="4491BBA4">
      <w:pPr>
        <w:pStyle w:val="2"/>
        <w:keepNext w:val="0"/>
        <w:keepLines w:val="0"/>
        <w:widowControl/>
        <w:numPr>
          <w:ilvl w:val="0"/>
          <w:numId w:val="8"/>
        </w:numPr>
        <w:suppressLineNumbers w:val="0"/>
        <w:spacing w:before="156" w:beforeAutospacing="0" w:after="0" w:afterAutospacing="0" w:line="13" w:lineRule="atLeast"/>
        <w:ind w:left="720" w:right="0" w:firstLine="210"/>
        <w:jc w:val="both"/>
      </w:pPr>
      <w:r>
        <w:rPr>
          <w:b w:val="0"/>
          <w:bCs w:val="0"/>
          <w:i w:val="0"/>
          <w:iCs w:val="0"/>
          <w:color w:val="1F2329"/>
          <w:spacing w:val="0"/>
          <w:w w:val="100"/>
          <w:sz w:val="24"/>
          <w:szCs w:val="24"/>
          <w:vertAlign w:val="baseline"/>
        </w:rPr>
        <w:t>E</w:t>
      </w:r>
      <w:r>
        <w:rPr>
          <w:rFonts w:hint="eastAsia" w:ascii="宋体" w:hAnsi="宋体" w:eastAsia="宋体" w:cs="宋体"/>
          <w:b w:val="0"/>
          <w:bCs w:val="0"/>
          <w:i w:val="0"/>
          <w:iCs w:val="0"/>
          <w:color w:val="1F2329"/>
          <w:spacing w:val="0"/>
          <w:w w:val="100"/>
          <w:sz w:val="24"/>
          <w:szCs w:val="24"/>
          <w:shd w:val="clear" w:fill="FFFFFF"/>
          <w:vertAlign w:val="baseline"/>
        </w:rPr>
        <w:t>为误差</w:t>
      </w:r>
    </w:p>
    <w:p w14:paraId="53B58202">
      <w:pPr>
        <w:pStyle w:val="2"/>
        <w:keepNext w:val="0"/>
        <w:keepLines w:val="0"/>
        <w:widowControl/>
        <w:numPr>
          <w:ilvl w:val="0"/>
          <w:numId w:val="8"/>
        </w:numPr>
        <w:suppressLineNumbers w:val="0"/>
        <w:spacing w:before="156" w:beforeAutospacing="0" w:after="0" w:afterAutospacing="0" w:line="13" w:lineRule="atLeast"/>
        <w:ind w:left="720" w:right="0" w:firstLine="210"/>
        <w:jc w:val="both"/>
      </w:pPr>
      <w:r>
        <w:rPr>
          <w:b w:val="0"/>
          <w:bCs w:val="0"/>
          <w:i w:val="0"/>
          <w:iCs w:val="0"/>
          <w:color w:val="1F2329"/>
          <w:spacing w:val="0"/>
          <w:w w:val="100"/>
          <w:sz w:val="24"/>
          <w:szCs w:val="24"/>
          <w:vertAlign w:val="baseline"/>
        </w:rPr>
        <w:t>P</w:t>
      </w:r>
      <w:r>
        <w:rPr>
          <w:rFonts w:hint="eastAsia" w:ascii="宋体" w:hAnsi="宋体" w:eastAsia="宋体" w:cs="宋体"/>
          <w:b w:val="0"/>
          <w:bCs w:val="0"/>
          <w:i w:val="0"/>
          <w:iCs w:val="0"/>
          <w:color w:val="1F2329"/>
          <w:spacing w:val="0"/>
          <w:w w:val="100"/>
          <w:sz w:val="24"/>
          <w:szCs w:val="24"/>
          <w:shd w:val="clear" w:fill="FFFFFF"/>
          <w:vertAlign w:val="baseline"/>
        </w:rPr>
        <w:t>为总体比例</w:t>
      </w:r>
    </w:p>
    <w:p w14:paraId="7CC92EED">
      <w:pPr>
        <w:pStyle w:val="2"/>
        <w:keepNext w:val="0"/>
        <w:keepLines w:val="0"/>
        <w:widowControl/>
        <w:numPr>
          <w:ilvl w:val="0"/>
          <w:numId w:val="8"/>
        </w:numPr>
        <w:suppressLineNumbers w:val="0"/>
        <w:spacing w:before="156" w:beforeAutospacing="0" w:after="0" w:afterAutospacing="0" w:line="13" w:lineRule="atLeast"/>
        <w:ind w:left="720" w:right="0" w:firstLine="210"/>
        <w:jc w:val="both"/>
      </w:pPr>
      <w:r>
        <w:rPr>
          <w:b w:val="0"/>
          <w:bCs w:val="0"/>
          <w:i w:val="0"/>
          <w:iCs w:val="0"/>
          <w:color w:val="1F2329"/>
          <w:spacing w:val="0"/>
          <w:w w:val="100"/>
          <w:sz w:val="24"/>
          <w:szCs w:val="24"/>
          <w:vertAlign w:val="baseline"/>
        </w:rPr>
        <w:t>Deff</w:t>
      </w:r>
      <w:r>
        <w:rPr>
          <w:rFonts w:hint="eastAsia" w:ascii="宋体" w:hAnsi="宋体" w:eastAsia="宋体" w:cs="宋体"/>
          <w:b w:val="0"/>
          <w:bCs w:val="0"/>
          <w:i w:val="0"/>
          <w:iCs w:val="0"/>
          <w:color w:val="1F2329"/>
          <w:spacing w:val="0"/>
          <w:w w:val="100"/>
          <w:sz w:val="24"/>
          <w:szCs w:val="24"/>
          <w:shd w:val="clear" w:fill="FFFFFF"/>
          <w:vertAlign w:val="baseline"/>
        </w:rPr>
        <w:t>为设计效应</w:t>
      </w:r>
    </w:p>
    <w:p w14:paraId="7CF32CD7">
      <w:pPr>
        <w:pStyle w:val="2"/>
        <w:keepNext w:val="0"/>
        <w:keepLines w:val="0"/>
        <w:widowControl/>
        <w:numPr>
          <w:ilvl w:val="0"/>
          <w:numId w:val="8"/>
        </w:numPr>
        <w:suppressLineNumbers w:val="0"/>
        <w:spacing w:before="156" w:beforeAutospacing="0" w:after="0" w:afterAutospacing="0" w:line="13" w:lineRule="atLeast"/>
        <w:ind w:left="720" w:right="0" w:firstLine="210"/>
        <w:jc w:val="both"/>
      </w:pPr>
      <w:r>
        <w:rPr>
          <w:b w:val="0"/>
          <w:bCs w:val="0"/>
          <w:i w:val="0"/>
          <w:iCs w:val="0"/>
          <w:color w:val="1F2329"/>
          <w:spacing w:val="0"/>
          <w:w w:val="100"/>
          <w:sz w:val="24"/>
          <w:szCs w:val="24"/>
          <w:vertAlign w:val="baseline"/>
        </w:rPr>
        <w:t>r</w:t>
      </w:r>
      <w:r>
        <w:rPr>
          <w:rFonts w:hint="eastAsia" w:ascii="宋体" w:hAnsi="宋体" w:eastAsia="宋体" w:cs="宋体"/>
          <w:b w:val="0"/>
          <w:bCs w:val="0"/>
          <w:i w:val="0"/>
          <w:iCs w:val="0"/>
          <w:color w:val="1F2329"/>
          <w:spacing w:val="0"/>
          <w:w w:val="100"/>
          <w:sz w:val="24"/>
          <w:szCs w:val="24"/>
          <w:shd w:val="clear" w:fill="FFFFFF"/>
          <w:vertAlign w:val="baseline"/>
        </w:rPr>
        <w:t>为问卷有效率</w:t>
      </w:r>
    </w:p>
    <w:p w14:paraId="72B24E5B">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计算思路如下：</w:t>
      </w:r>
    </w:p>
    <w:p w14:paraId="6A6EA812">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步骤一：在95%的置信度时，</w:t>
      </w:r>
      <w:r>
        <w:rPr>
          <w:b w:val="0"/>
          <w:bCs w:val="0"/>
          <w:i w:val="0"/>
          <w:iCs w:val="0"/>
          <w:color w:val="1F2329"/>
          <w:spacing w:val="0"/>
          <w:w w:val="100"/>
          <w:sz w:val="24"/>
          <w:szCs w:val="24"/>
          <w:vertAlign w:val="baseline"/>
        </w:rPr>
        <w:t>α</w:t>
      </w:r>
      <w:r>
        <w:rPr>
          <w:rFonts w:hint="eastAsia" w:ascii="宋体" w:hAnsi="宋体" w:eastAsia="宋体" w:cs="宋体"/>
          <w:b w:val="0"/>
          <w:bCs w:val="0"/>
          <w:i w:val="0"/>
          <w:iCs w:val="0"/>
          <w:color w:val="1F2329"/>
          <w:spacing w:val="0"/>
          <w:w w:val="100"/>
          <w:sz w:val="24"/>
          <w:szCs w:val="24"/>
          <w:shd w:val="clear" w:fill="FFFFFF"/>
          <w:vertAlign w:val="baseline"/>
        </w:rPr>
        <w:t>为0.05，Z的统计量值为1.96，</w:t>
      </w:r>
      <w:r>
        <w:rPr>
          <w:b w:val="0"/>
          <w:bCs w:val="0"/>
          <w:i w:val="0"/>
          <w:iCs w:val="0"/>
          <w:color w:val="1F2329"/>
          <w:spacing w:val="0"/>
          <w:w w:val="100"/>
          <w:sz w:val="24"/>
          <w:szCs w:val="24"/>
          <w:vertAlign w:val="baseline"/>
        </w:rPr>
        <w:t>E</w:t>
      </w:r>
      <w:r>
        <w:rPr>
          <w:rFonts w:hint="eastAsia" w:ascii="宋体" w:hAnsi="宋体" w:eastAsia="宋体" w:cs="宋体"/>
          <w:b w:val="0"/>
          <w:bCs w:val="0"/>
          <w:i w:val="0"/>
          <w:iCs w:val="0"/>
          <w:color w:val="1F2329"/>
          <w:spacing w:val="0"/>
          <w:w w:val="100"/>
          <w:sz w:val="24"/>
          <w:szCs w:val="24"/>
          <w:shd w:val="clear" w:fill="FFFFFF"/>
          <w:vertAlign w:val="baseline"/>
        </w:rPr>
        <w:t>设为5%，为确保样本代表性，总体比例</w:t>
      </w:r>
      <w:r>
        <w:rPr>
          <w:b w:val="0"/>
          <w:bCs w:val="0"/>
          <w:i w:val="0"/>
          <w:iCs w:val="0"/>
          <w:color w:val="1F2329"/>
          <w:spacing w:val="0"/>
          <w:w w:val="100"/>
          <w:sz w:val="24"/>
          <w:szCs w:val="24"/>
          <w:vertAlign w:val="baseline"/>
        </w:rPr>
        <w:t>P</w:t>
      </w:r>
      <w:r>
        <w:rPr>
          <w:rFonts w:hint="eastAsia" w:ascii="宋体" w:hAnsi="宋体" w:eastAsia="宋体" w:cs="宋体"/>
          <w:b w:val="0"/>
          <w:bCs w:val="0"/>
          <w:i w:val="0"/>
          <w:iCs w:val="0"/>
          <w:color w:val="1F2329"/>
          <w:spacing w:val="0"/>
          <w:w w:val="100"/>
          <w:sz w:val="24"/>
          <w:szCs w:val="24"/>
          <w:shd w:val="clear" w:fill="FFFFFF"/>
          <w:vertAlign w:val="baseline"/>
        </w:rPr>
        <w:t>设为0.5，计算得初始样本容量</w:t>
      </w:r>
      <w:r>
        <w:rPr>
          <w:b w:val="0"/>
          <w:bCs w:val="0"/>
          <w:i w:val="0"/>
          <w:iCs w:val="0"/>
          <w:color w:val="1F2329"/>
          <w:spacing w:val="0"/>
          <w:w w:val="100"/>
          <w:sz w:val="24"/>
          <w:szCs w:val="24"/>
          <w:vertAlign w:val="baseline"/>
        </w:rPr>
        <w:t>n</w:t>
      </w:r>
      <w:r>
        <w:rPr>
          <w:b w:val="0"/>
          <w:bCs w:val="0"/>
          <w:i w:val="0"/>
          <w:iCs w:val="0"/>
          <w:color w:val="1F2329"/>
          <w:spacing w:val="0"/>
          <w:w w:val="100"/>
          <w:sz w:val="17"/>
          <w:szCs w:val="17"/>
          <w:vertAlign w:val="baseline"/>
        </w:rPr>
        <w:t>0</w:t>
      </w:r>
      <w:r>
        <w:rPr>
          <w:rFonts w:hint="eastAsia" w:ascii="宋体" w:hAnsi="宋体" w:eastAsia="宋体" w:cs="宋体"/>
          <w:b w:val="0"/>
          <w:bCs w:val="0"/>
          <w:i w:val="0"/>
          <w:iCs w:val="0"/>
          <w:color w:val="1F2329"/>
          <w:spacing w:val="0"/>
          <w:w w:val="100"/>
          <w:sz w:val="24"/>
          <w:szCs w:val="24"/>
          <w:shd w:val="clear" w:fill="FFFFFF"/>
          <w:vertAlign w:val="baseline"/>
        </w:rPr>
        <w:t>为385。</w:t>
      </w:r>
    </w:p>
    <w:p w14:paraId="4EE11562">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步骤二：由于采用线上线下结合的方式，线下抽样可能存在社区聚集性，设计效应（Deff）设定为1.3，以应对潜在的聚类偏差，计算得</w:t>
      </w:r>
      <w:r>
        <w:rPr>
          <w:b w:val="0"/>
          <w:bCs w:val="0"/>
          <w:i w:val="0"/>
          <w:iCs w:val="0"/>
          <w:color w:val="1F2329"/>
          <w:spacing w:val="0"/>
          <w:w w:val="100"/>
          <w:sz w:val="24"/>
          <w:szCs w:val="24"/>
          <w:vertAlign w:val="baseline"/>
        </w:rPr>
        <w:t>n</w:t>
      </w:r>
      <w:r>
        <w:rPr>
          <w:b w:val="0"/>
          <w:bCs w:val="0"/>
          <w:i w:val="0"/>
          <w:iCs w:val="0"/>
          <w:color w:val="1F2329"/>
          <w:spacing w:val="0"/>
          <w:w w:val="100"/>
          <w:sz w:val="17"/>
          <w:szCs w:val="17"/>
          <w:vertAlign w:val="baseline"/>
        </w:rPr>
        <w:t>1</w:t>
      </w:r>
      <w:r>
        <w:rPr>
          <w:b w:val="0"/>
          <w:bCs w:val="0"/>
          <w:i w:val="0"/>
          <w:iCs w:val="0"/>
          <w:color w:val="1F2329"/>
          <w:spacing w:val="0"/>
          <w:w w:val="100"/>
          <w:sz w:val="24"/>
          <w:szCs w:val="24"/>
          <w:vertAlign w:val="baseline"/>
        </w:rPr>
        <w:t>=385×1.3=500.5</w:t>
      </w:r>
      <w:r>
        <w:rPr>
          <w:rFonts w:hint="eastAsia" w:ascii="宋体" w:hAnsi="宋体" w:eastAsia="宋体" w:cs="宋体"/>
          <w:b w:val="0"/>
          <w:bCs w:val="0"/>
          <w:i w:val="0"/>
          <w:iCs w:val="0"/>
          <w:color w:val="1F2329"/>
          <w:spacing w:val="0"/>
          <w:w w:val="100"/>
          <w:sz w:val="24"/>
          <w:szCs w:val="24"/>
          <w:shd w:val="clear" w:fill="FFFFFF"/>
          <w:vertAlign w:val="baseline"/>
        </w:rPr>
        <w:t>，，取整为501。</w:t>
      </w:r>
    </w:p>
    <w:p w14:paraId="72A29F5C">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步骤三：线上问卷有效率预计为85%，线下问卷有效率预计为90%，综合有效率取87%，计算得最终所需样本容量</w:t>
      </w:r>
      <w:r>
        <w:rPr>
          <w:b w:val="0"/>
          <w:bCs w:val="0"/>
          <w:i w:val="0"/>
          <w:iCs w:val="0"/>
          <w:color w:val="1F2329"/>
          <w:spacing w:val="0"/>
          <w:w w:val="100"/>
          <w:sz w:val="24"/>
          <w:szCs w:val="24"/>
          <w:vertAlign w:val="baseline"/>
        </w:rPr>
        <w:t>n=501÷0.87≈576</w:t>
      </w:r>
      <w:r>
        <w:rPr>
          <w:rFonts w:hint="eastAsia" w:ascii="宋体" w:hAnsi="宋体" w:eastAsia="宋体" w:cs="宋体"/>
          <w:b w:val="0"/>
          <w:bCs w:val="0"/>
          <w:i w:val="0"/>
          <w:iCs w:val="0"/>
          <w:color w:val="1F2329"/>
          <w:spacing w:val="0"/>
          <w:w w:val="100"/>
          <w:sz w:val="24"/>
          <w:szCs w:val="24"/>
          <w:shd w:val="clear" w:fill="FFFFFF"/>
          <w:vertAlign w:val="baseline"/>
        </w:rPr>
        <w:t>，为方便执行，取整为580。</w:t>
      </w:r>
    </w:p>
    <w:p w14:paraId="3E798ABF">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（六）实施路径：从预调研到正式调研的严谨流程</w:t>
      </w:r>
    </w:p>
    <w:p w14:paraId="61B2E280">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1. 抽样方法：线上线下结合的数据采集方式</w:t>
      </w:r>
    </w:p>
    <w:p w14:paraId="42C305AE">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本次抽样采用</w:t>
      </w:r>
      <w:r>
        <w:rPr>
          <w:rFonts w:hint="eastAsia" w:ascii="宋体" w:hAnsi="宋体" w:eastAsia="宋体" w:cs="宋体"/>
          <w:b/>
          <w:bCs/>
          <w:i w:val="0"/>
          <w:iCs w:val="0"/>
          <w:color w:val="1F2329"/>
          <w:spacing w:val="0"/>
          <w:w w:val="100"/>
          <w:sz w:val="24"/>
          <w:szCs w:val="24"/>
          <w:shd w:val="clear" w:fill="FFFFFF"/>
          <w:vertAlign w:val="baseline"/>
        </w:rPr>
        <w:t>线上线下结合</w:t>
      </w:r>
      <w:r>
        <w:rPr>
          <w:rFonts w:hint="eastAsia" w:ascii="宋体" w:hAnsi="宋体" w:eastAsia="宋体" w:cs="宋体"/>
          <w:b w:val="0"/>
          <w:bCs w:val="0"/>
          <w:i w:val="0"/>
          <w:iCs w:val="0"/>
          <w:color w:val="1F2329"/>
          <w:spacing w:val="0"/>
          <w:w w:val="100"/>
          <w:sz w:val="24"/>
          <w:szCs w:val="24"/>
          <w:shd w:val="clear" w:fill="FFFFFF"/>
          <w:vertAlign w:val="baseline"/>
        </w:rPr>
        <w:t>的方式进行方便抽样，以此能够较快和经济地获得相应的样本数据。同时在线下环节，本文采用了</w:t>
      </w:r>
      <w:r>
        <w:rPr>
          <w:rFonts w:hint="eastAsia" w:ascii="宋体" w:hAnsi="宋体" w:eastAsia="宋体" w:cs="宋体"/>
          <w:b/>
          <w:bCs/>
          <w:i w:val="0"/>
          <w:iCs w:val="0"/>
          <w:color w:val="1F2329"/>
          <w:spacing w:val="0"/>
          <w:w w:val="100"/>
          <w:sz w:val="24"/>
          <w:szCs w:val="24"/>
          <w:shd w:val="clear" w:fill="FFFFFF"/>
          <w:vertAlign w:val="baseline"/>
        </w:rPr>
        <w:t>面对面访谈</w:t>
      </w:r>
      <w:r>
        <w:rPr>
          <w:rFonts w:hint="eastAsia" w:ascii="宋体" w:hAnsi="宋体" w:eastAsia="宋体" w:cs="宋体"/>
          <w:b w:val="0"/>
          <w:bCs w:val="0"/>
          <w:i w:val="0"/>
          <w:iCs w:val="0"/>
          <w:color w:val="1F2329"/>
          <w:spacing w:val="0"/>
          <w:w w:val="100"/>
          <w:sz w:val="24"/>
          <w:szCs w:val="24"/>
          <w:shd w:val="clear" w:fill="FFFFFF"/>
          <w:vertAlign w:val="baseline"/>
        </w:rPr>
        <w:t>的方法进行调研，同时也进行少部分的线下问卷调查。为了提高效率和方便后续剔除无效问卷，以及对所得的数据进行预处理，小组决定在统一以扫码填问卷的形式负责问卷工作，使用的问卷平台为问卷星平台。</w:t>
      </w:r>
    </w:p>
    <w:p w14:paraId="73725110">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2. 进度安排：分阶段推进调研工作</w:t>
      </w:r>
    </w:p>
    <w:p w14:paraId="565C1F97">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根据调研的形式，本文对调查的安排进行了规划，具体安排如图 3 所示：</w:t>
      </w:r>
    </w:p>
    <w:p w14:paraId="300BB7CF">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1F2329"/>
          <w:spacing w:val="0"/>
          <w:w w:val="100"/>
          <w:sz w:val="24"/>
          <w:szCs w:val="24"/>
          <w:shd w:val="clear" w:fill="FFFFFF"/>
          <w:vertAlign w:val="baseline"/>
        </w:rPr>
        <w:t>图3 调查进度安排甘特图</w:t>
      </w:r>
    </w:p>
    <w:p w14:paraId="7B635B0C">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3. 预先调研：问卷优化与信效度检验</w:t>
      </w:r>
    </w:p>
    <w:p w14:paraId="0469E406">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（1）预调查、信度检验与效度分析</w:t>
      </w:r>
    </w:p>
    <w:p w14:paraId="5C0E8A19">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为了检验编写的问卷质量和为正式调查提供参考数据，本文决定先进行预调查。本文使用问卷星平台先收集</w:t>
      </w:r>
      <w:r>
        <w:rPr>
          <w:rFonts w:hint="eastAsia" w:ascii="宋体" w:hAnsi="宋体" w:eastAsia="宋体" w:cs="宋体"/>
          <w:b/>
          <w:bCs/>
          <w:i w:val="0"/>
          <w:iCs w:val="0"/>
          <w:color w:val="1F2329"/>
          <w:spacing w:val="0"/>
          <w:w w:val="100"/>
          <w:sz w:val="24"/>
          <w:szCs w:val="24"/>
          <w:shd w:val="clear" w:fill="FFFFFF"/>
          <w:vertAlign w:val="baseline"/>
        </w:rPr>
        <w:t xml:space="preserve">200 </w:t>
      </w:r>
      <w:r>
        <w:rPr>
          <w:rFonts w:hint="eastAsia" w:ascii="宋体" w:hAnsi="宋体" w:eastAsia="宋体" w:cs="宋体"/>
          <w:b w:val="0"/>
          <w:bCs w:val="0"/>
          <w:i w:val="0"/>
          <w:iCs w:val="0"/>
          <w:color w:val="1F2329"/>
          <w:spacing w:val="0"/>
          <w:w w:val="100"/>
          <w:sz w:val="24"/>
          <w:szCs w:val="24"/>
          <w:shd w:val="clear" w:fill="FFFFFF"/>
          <w:vertAlign w:val="baseline"/>
        </w:rPr>
        <w:t>份问卷。</w:t>
      </w:r>
    </w:p>
    <w:p w14:paraId="3DE306F9">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（2）问卷筛选与数据清洗</w:t>
      </w:r>
    </w:p>
    <w:p w14:paraId="133CB175">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为了保证问卷的质量，本文确定了</w:t>
      </w:r>
      <w:r>
        <w:rPr>
          <w:rFonts w:hint="eastAsia" w:ascii="宋体" w:hAnsi="宋体" w:eastAsia="宋体" w:cs="宋体"/>
          <w:b/>
          <w:bCs/>
          <w:i w:val="0"/>
          <w:iCs w:val="0"/>
          <w:color w:val="1F2329"/>
          <w:spacing w:val="0"/>
          <w:w w:val="100"/>
          <w:sz w:val="24"/>
          <w:szCs w:val="24"/>
          <w:shd w:val="clear" w:fill="FFFFFF"/>
          <w:vertAlign w:val="baseline"/>
        </w:rPr>
        <w:t>附录II</w:t>
      </w:r>
      <w:r>
        <w:rPr>
          <w:rFonts w:hint="eastAsia" w:ascii="宋体" w:hAnsi="宋体" w:eastAsia="宋体" w:cs="宋体"/>
          <w:b w:val="0"/>
          <w:bCs w:val="0"/>
          <w:i w:val="0"/>
          <w:iCs w:val="0"/>
          <w:color w:val="1F2329"/>
          <w:spacing w:val="0"/>
          <w:w w:val="100"/>
          <w:sz w:val="24"/>
          <w:szCs w:val="24"/>
          <w:shd w:val="clear" w:fill="FFFFFF"/>
          <w:vertAlign w:val="baseline"/>
        </w:rPr>
        <w:t>中的无效问卷认定规则，移除了质量不佳和可疑的问卷。</w:t>
      </w:r>
    </w:p>
    <w:p w14:paraId="62FD4117">
      <w:pPr>
        <w:pStyle w:val="2"/>
        <w:keepNext w:val="0"/>
        <w:keepLines w:val="0"/>
        <w:widowControl/>
        <w:suppressLineNumbers w:val="0"/>
        <w:spacing w:before="156" w:beforeAutospacing="0" w:after="0" w:afterAutospacing="0" w:line="13" w:lineRule="atLeast"/>
        <w:ind w:left="0" w:right="0" w:firstLine="210"/>
        <w:jc w:val="both"/>
      </w:pPr>
      <w:r>
        <w:rPr>
          <w:rFonts w:hint="eastAsia" w:ascii="宋体" w:hAnsi="宋体" w:eastAsia="宋体" w:cs="宋体"/>
          <w:b w:val="0"/>
          <w:bCs w:val="0"/>
          <w:i w:val="0"/>
          <w:iCs w:val="0"/>
          <w:color w:val="1F2329"/>
          <w:spacing w:val="0"/>
          <w:w w:val="100"/>
          <w:sz w:val="24"/>
          <w:szCs w:val="24"/>
          <w:shd w:val="clear" w:fill="FFFFFF"/>
          <w:vertAlign w:val="baseline"/>
        </w:rPr>
        <w:t>从预调研结果来看，上海核心城区与郊区的样本比例存在失衡，为了保证调研的有效性和广度，在正式调研中需要增加郊区样本的比例；</w:t>
      </w:r>
    </w:p>
    <w:p w14:paraId="775372CB">
      <w:pPr>
        <w:keepNext w:val="0"/>
        <w:keepLines w:val="0"/>
        <w:widowControl/>
        <w:suppressLineNumbers w:val="0"/>
        <w:jc w:val="left"/>
      </w:pPr>
      <w:r>
        <w:rPr>
          <w:rFonts w:hint="eastAsia" w:ascii="宋体" w:hAnsi="宋体" w:eastAsia="宋体" w:cs="宋体"/>
          <w:b w:val="0"/>
          <w:bCs w:val="0"/>
          <w:i w:val="0"/>
          <w:iCs w:val="0"/>
          <w:color w:val="1F2329"/>
          <w:spacing w:val="0"/>
          <w:w w:val="100"/>
          <w:kern w:val="2"/>
          <w:sz w:val="24"/>
          <w:szCs w:val="24"/>
          <w:shd w:val="clear" w:fill="FFFFFF"/>
          <w:vertAlign w:val="baseline"/>
          <w:lang w:val="en-US" w:eastAsia="zh-CN" w:bidi="ar"/>
        </w:rPr>
        <w:t xml:space="preserve">同时，在预调查的 </w:t>
      </w:r>
      <w:r>
        <w:rPr>
          <w:rFonts w:hint="eastAsia" w:ascii="宋体" w:hAnsi="宋体" w:eastAsia="宋体" w:cs="宋体"/>
          <w:b/>
          <w:bCs/>
          <w:i w:val="0"/>
          <w:iCs w:val="0"/>
          <w:color w:val="1F2329"/>
          <w:spacing w:val="0"/>
          <w:w w:val="100"/>
          <w:kern w:val="2"/>
          <w:sz w:val="24"/>
          <w:szCs w:val="24"/>
          <w:shd w:val="clear" w:fill="FFFFFF"/>
          <w:vertAlign w:val="baseline"/>
          <w:lang w:val="en-US" w:eastAsia="zh-CN" w:bidi="ar"/>
        </w:rPr>
        <w:t>200</w:t>
      </w:r>
      <w:r>
        <w:rPr>
          <w:rFonts w:hint="eastAsia" w:ascii="宋体" w:hAnsi="宋体" w:eastAsia="宋体" w:cs="宋体"/>
          <w:b w:val="0"/>
          <w:bCs w:val="0"/>
          <w:i w:val="0"/>
          <w:iCs w:val="0"/>
          <w:color w:val="1F2329"/>
          <w:spacing w:val="0"/>
          <w:w w:val="100"/>
          <w:kern w:val="2"/>
          <w:sz w:val="24"/>
          <w:szCs w:val="24"/>
          <w:shd w:val="clear" w:fill="FFFFFF"/>
          <w:vertAlign w:val="baseline"/>
          <w:lang w:val="en-US" w:eastAsia="zh-CN" w:bidi="ar"/>
        </w:rPr>
        <w:t xml:space="preserve"> 份问卷中，现有使用者有 </w:t>
      </w:r>
      <w:r>
        <w:rPr>
          <w:rFonts w:hint="eastAsia" w:ascii="宋体" w:hAnsi="宋体" w:eastAsia="宋体" w:cs="宋体"/>
          <w:b/>
          <w:bCs/>
          <w:i w:val="0"/>
          <w:iCs w:val="0"/>
          <w:color w:val="1F2329"/>
          <w:spacing w:val="0"/>
          <w:w w:val="100"/>
          <w:kern w:val="2"/>
          <w:sz w:val="24"/>
          <w:szCs w:val="24"/>
          <w:shd w:val="clear" w:fill="FFFFFF"/>
          <w:vertAlign w:val="baseline"/>
          <w:lang w:val="en-US" w:eastAsia="zh-CN" w:bidi="ar"/>
        </w:rPr>
        <w:t>86</w:t>
      </w:r>
      <w:r>
        <w:rPr>
          <w:rFonts w:hint="eastAsia" w:ascii="宋体" w:hAnsi="宋体" w:eastAsia="宋体" w:cs="宋体"/>
          <w:b w:val="0"/>
          <w:bCs w:val="0"/>
          <w:i w:val="0"/>
          <w:iCs w:val="0"/>
          <w:color w:val="1F2329"/>
          <w:spacing w:val="0"/>
          <w:w w:val="100"/>
          <w:kern w:val="2"/>
          <w:sz w:val="24"/>
          <w:szCs w:val="24"/>
          <w:shd w:val="clear" w:fill="FFFFFF"/>
          <w:vertAlign w:val="baseline"/>
          <w:lang w:val="en-US" w:eastAsia="zh-CN" w:bidi="ar"/>
        </w:rPr>
        <w:t xml:space="preserve"> 份，潜在使用者有 </w:t>
      </w:r>
      <w:r>
        <w:rPr>
          <w:rFonts w:hint="eastAsia" w:ascii="宋体" w:hAnsi="宋体" w:eastAsia="宋体" w:cs="宋体"/>
          <w:b/>
          <w:bCs/>
          <w:i w:val="0"/>
          <w:iCs w:val="0"/>
          <w:color w:val="1F2329"/>
          <w:spacing w:val="0"/>
          <w:w w:val="100"/>
          <w:kern w:val="2"/>
          <w:sz w:val="24"/>
          <w:szCs w:val="24"/>
          <w:shd w:val="clear" w:fill="FFFFFF"/>
          <w:vertAlign w:val="baseline"/>
          <w:lang w:val="en-US" w:eastAsia="zh-CN" w:bidi="ar"/>
        </w:rPr>
        <w:t>92</w:t>
      </w:r>
      <w:r>
        <w:rPr>
          <w:rFonts w:hint="eastAsia" w:ascii="宋体" w:hAnsi="宋体" w:eastAsia="宋体" w:cs="宋体"/>
          <w:b w:val="0"/>
          <w:bCs w:val="0"/>
          <w:i w:val="0"/>
          <w:iCs w:val="0"/>
          <w:color w:val="1F2329"/>
          <w:spacing w:val="0"/>
          <w:w w:val="100"/>
          <w:kern w:val="2"/>
          <w:sz w:val="24"/>
          <w:szCs w:val="24"/>
          <w:shd w:val="clear" w:fill="FFFFFF"/>
          <w:vertAlign w:val="baseline"/>
          <w:lang w:val="en-US" w:eastAsia="zh-CN" w:bidi="ar"/>
        </w:rPr>
        <w:t xml:space="preserve"> 份，无效问卷有 </w:t>
      </w:r>
      <w:r>
        <w:rPr>
          <w:rFonts w:hint="eastAsia" w:ascii="宋体" w:hAnsi="宋体" w:eastAsia="宋体" w:cs="宋体"/>
          <w:b/>
          <w:bCs/>
          <w:i w:val="0"/>
          <w:iCs w:val="0"/>
          <w:color w:val="1F2329"/>
          <w:spacing w:val="0"/>
          <w:w w:val="100"/>
          <w:kern w:val="2"/>
          <w:sz w:val="24"/>
          <w:szCs w:val="24"/>
          <w:shd w:val="clear" w:fill="FFFFFF"/>
          <w:vertAlign w:val="baseline"/>
          <w:lang w:val="en-US" w:eastAsia="zh-CN" w:bidi="ar"/>
        </w:rPr>
        <w:t xml:space="preserve">22 </w:t>
      </w:r>
      <w:r>
        <w:rPr>
          <w:rFonts w:hint="eastAsia" w:ascii="宋体" w:hAnsi="宋体" w:eastAsia="宋体" w:cs="宋体"/>
          <w:b w:val="0"/>
          <w:bCs w:val="0"/>
          <w:i w:val="0"/>
          <w:iCs w:val="0"/>
          <w:color w:val="1F2329"/>
          <w:spacing w:val="0"/>
          <w:w w:val="100"/>
          <w:kern w:val="2"/>
          <w:sz w:val="24"/>
          <w:szCs w:val="24"/>
          <w:shd w:val="clear" w:fill="FFFFFF"/>
          <w:vertAlign w:val="baseline"/>
          <w:lang w:val="en-US" w:eastAsia="zh-CN" w:bidi="ar"/>
        </w:rPr>
        <w:t>份，问卷有效率</w:t>
      </w:r>
      <w:r>
        <w:rPr>
          <w:rFonts w:hint="eastAsia" w:ascii="宋体" w:hAnsi="宋体" w:eastAsia="宋体" w:cs="宋体"/>
          <w:b/>
          <w:bCs/>
          <w:i w:val="0"/>
          <w:iCs w:val="0"/>
          <w:color w:val="1F2329"/>
          <w:spacing w:val="0"/>
          <w:w w:val="100"/>
          <w:kern w:val="2"/>
          <w:sz w:val="24"/>
          <w:szCs w:val="24"/>
          <w:shd w:val="clear" w:fill="FFFFFF"/>
          <w:vertAlign w:val="baseline"/>
          <w:lang w:val="en-US" w:eastAsia="zh-CN" w:bidi="ar"/>
        </w:rPr>
        <w:t>89%</w:t>
      </w:r>
      <w:r>
        <w:rPr>
          <w:rFonts w:hint="eastAsia" w:ascii="宋体" w:hAnsi="宋体" w:eastAsia="宋体" w:cs="宋体"/>
          <w:b w:val="0"/>
          <w:bCs w:val="0"/>
          <w:i w:val="0"/>
          <w:iCs w:val="0"/>
          <w:color w:val="1F2329"/>
          <w:spacing w:val="0"/>
          <w:w w:val="100"/>
          <w:kern w:val="2"/>
          <w:sz w:val="24"/>
          <w:szCs w:val="24"/>
          <w:shd w:val="clear" w:fill="FFFFFF"/>
          <w:vertAlign w:val="baseline"/>
          <w:lang w:val="en-US" w:eastAsia="zh-CN" w:bidi="ar"/>
        </w:rPr>
        <w:t>，结合前文的抽样公式计算，重新调整正式调查所需问卷数约为</w:t>
      </w:r>
      <w:r>
        <w:rPr>
          <w:rFonts w:hint="eastAsia" w:ascii="宋体" w:hAnsi="宋体" w:eastAsia="宋体" w:cs="宋体"/>
          <w:b/>
          <w:bCs/>
          <w:i w:val="0"/>
          <w:iCs w:val="0"/>
          <w:color w:val="1F2329"/>
          <w:spacing w:val="0"/>
          <w:w w:val="100"/>
          <w:kern w:val="2"/>
          <w:sz w:val="24"/>
          <w:szCs w:val="24"/>
          <w:shd w:val="clear" w:fill="FFFFFF"/>
          <w:vertAlign w:val="baseline"/>
          <w:lang w:val="en-US" w:eastAsia="zh-CN" w:bidi="ar"/>
        </w:rPr>
        <w:t>562</w:t>
      </w:r>
      <w:r>
        <w:rPr>
          <w:rFonts w:hint="eastAsia" w:ascii="宋体" w:hAnsi="宋体" w:eastAsia="宋体" w:cs="宋体"/>
          <w:b w:val="0"/>
          <w:bCs w:val="0"/>
          <w:i w:val="0"/>
          <w:iCs w:val="0"/>
          <w:color w:val="1F2329"/>
          <w:spacing w:val="0"/>
          <w:w w:val="100"/>
          <w:kern w:val="2"/>
          <w:sz w:val="24"/>
          <w:szCs w:val="24"/>
          <w:shd w:val="clear" w:fill="FFFFFF"/>
          <w:vertAlign w:val="baseline"/>
          <w:lang w:val="en-US" w:eastAsia="zh-CN" w:bidi="ar"/>
        </w:rPr>
        <w:t>份。</w:t>
      </w:r>
    </w:p>
    <w:p w14:paraId="51CF7412">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1F2329"/>
          <w:spacing w:val="0"/>
          <w:w w:val="100"/>
          <w:sz w:val="24"/>
          <w:szCs w:val="24"/>
          <w:shd w:val="clear" w:fill="FFFFFF"/>
          <w:vertAlign w:val="baseline"/>
        </w:rPr>
        <w:t>图 4 预调查样本比例分布图</w:t>
      </w:r>
    </w:p>
    <w:p w14:paraId="1098CFD1">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（3）预调查样本情况说明</w:t>
      </w:r>
    </w:p>
    <w:p w14:paraId="5D2A926B">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 xml:space="preserve">在获得的 180 份有效问卷中，年龄主要集中在 </w:t>
      </w:r>
      <w:r>
        <w:rPr>
          <w:rFonts w:hint="eastAsia" w:ascii="宋体" w:hAnsi="宋体" w:eastAsia="宋体" w:cs="宋体"/>
          <w:b/>
          <w:bCs/>
          <w:i w:val="0"/>
          <w:iCs w:val="0"/>
          <w:color w:val="1F2329"/>
          <w:spacing w:val="0"/>
          <w:w w:val="100"/>
          <w:sz w:val="24"/>
          <w:szCs w:val="24"/>
          <w:shd w:val="clear" w:fill="FFFFFF"/>
          <w:vertAlign w:val="baseline"/>
        </w:rPr>
        <w:t>19-30</w:t>
      </w:r>
      <w:r>
        <w:rPr>
          <w:rFonts w:hint="eastAsia" w:ascii="宋体" w:hAnsi="宋体" w:eastAsia="宋体" w:cs="宋体"/>
          <w:b w:val="0"/>
          <w:bCs w:val="0"/>
          <w:i w:val="0"/>
          <w:iCs w:val="0"/>
          <w:color w:val="1F2329"/>
          <w:spacing w:val="0"/>
          <w:w w:val="100"/>
          <w:sz w:val="24"/>
          <w:szCs w:val="24"/>
          <w:shd w:val="clear" w:fill="FFFFFF"/>
          <w:vertAlign w:val="baseline"/>
        </w:rPr>
        <w:t xml:space="preserve"> 岁和 </w:t>
      </w:r>
      <w:r>
        <w:rPr>
          <w:rFonts w:hint="eastAsia" w:ascii="宋体" w:hAnsi="宋体" w:eastAsia="宋体" w:cs="宋体"/>
          <w:b/>
          <w:bCs/>
          <w:i w:val="0"/>
          <w:iCs w:val="0"/>
          <w:color w:val="1F2329"/>
          <w:spacing w:val="0"/>
          <w:w w:val="100"/>
          <w:sz w:val="24"/>
          <w:szCs w:val="24"/>
          <w:shd w:val="clear" w:fill="FFFFFF"/>
          <w:vertAlign w:val="baseline"/>
        </w:rPr>
        <w:t>31-45</w:t>
      </w:r>
      <w:r>
        <w:rPr>
          <w:rFonts w:hint="eastAsia" w:ascii="宋体" w:hAnsi="宋体" w:eastAsia="宋体" w:cs="宋体"/>
          <w:b w:val="0"/>
          <w:bCs w:val="0"/>
          <w:i w:val="0"/>
          <w:iCs w:val="0"/>
          <w:color w:val="1F2329"/>
          <w:spacing w:val="0"/>
          <w:w w:val="100"/>
          <w:sz w:val="24"/>
          <w:szCs w:val="24"/>
          <w:shd w:val="clear" w:fill="FFFFFF"/>
          <w:vertAlign w:val="baseline"/>
        </w:rPr>
        <w:t xml:space="preserve"> 岁，男性占比 </w:t>
      </w:r>
      <w:r>
        <w:rPr>
          <w:rFonts w:hint="eastAsia" w:ascii="宋体" w:hAnsi="宋体" w:eastAsia="宋体" w:cs="宋体"/>
          <w:b/>
          <w:bCs/>
          <w:i w:val="0"/>
          <w:iCs w:val="0"/>
          <w:color w:val="1F2329"/>
          <w:spacing w:val="0"/>
          <w:w w:val="100"/>
          <w:sz w:val="24"/>
          <w:szCs w:val="24"/>
          <w:shd w:val="clear" w:fill="FFFFFF"/>
          <w:vertAlign w:val="baseline"/>
        </w:rPr>
        <w:t>42%</w:t>
      </w:r>
      <w:r>
        <w:rPr>
          <w:rFonts w:hint="eastAsia" w:ascii="宋体" w:hAnsi="宋体" w:eastAsia="宋体" w:cs="宋体"/>
          <w:b w:val="0"/>
          <w:bCs w:val="0"/>
          <w:i w:val="0"/>
          <w:iCs w:val="0"/>
          <w:color w:val="1F2329"/>
          <w:spacing w:val="0"/>
          <w:w w:val="100"/>
          <w:sz w:val="24"/>
          <w:szCs w:val="24"/>
          <w:shd w:val="clear" w:fill="FFFFFF"/>
          <w:vertAlign w:val="baseline"/>
        </w:rPr>
        <w:t xml:space="preserve">，女性占比 </w:t>
      </w:r>
      <w:r>
        <w:rPr>
          <w:rFonts w:hint="eastAsia" w:ascii="宋体" w:hAnsi="宋体" w:eastAsia="宋体" w:cs="宋体"/>
          <w:b/>
          <w:bCs/>
          <w:i w:val="0"/>
          <w:iCs w:val="0"/>
          <w:color w:val="1F2329"/>
          <w:spacing w:val="0"/>
          <w:w w:val="100"/>
          <w:sz w:val="24"/>
          <w:szCs w:val="24"/>
          <w:shd w:val="clear" w:fill="FFFFFF"/>
          <w:vertAlign w:val="baseline"/>
        </w:rPr>
        <w:t>58%</w:t>
      </w:r>
      <w:r>
        <w:rPr>
          <w:rFonts w:hint="eastAsia" w:ascii="宋体" w:hAnsi="宋体" w:eastAsia="宋体" w:cs="宋体"/>
          <w:b w:val="0"/>
          <w:bCs w:val="0"/>
          <w:i w:val="0"/>
          <w:iCs w:val="0"/>
          <w:color w:val="1F2329"/>
          <w:spacing w:val="0"/>
          <w:w w:val="100"/>
          <w:sz w:val="24"/>
          <w:szCs w:val="24"/>
          <w:shd w:val="clear" w:fill="FFFFFF"/>
          <w:vertAlign w:val="baseline"/>
        </w:rPr>
        <w:t>，职业以</w:t>
      </w:r>
      <w:r>
        <w:rPr>
          <w:rFonts w:hint="eastAsia" w:ascii="宋体" w:hAnsi="宋体" w:eastAsia="宋体" w:cs="宋体"/>
          <w:b/>
          <w:bCs/>
          <w:i w:val="0"/>
          <w:iCs w:val="0"/>
          <w:color w:val="1F2329"/>
          <w:spacing w:val="0"/>
          <w:w w:val="100"/>
          <w:sz w:val="24"/>
          <w:szCs w:val="24"/>
          <w:shd w:val="clear" w:fill="FFFFFF"/>
          <w:vertAlign w:val="baseline"/>
        </w:rPr>
        <w:t>企业职工</w:t>
      </w:r>
      <w:r>
        <w:rPr>
          <w:rFonts w:hint="eastAsia" w:ascii="宋体" w:hAnsi="宋体" w:eastAsia="宋体" w:cs="宋体"/>
          <w:b w:val="0"/>
          <w:bCs w:val="0"/>
          <w:i w:val="0"/>
          <w:iCs w:val="0"/>
          <w:color w:val="1F2329"/>
          <w:spacing w:val="0"/>
          <w:w w:val="100"/>
          <w:sz w:val="24"/>
          <w:szCs w:val="24"/>
          <w:shd w:val="clear" w:fill="FFFFFF"/>
          <w:vertAlign w:val="baseline"/>
        </w:rPr>
        <w:t>和</w:t>
      </w:r>
      <w:r>
        <w:rPr>
          <w:rFonts w:hint="eastAsia" w:ascii="宋体" w:hAnsi="宋体" w:eastAsia="宋体" w:cs="宋体"/>
          <w:b/>
          <w:bCs/>
          <w:i w:val="0"/>
          <w:iCs w:val="0"/>
          <w:color w:val="1F2329"/>
          <w:spacing w:val="0"/>
          <w:w w:val="100"/>
          <w:sz w:val="24"/>
          <w:szCs w:val="24"/>
          <w:shd w:val="clear" w:fill="FFFFFF"/>
          <w:vertAlign w:val="baseline"/>
        </w:rPr>
        <w:t>学生</w:t>
      </w:r>
      <w:r>
        <w:rPr>
          <w:rFonts w:hint="eastAsia" w:ascii="宋体" w:hAnsi="宋体" w:eastAsia="宋体" w:cs="宋体"/>
          <w:b w:val="0"/>
          <w:bCs w:val="0"/>
          <w:i w:val="0"/>
          <w:iCs w:val="0"/>
          <w:color w:val="1F2329"/>
          <w:spacing w:val="0"/>
          <w:w w:val="100"/>
          <w:sz w:val="24"/>
          <w:szCs w:val="24"/>
          <w:shd w:val="clear" w:fill="FFFFFF"/>
          <w:vertAlign w:val="baseline"/>
        </w:rPr>
        <w:t>为主，且 62% 的受访者居住在核心城区，38% 居住在郊区。</w:t>
      </w:r>
    </w:p>
    <w:p w14:paraId="1F662E35">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数据初步表明，健身驿站的使用人群以</w:t>
      </w:r>
      <w:r>
        <w:rPr>
          <w:rFonts w:hint="eastAsia" w:ascii="宋体" w:hAnsi="宋体" w:eastAsia="宋体" w:cs="宋体"/>
          <w:b/>
          <w:bCs/>
          <w:i w:val="0"/>
          <w:iCs w:val="0"/>
          <w:color w:val="1F2329"/>
          <w:spacing w:val="0"/>
          <w:w w:val="100"/>
          <w:sz w:val="24"/>
          <w:szCs w:val="24"/>
          <w:shd w:val="clear" w:fill="FFFFFF"/>
          <w:vertAlign w:val="baseline"/>
        </w:rPr>
        <w:t>中青年</w:t>
      </w:r>
      <w:r>
        <w:rPr>
          <w:rFonts w:hint="eastAsia" w:ascii="宋体" w:hAnsi="宋体" w:eastAsia="宋体" w:cs="宋体"/>
          <w:b w:val="0"/>
          <w:bCs w:val="0"/>
          <w:i w:val="0"/>
          <w:iCs w:val="0"/>
          <w:color w:val="1F2329"/>
          <w:spacing w:val="0"/>
          <w:w w:val="100"/>
          <w:sz w:val="24"/>
          <w:szCs w:val="24"/>
          <w:shd w:val="clear" w:fill="FFFFFF"/>
          <w:vertAlign w:val="baseline"/>
        </w:rPr>
        <w:t>为主，且核心城区的使用频率显著高于郊区。</w:t>
      </w:r>
    </w:p>
    <w:p w14:paraId="75F7D560">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（5）信度分析</w:t>
      </w:r>
    </w:p>
    <w:p w14:paraId="227608F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信度是指测量工具的可靠性与稳定性，本文采用</w:t>
      </w:r>
      <w:r>
        <w:rPr>
          <w:rFonts w:hint="eastAsia" w:ascii="宋体" w:hAnsi="宋体" w:eastAsia="宋体" w:cs="宋体"/>
          <w:b/>
          <w:bCs/>
          <w:i w:val="0"/>
          <w:iCs w:val="0"/>
          <w:color w:val="1F2329"/>
          <w:spacing w:val="0"/>
          <w:w w:val="100"/>
          <w:sz w:val="24"/>
          <w:szCs w:val="24"/>
          <w:shd w:val="clear" w:fill="FFFFFF"/>
          <w:vertAlign w:val="baseline"/>
        </w:rPr>
        <w:t>Cronbach α系数</w:t>
      </w:r>
      <w:r>
        <w:rPr>
          <w:rFonts w:hint="eastAsia" w:ascii="宋体" w:hAnsi="宋体" w:eastAsia="宋体" w:cs="宋体"/>
          <w:b w:val="0"/>
          <w:bCs w:val="0"/>
          <w:i w:val="0"/>
          <w:iCs w:val="0"/>
          <w:color w:val="1F2329"/>
          <w:spacing w:val="0"/>
          <w:w w:val="100"/>
          <w:sz w:val="24"/>
          <w:szCs w:val="24"/>
          <w:shd w:val="clear" w:fill="FFFFFF"/>
          <w:vertAlign w:val="baseline"/>
        </w:rPr>
        <w:t>检验问卷量表的内部一致性信度，该系数取值范围为</w:t>
      </w:r>
      <w:r>
        <w:rPr>
          <w:b w:val="0"/>
          <w:bCs w:val="0"/>
          <w:i w:val="0"/>
          <w:iCs w:val="0"/>
          <w:color w:val="1F2329"/>
          <w:spacing w:val="0"/>
          <w:w w:val="100"/>
          <w:sz w:val="24"/>
          <w:szCs w:val="24"/>
          <w:vertAlign w:val="baseline"/>
        </w:rPr>
        <w:t>0≤α≤1</w:t>
      </w:r>
      <w:r>
        <w:rPr>
          <w:rFonts w:hint="eastAsia" w:ascii="宋体" w:hAnsi="宋体" w:eastAsia="宋体" w:cs="宋体"/>
          <w:b w:val="0"/>
          <w:bCs w:val="0"/>
          <w:i w:val="0"/>
          <w:iCs w:val="0"/>
          <w:color w:val="1F2329"/>
          <w:spacing w:val="0"/>
          <w:w w:val="100"/>
          <w:sz w:val="24"/>
          <w:szCs w:val="24"/>
          <w:shd w:val="clear" w:fill="FFFFFF"/>
          <w:vertAlign w:val="baseline"/>
        </w:rPr>
        <w:t>，通常认为</w:t>
      </w:r>
      <w:r>
        <w:rPr>
          <w:b w:val="0"/>
          <w:bCs w:val="0"/>
          <w:i w:val="0"/>
          <w:iCs w:val="0"/>
          <w:color w:val="1F2329"/>
          <w:spacing w:val="0"/>
          <w:w w:val="100"/>
          <w:sz w:val="24"/>
          <w:szCs w:val="24"/>
          <w:vertAlign w:val="baseline"/>
        </w:rPr>
        <w:t>α≥0.7</w:t>
      </w:r>
      <w:r>
        <w:rPr>
          <w:rFonts w:hint="eastAsia" w:ascii="宋体" w:hAnsi="宋体" w:eastAsia="宋体" w:cs="宋体"/>
          <w:b w:val="0"/>
          <w:bCs w:val="0"/>
          <w:i w:val="0"/>
          <w:iCs w:val="0"/>
          <w:color w:val="1F2329"/>
          <w:spacing w:val="0"/>
          <w:w w:val="100"/>
          <w:sz w:val="24"/>
          <w:szCs w:val="24"/>
          <w:shd w:val="clear" w:fill="FFFFFF"/>
          <w:vertAlign w:val="baseline"/>
        </w:rPr>
        <w:t>时，量表具有较好的内部一致性，</w:t>
      </w:r>
      <w:r>
        <w:rPr>
          <w:b w:val="0"/>
          <w:bCs w:val="0"/>
          <w:i w:val="0"/>
          <w:iCs w:val="0"/>
          <w:color w:val="1F2329"/>
          <w:spacing w:val="0"/>
          <w:w w:val="100"/>
          <w:sz w:val="24"/>
          <w:szCs w:val="24"/>
          <w:vertAlign w:val="baseline"/>
        </w:rPr>
        <w:t>α≥0.8</w:t>
      </w:r>
      <w:r>
        <w:rPr>
          <w:rFonts w:hint="eastAsia" w:ascii="宋体" w:hAnsi="宋体" w:eastAsia="宋体" w:cs="宋体"/>
          <w:b w:val="0"/>
          <w:bCs w:val="0"/>
          <w:i w:val="0"/>
          <w:iCs w:val="0"/>
          <w:color w:val="1F2329"/>
          <w:spacing w:val="0"/>
          <w:w w:val="100"/>
          <w:sz w:val="24"/>
          <w:szCs w:val="24"/>
          <w:shd w:val="clear" w:fill="FFFFFF"/>
          <w:vertAlign w:val="baseline"/>
        </w:rPr>
        <w:t>时为良好，其计算公式如下式(4)：</w:t>
      </w:r>
    </w:p>
    <w:p w14:paraId="5D1C0F56">
      <w:pPr>
        <w:pStyle w:val="2"/>
        <w:keepNext w:val="0"/>
        <w:keepLines w:val="0"/>
        <w:widowControl/>
        <w:suppressLineNumbers w:val="0"/>
        <w:spacing w:before="156" w:beforeAutospacing="0" w:after="0" w:afterAutospacing="0" w:line="13" w:lineRule="atLeast"/>
        <w:ind w:left="0" w:right="0"/>
        <w:jc w:val="both"/>
      </w:pPr>
      <w:r>
        <w:rPr>
          <w:b w:val="0"/>
          <w:bCs w:val="0"/>
          <w:i w:val="0"/>
          <w:iCs w:val="0"/>
          <w:color w:val="1F2329"/>
          <w:spacing w:val="0"/>
          <w:w w:val="100"/>
          <w:sz w:val="24"/>
          <w:szCs w:val="24"/>
          <w:vertAlign w:val="baseline"/>
        </w:rPr>
        <w:t>α=kk-11- S</w:t>
      </w:r>
      <w:r>
        <w:rPr>
          <w:b w:val="0"/>
          <w:bCs w:val="0"/>
          <w:i w:val="0"/>
          <w:iCs w:val="0"/>
          <w:color w:val="1F2329"/>
          <w:spacing w:val="0"/>
          <w:w w:val="100"/>
          <w:sz w:val="17"/>
          <w:szCs w:val="17"/>
          <w:vertAlign w:val="baseline"/>
        </w:rPr>
        <w:t>i2</w:t>
      </w:r>
      <w:r>
        <w:rPr>
          <w:b w:val="0"/>
          <w:bCs w:val="0"/>
          <w:i w:val="0"/>
          <w:iCs w:val="0"/>
          <w:color w:val="1F2329"/>
          <w:spacing w:val="0"/>
          <w:w w:val="100"/>
          <w:sz w:val="24"/>
          <w:szCs w:val="24"/>
          <w:vertAlign w:val="baseline"/>
        </w:rPr>
        <w:t>S</w:t>
      </w:r>
      <w:r>
        <w:rPr>
          <w:b w:val="0"/>
          <w:bCs w:val="0"/>
          <w:i w:val="0"/>
          <w:iCs w:val="0"/>
          <w:color w:val="1F2329"/>
          <w:spacing w:val="0"/>
          <w:w w:val="100"/>
          <w:sz w:val="17"/>
          <w:szCs w:val="17"/>
          <w:vertAlign w:val="baseline"/>
        </w:rPr>
        <w:t>t2</w:t>
      </w:r>
      <w:r>
        <w:rPr>
          <w:b w:val="0"/>
          <w:bCs w:val="0"/>
          <w:i w:val="0"/>
          <w:iCs w:val="0"/>
          <w:color w:val="1F2329"/>
          <w:spacing w:val="0"/>
          <w:w w:val="100"/>
          <w:sz w:val="24"/>
          <w:szCs w:val="24"/>
          <w:vertAlign w:val="baseline"/>
        </w:rPr>
        <w:t>#(4)</w:t>
      </w:r>
    </w:p>
    <w:p w14:paraId="7C61038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其中，</w:t>
      </w:r>
      <w:r>
        <w:rPr>
          <w:b w:val="0"/>
          <w:bCs w:val="0"/>
          <w:i w:val="0"/>
          <w:iCs w:val="0"/>
          <w:color w:val="1F2329"/>
          <w:spacing w:val="0"/>
          <w:w w:val="100"/>
          <w:sz w:val="24"/>
          <w:szCs w:val="24"/>
          <w:vertAlign w:val="baseline"/>
        </w:rPr>
        <w:t>k</w:t>
      </w:r>
      <w:r>
        <w:rPr>
          <w:rFonts w:hint="eastAsia" w:ascii="宋体" w:hAnsi="宋体" w:eastAsia="宋体" w:cs="宋体"/>
          <w:b w:val="0"/>
          <w:bCs w:val="0"/>
          <w:i w:val="0"/>
          <w:iCs w:val="0"/>
          <w:color w:val="1F2329"/>
          <w:spacing w:val="0"/>
          <w:w w:val="100"/>
          <w:sz w:val="24"/>
          <w:szCs w:val="24"/>
          <w:shd w:val="clear" w:fill="FFFFFF"/>
          <w:vertAlign w:val="baseline"/>
        </w:rPr>
        <w:t xml:space="preserve"> 为该维度下的测量题项数量，</w:t>
      </w:r>
      <w:r>
        <w:rPr>
          <w:b w:val="0"/>
          <w:bCs w:val="0"/>
          <w:i w:val="0"/>
          <w:iCs w:val="0"/>
          <w:color w:val="1F2329"/>
          <w:spacing w:val="0"/>
          <w:w w:val="100"/>
          <w:sz w:val="24"/>
          <w:szCs w:val="24"/>
          <w:vertAlign w:val="baseline"/>
        </w:rPr>
        <w:t>S</w:t>
      </w:r>
      <w:r>
        <w:rPr>
          <w:b w:val="0"/>
          <w:bCs w:val="0"/>
          <w:i w:val="0"/>
          <w:iCs w:val="0"/>
          <w:color w:val="1F2329"/>
          <w:spacing w:val="0"/>
          <w:w w:val="100"/>
          <w:sz w:val="17"/>
          <w:szCs w:val="17"/>
          <w:vertAlign w:val="baseline"/>
        </w:rPr>
        <w:t>i2</w:t>
      </w:r>
      <w:r>
        <w:rPr>
          <w:rFonts w:hint="eastAsia" w:ascii="宋体" w:hAnsi="宋体" w:eastAsia="宋体" w:cs="宋体"/>
          <w:b w:val="0"/>
          <w:bCs w:val="0"/>
          <w:i w:val="0"/>
          <w:iCs w:val="0"/>
          <w:color w:val="1F2329"/>
          <w:spacing w:val="0"/>
          <w:w w:val="100"/>
          <w:sz w:val="24"/>
          <w:szCs w:val="24"/>
          <w:shd w:val="clear" w:fill="FFFFFF"/>
          <w:vertAlign w:val="baseline"/>
        </w:rPr>
        <w:t xml:space="preserve"> 为所有被调查者在第 </w:t>
      </w:r>
      <w:r>
        <w:rPr>
          <w:b w:val="0"/>
          <w:bCs w:val="0"/>
          <w:i w:val="0"/>
          <w:iCs w:val="0"/>
          <w:color w:val="1F2329"/>
          <w:spacing w:val="0"/>
          <w:w w:val="100"/>
          <w:sz w:val="24"/>
          <w:szCs w:val="24"/>
          <w:vertAlign w:val="baseline"/>
        </w:rPr>
        <w:t>i</w:t>
      </w:r>
      <w:r>
        <w:rPr>
          <w:rFonts w:hint="eastAsia" w:ascii="宋体" w:hAnsi="宋体" w:eastAsia="宋体" w:cs="宋体"/>
          <w:b w:val="0"/>
          <w:bCs w:val="0"/>
          <w:i w:val="0"/>
          <w:iCs w:val="0"/>
          <w:color w:val="1F2329"/>
          <w:spacing w:val="0"/>
          <w:w w:val="100"/>
          <w:sz w:val="24"/>
          <w:szCs w:val="24"/>
          <w:shd w:val="clear" w:fill="FFFFFF"/>
          <w:vertAlign w:val="baseline"/>
        </w:rPr>
        <w:t xml:space="preserve"> 题上的分数方差，</w:t>
      </w:r>
      <w:r>
        <w:rPr>
          <w:b w:val="0"/>
          <w:bCs w:val="0"/>
          <w:i w:val="0"/>
          <w:iCs w:val="0"/>
          <w:color w:val="1F2329"/>
          <w:spacing w:val="0"/>
          <w:w w:val="100"/>
          <w:sz w:val="24"/>
          <w:szCs w:val="24"/>
          <w:vertAlign w:val="baseline"/>
        </w:rPr>
        <w:t>S</w:t>
      </w:r>
      <w:r>
        <w:rPr>
          <w:b w:val="0"/>
          <w:bCs w:val="0"/>
          <w:i w:val="0"/>
          <w:iCs w:val="0"/>
          <w:color w:val="1F2329"/>
          <w:spacing w:val="0"/>
          <w:w w:val="100"/>
          <w:sz w:val="17"/>
          <w:szCs w:val="17"/>
          <w:vertAlign w:val="baseline"/>
        </w:rPr>
        <w:t>t2</w:t>
      </w:r>
      <w:r>
        <w:rPr>
          <w:rFonts w:hint="eastAsia" w:ascii="宋体" w:hAnsi="宋体" w:eastAsia="宋体" w:cs="宋体"/>
          <w:b w:val="0"/>
          <w:bCs w:val="0"/>
          <w:i w:val="0"/>
          <w:iCs w:val="0"/>
          <w:color w:val="1F2329"/>
          <w:spacing w:val="0"/>
          <w:w w:val="100"/>
          <w:sz w:val="24"/>
          <w:szCs w:val="24"/>
          <w:shd w:val="clear" w:fill="FFFFFF"/>
          <w:vertAlign w:val="baseline"/>
        </w:rPr>
        <w:t xml:space="preserve"> 为所有被调查者在该维度下全部题项总得分的方差。</w:t>
      </w:r>
    </w:p>
    <w:p w14:paraId="34ADF06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本文使用</w:t>
      </w:r>
      <w:r>
        <w:rPr>
          <w:rFonts w:hint="eastAsia" w:ascii="宋体" w:hAnsi="宋体" w:eastAsia="宋体" w:cs="宋体"/>
          <w:b/>
          <w:bCs/>
          <w:i w:val="0"/>
          <w:iCs w:val="0"/>
          <w:color w:val="1F2329"/>
          <w:spacing w:val="0"/>
          <w:w w:val="100"/>
          <w:sz w:val="24"/>
          <w:szCs w:val="24"/>
          <w:shd w:val="clear" w:fill="FFFFFF"/>
          <w:vertAlign w:val="baseline"/>
        </w:rPr>
        <w:t>SPSS 27.0</w:t>
      </w:r>
      <w:r>
        <w:rPr>
          <w:rFonts w:hint="eastAsia" w:ascii="宋体" w:hAnsi="宋体" w:eastAsia="宋体" w:cs="宋体"/>
          <w:b w:val="0"/>
          <w:bCs w:val="0"/>
          <w:i w:val="0"/>
          <w:iCs w:val="0"/>
          <w:color w:val="1F2329"/>
          <w:spacing w:val="0"/>
          <w:w w:val="100"/>
          <w:sz w:val="24"/>
          <w:szCs w:val="24"/>
          <w:shd w:val="clear" w:fill="FFFFFF"/>
          <w:vertAlign w:val="baseline"/>
        </w:rPr>
        <w:t>对预调研有效数据进行</w:t>
      </w:r>
      <w:r>
        <w:rPr>
          <w:rFonts w:hint="eastAsia" w:ascii="宋体" w:hAnsi="宋体" w:eastAsia="宋体" w:cs="宋体"/>
          <w:b/>
          <w:bCs/>
          <w:i w:val="0"/>
          <w:iCs w:val="0"/>
          <w:color w:val="1F2329"/>
          <w:spacing w:val="0"/>
          <w:w w:val="100"/>
          <w:sz w:val="24"/>
          <w:szCs w:val="24"/>
          <w:shd w:val="clear" w:fill="FFFFFF"/>
          <w:vertAlign w:val="baseline"/>
        </w:rPr>
        <w:t>Cronbach</w:t>
      </w:r>
      <w:r>
        <w:rPr>
          <w:rFonts w:hint="eastAsia" w:ascii="宋体" w:hAnsi="宋体" w:eastAsia="宋体" w:cs="宋体"/>
          <w:b w:val="0"/>
          <w:bCs w:val="0"/>
          <w:i w:val="0"/>
          <w:iCs w:val="0"/>
          <w:color w:val="1F2329"/>
          <w:spacing w:val="0"/>
          <w:w w:val="100"/>
          <w:sz w:val="24"/>
          <w:szCs w:val="24"/>
          <w:shd w:val="clear" w:fill="FFFFFF"/>
          <w:vertAlign w:val="baseline"/>
        </w:rPr>
        <w:t>系数计算，分别从现有使用者、潜在使用者两大核心群体的量表维度展开信度检验，结果如下：</w:t>
      </w:r>
    </w:p>
    <w:p w14:paraId="225BEAB1">
      <w:pPr>
        <w:pStyle w:val="2"/>
        <w:keepNext w:val="0"/>
        <w:keepLines w:val="0"/>
        <w:widowControl/>
        <w:numPr>
          <w:ilvl w:val="0"/>
          <w:numId w:val="9"/>
        </w:numPr>
        <w:suppressLineNumbers w:val="0"/>
        <w:spacing w:before="156" w:beforeAutospacing="0" w:after="0" w:afterAutospacing="0" w:line="13" w:lineRule="atLeast"/>
        <w:ind w:left="840" w:right="0" w:hanging="360"/>
        <w:jc w:val="both"/>
      </w:pPr>
      <w:r>
        <w:t xml:space="preserve"> </w:t>
      </w:r>
      <w:r>
        <w:rPr>
          <w:rFonts w:hint="eastAsia" w:ascii="宋体" w:hAnsi="宋体" w:eastAsia="宋体" w:cs="宋体"/>
          <w:b w:val="0"/>
          <w:bCs w:val="0"/>
          <w:i w:val="0"/>
          <w:iCs w:val="0"/>
          <w:color w:val="1F2329"/>
          <w:spacing w:val="0"/>
          <w:w w:val="100"/>
          <w:sz w:val="24"/>
          <w:szCs w:val="24"/>
          <w:shd w:val="clear" w:fill="FFFFFF"/>
          <w:vertAlign w:val="baseline"/>
        </w:rPr>
        <w:t>现有使用者信度分析</w:t>
      </w:r>
    </w:p>
    <w:p w14:paraId="6F15477A">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由</w:t>
      </w:r>
      <w:r>
        <w:rPr>
          <w:rFonts w:hint="eastAsia" w:ascii="宋体" w:hAnsi="宋体" w:eastAsia="宋体" w:cs="宋体"/>
          <w:b/>
          <w:bCs/>
          <w:i w:val="0"/>
          <w:iCs w:val="0"/>
          <w:color w:val="1F2329"/>
          <w:spacing w:val="0"/>
          <w:w w:val="100"/>
          <w:sz w:val="24"/>
          <w:szCs w:val="24"/>
          <w:shd w:val="clear" w:fill="FFFFFF"/>
          <w:vertAlign w:val="baseline"/>
        </w:rPr>
        <w:t>表3</w:t>
      </w:r>
      <w:r>
        <w:rPr>
          <w:rFonts w:hint="eastAsia" w:ascii="宋体" w:hAnsi="宋体" w:eastAsia="宋体" w:cs="宋体"/>
          <w:b w:val="0"/>
          <w:bCs w:val="0"/>
          <w:i w:val="0"/>
          <w:iCs w:val="0"/>
          <w:color w:val="1F2329"/>
          <w:spacing w:val="0"/>
          <w:w w:val="100"/>
          <w:sz w:val="24"/>
          <w:szCs w:val="24"/>
          <w:shd w:val="clear" w:fill="FFFFFF"/>
          <w:vertAlign w:val="baseline"/>
        </w:rPr>
        <w:t>可以看出，现有使用者的维度整体表现良好。</w:t>
      </w:r>
    </w:p>
    <w:p w14:paraId="007A776C">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1F2329"/>
          <w:spacing w:val="0"/>
          <w:w w:val="100"/>
          <w:sz w:val="24"/>
          <w:szCs w:val="24"/>
          <w:shd w:val="clear" w:fill="FFFFFF"/>
          <w:vertAlign w:val="baseline"/>
        </w:rPr>
        <w:t>表3 现有使用者信度分析表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83"/>
        <w:gridCol w:w="1383"/>
        <w:gridCol w:w="1383"/>
        <w:gridCol w:w="1383"/>
      </w:tblGrid>
      <w:tr w14:paraId="31FFC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38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70158B3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维度</w:t>
            </w:r>
          </w:p>
        </w:tc>
        <w:tc>
          <w:tcPr>
            <w:tcW w:w="138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4182AD0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克隆巴赫 Alpha</w:t>
            </w:r>
          </w:p>
        </w:tc>
        <w:tc>
          <w:tcPr>
            <w:tcW w:w="138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367B526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项数</w:t>
            </w:r>
          </w:p>
        </w:tc>
        <w:tc>
          <w:tcPr>
            <w:tcW w:w="1383"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15B304C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信度</w:t>
            </w:r>
          </w:p>
        </w:tc>
      </w:tr>
      <w:tr w14:paraId="33402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DDF111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便利性</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A16783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0.820</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F3CA0D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2</w:t>
            </w:r>
          </w:p>
        </w:tc>
        <w:tc>
          <w:tcPr>
            <w:tcW w:w="13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7F79241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良好</w:t>
            </w:r>
          </w:p>
        </w:tc>
      </w:tr>
      <w:tr w14:paraId="24C34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5C4DE49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硬件设施</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66D7525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0.835</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1ABEDBD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2</w:t>
            </w:r>
          </w:p>
        </w:tc>
        <w:tc>
          <w:tcPr>
            <w:tcW w:w="13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369668A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7D8E3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B77725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智能化体验</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726054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0.818</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F69A62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2</w:t>
            </w:r>
          </w:p>
        </w:tc>
        <w:tc>
          <w:tcPr>
            <w:tcW w:w="13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6F01A05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0D051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6ED3281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服务管理</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5DBE38D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0.808</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59A9216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4</w:t>
            </w:r>
          </w:p>
        </w:tc>
        <w:tc>
          <w:tcPr>
            <w:tcW w:w="13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31A86CA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56953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8" w:space="0"/>
              <w:right w:val="single" w:color="auto" w:sz="2" w:space="0"/>
            </w:tcBorders>
            <w:shd w:val="clear" w:color="auto" w:fill="DEEAF6"/>
            <w:tcMar>
              <w:top w:w="0" w:type="dxa"/>
              <w:left w:w="72" w:type="dxa"/>
              <w:bottom w:w="0" w:type="dxa"/>
              <w:right w:w="72" w:type="dxa"/>
            </w:tcMar>
            <w:vAlign w:val="center"/>
          </w:tcPr>
          <w:p w14:paraId="4A999A6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总体</w:t>
            </w:r>
          </w:p>
        </w:tc>
        <w:tc>
          <w:tcPr>
            <w:tcW w:w="138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1B53C5E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0.900</w:t>
            </w:r>
          </w:p>
        </w:tc>
        <w:tc>
          <w:tcPr>
            <w:tcW w:w="138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766246E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10</w:t>
            </w:r>
          </w:p>
        </w:tc>
        <w:tc>
          <w:tcPr>
            <w:tcW w:w="1383"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2C0FF8F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良好</w:t>
            </w:r>
          </w:p>
        </w:tc>
      </w:tr>
    </w:tbl>
    <w:p w14:paraId="13DB74FC">
      <w:pPr>
        <w:pStyle w:val="2"/>
        <w:keepNext w:val="0"/>
        <w:keepLines w:val="0"/>
        <w:widowControl/>
        <w:numPr>
          <w:ilvl w:val="0"/>
          <w:numId w:val="9"/>
        </w:numPr>
        <w:suppressLineNumbers w:val="0"/>
        <w:spacing w:before="156" w:beforeAutospacing="0" w:after="0" w:afterAutospacing="0" w:line="13" w:lineRule="atLeast"/>
        <w:ind w:left="840" w:right="0" w:hanging="360"/>
        <w:jc w:val="both"/>
      </w:pPr>
      <w:r>
        <w:t xml:space="preserve"> </w:t>
      </w:r>
      <w:r>
        <w:rPr>
          <w:rFonts w:hint="eastAsia" w:ascii="宋体" w:hAnsi="宋体" w:eastAsia="宋体" w:cs="宋体"/>
          <w:b w:val="0"/>
          <w:bCs w:val="0"/>
          <w:i w:val="0"/>
          <w:iCs w:val="0"/>
          <w:color w:val="1F2329"/>
          <w:spacing w:val="0"/>
          <w:w w:val="100"/>
          <w:sz w:val="24"/>
          <w:szCs w:val="24"/>
          <w:shd w:val="clear" w:fill="FFFFFF"/>
          <w:vertAlign w:val="baseline"/>
        </w:rPr>
        <w:t>潜在使用者信度分析</w:t>
      </w:r>
    </w:p>
    <w:p w14:paraId="5940014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由</w:t>
      </w:r>
      <w:r>
        <w:rPr>
          <w:rFonts w:hint="eastAsia" w:ascii="宋体" w:hAnsi="宋体" w:eastAsia="宋体" w:cs="宋体"/>
          <w:b/>
          <w:bCs/>
          <w:i w:val="0"/>
          <w:iCs w:val="0"/>
          <w:color w:val="1F2329"/>
          <w:spacing w:val="0"/>
          <w:w w:val="100"/>
          <w:sz w:val="24"/>
          <w:szCs w:val="24"/>
          <w:shd w:val="clear" w:fill="FFFFFF"/>
          <w:vertAlign w:val="baseline"/>
        </w:rPr>
        <w:t>表4</w:t>
      </w:r>
      <w:r>
        <w:rPr>
          <w:rFonts w:hint="eastAsia" w:ascii="宋体" w:hAnsi="宋体" w:eastAsia="宋体" w:cs="宋体"/>
          <w:b w:val="0"/>
          <w:bCs w:val="0"/>
          <w:i w:val="0"/>
          <w:iCs w:val="0"/>
          <w:color w:val="1F2329"/>
          <w:spacing w:val="0"/>
          <w:w w:val="100"/>
          <w:sz w:val="24"/>
          <w:szCs w:val="24"/>
          <w:shd w:val="clear" w:fill="FFFFFF"/>
          <w:vertAlign w:val="baseline"/>
        </w:rPr>
        <w:t>可以看出，潜在使用者各维度整体表现良好。</w:t>
      </w:r>
    </w:p>
    <w:p w14:paraId="679380F1">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1F2329"/>
          <w:spacing w:val="0"/>
          <w:w w:val="100"/>
          <w:sz w:val="24"/>
          <w:szCs w:val="24"/>
          <w:shd w:val="clear" w:fill="FFFFFF"/>
          <w:vertAlign w:val="baseline"/>
        </w:rPr>
        <w:t>表4 潜在使用者信度分析表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83"/>
        <w:gridCol w:w="1383"/>
        <w:gridCol w:w="1383"/>
        <w:gridCol w:w="1383"/>
      </w:tblGrid>
      <w:tr w14:paraId="070CB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38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23B939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维度</w:t>
            </w:r>
          </w:p>
        </w:tc>
        <w:tc>
          <w:tcPr>
            <w:tcW w:w="138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49E3421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克隆巴赫Alpha</w:t>
            </w:r>
          </w:p>
        </w:tc>
        <w:tc>
          <w:tcPr>
            <w:tcW w:w="138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786ABA2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项数</w:t>
            </w:r>
          </w:p>
        </w:tc>
        <w:tc>
          <w:tcPr>
            <w:tcW w:w="1383"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1EB82F3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信度</w:t>
            </w:r>
          </w:p>
        </w:tc>
      </w:tr>
      <w:tr w14:paraId="66443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9ACC3C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便利性</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DD359C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0.805</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26D885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2</w:t>
            </w:r>
          </w:p>
        </w:tc>
        <w:tc>
          <w:tcPr>
            <w:tcW w:w="13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6C83B2A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0DBAA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5F6131A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硬件设施</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2CFF2B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0.812</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6B63215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1</w:t>
            </w:r>
          </w:p>
        </w:tc>
        <w:tc>
          <w:tcPr>
            <w:tcW w:w="13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6286DE6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05A78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F1BBCA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智能化体验</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ECD744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0.803</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DD4CFF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1</w:t>
            </w:r>
          </w:p>
        </w:tc>
        <w:tc>
          <w:tcPr>
            <w:tcW w:w="13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515BE72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074F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0BBF0E5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服务管理</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5B55425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0.825</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6B5C7B5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3</w:t>
            </w:r>
          </w:p>
        </w:tc>
        <w:tc>
          <w:tcPr>
            <w:tcW w:w="13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75DCF35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6F25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8" w:space="0"/>
              <w:right w:val="single" w:color="auto" w:sz="2" w:space="0"/>
            </w:tcBorders>
            <w:shd w:val="clear" w:color="auto" w:fill="DEEAF6"/>
            <w:tcMar>
              <w:top w:w="0" w:type="dxa"/>
              <w:left w:w="72" w:type="dxa"/>
              <w:bottom w:w="0" w:type="dxa"/>
              <w:right w:w="72" w:type="dxa"/>
            </w:tcMar>
            <w:vAlign w:val="center"/>
          </w:tcPr>
          <w:p w14:paraId="2878D08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总体</w:t>
            </w:r>
          </w:p>
        </w:tc>
        <w:tc>
          <w:tcPr>
            <w:tcW w:w="138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7CFCFB7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0.875</w:t>
            </w:r>
          </w:p>
        </w:tc>
        <w:tc>
          <w:tcPr>
            <w:tcW w:w="138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3A897E8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7</w:t>
            </w:r>
          </w:p>
        </w:tc>
        <w:tc>
          <w:tcPr>
            <w:tcW w:w="1383"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19596DD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良好</w:t>
            </w:r>
          </w:p>
        </w:tc>
      </w:tr>
    </w:tbl>
    <w:p w14:paraId="3016B666">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在对以上维度的量表进行Cronbach系数分析时，各个维度表现良好，这表明了问卷量表整体的信度比较良好，便于后续的分析。</w:t>
      </w:r>
    </w:p>
    <w:p w14:paraId="322C7F6A">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（5）效度分析</w:t>
      </w:r>
    </w:p>
    <w:p w14:paraId="0E6DB48D">
      <w:pPr>
        <w:pStyle w:val="2"/>
        <w:keepNext w:val="0"/>
        <w:keepLines w:val="0"/>
        <w:widowControl/>
        <w:suppressLineNumbers w:val="0"/>
        <w:spacing w:before="156" w:beforeAutospacing="0" w:after="0" w:afterAutospacing="0" w:line="13" w:lineRule="atLeast"/>
        <w:ind w:left="36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本文预调研阶段主要验证</w:t>
      </w:r>
      <w:r>
        <w:rPr>
          <w:rFonts w:hint="eastAsia" w:ascii="宋体" w:hAnsi="宋体" w:eastAsia="宋体" w:cs="宋体"/>
          <w:b/>
          <w:bCs/>
          <w:i w:val="0"/>
          <w:iCs w:val="0"/>
          <w:color w:val="1F2329"/>
          <w:spacing w:val="0"/>
          <w:w w:val="100"/>
          <w:sz w:val="24"/>
          <w:szCs w:val="24"/>
          <w:shd w:val="clear" w:fill="FFFFFF"/>
          <w:vertAlign w:val="baseline"/>
        </w:rPr>
        <w:t>内容效度</w:t>
      </w:r>
      <w:r>
        <w:rPr>
          <w:rFonts w:hint="eastAsia" w:ascii="宋体" w:hAnsi="宋体" w:eastAsia="宋体" w:cs="宋体"/>
          <w:b w:val="0"/>
          <w:bCs w:val="0"/>
          <w:i w:val="0"/>
          <w:iCs w:val="0"/>
          <w:color w:val="1F2329"/>
          <w:spacing w:val="0"/>
          <w:w w:val="100"/>
          <w:sz w:val="24"/>
          <w:szCs w:val="24"/>
          <w:shd w:val="clear" w:fill="FFFFFF"/>
          <w:vertAlign w:val="baseline"/>
        </w:rPr>
        <w:t>，问卷所有题项均基于健身驿站相关文献梳理、上海社区实地观察、使用者与管理者深度访谈结果设计，全面覆盖健身驿站服务供给、用户需求、全龄适配等核心研究维度，且经过公共服务领域从业者与专业学者审核修正，确保题项与研究主题高度相关，内容效度良好。</w:t>
      </w:r>
    </w:p>
    <w:p w14:paraId="380ECDC5">
      <w:pPr>
        <w:pStyle w:val="2"/>
        <w:keepNext w:val="0"/>
        <w:keepLines w:val="0"/>
        <w:widowControl/>
        <w:suppressLineNumbers w:val="0"/>
        <w:spacing w:before="156" w:beforeAutospacing="0" w:after="0" w:afterAutospacing="0" w:line="13" w:lineRule="atLeast"/>
        <w:ind w:left="36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对于</w:t>
      </w:r>
      <w:r>
        <w:rPr>
          <w:rFonts w:hint="eastAsia" w:ascii="宋体" w:hAnsi="宋体" w:eastAsia="宋体" w:cs="宋体"/>
          <w:b/>
          <w:bCs/>
          <w:i w:val="0"/>
          <w:iCs w:val="0"/>
          <w:color w:val="1F2329"/>
          <w:spacing w:val="0"/>
          <w:w w:val="100"/>
          <w:sz w:val="24"/>
          <w:szCs w:val="24"/>
          <w:shd w:val="clear" w:fill="FFFFFF"/>
          <w:vertAlign w:val="baseline"/>
        </w:rPr>
        <w:t>结构效度</w:t>
      </w:r>
      <w:r>
        <w:rPr>
          <w:rFonts w:hint="eastAsia" w:ascii="宋体" w:hAnsi="宋体" w:eastAsia="宋体" w:cs="宋体"/>
          <w:b w:val="0"/>
          <w:bCs w:val="0"/>
          <w:i w:val="0"/>
          <w:iCs w:val="0"/>
          <w:color w:val="1F2329"/>
          <w:spacing w:val="0"/>
          <w:w w:val="100"/>
          <w:sz w:val="24"/>
          <w:szCs w:val="24"/>
          <w:shd w:val="clear" w:fill="FFFFFF"/>
          <w:vertAlign w:val="baseline"/>
        </w:rPr>
        <w:t>（探索性因子分析 EFA、验证性因子分析 CFA）的精准检验，将在后续正式调研的数据分析章节中结合结构化模型展开，为避免分析重复、保证研究逻辑的连贯性与严谨性，本文在此暂不进行深入的结构效度分析。</w:t>
      </w:r>
    </w:p>
    <w:p w14:paraId="32F124D9">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（6）预调研总结与正式调研部署</w:t>
      </w:r>
    </w:p>
    <w:p w14:paraId="36208E7D">
      <w:pPr>
        <w:pStyle w:val="2"/>
        <w:keepNext w:val="0"/>
        <w:keepLines w:val="0"/>
        <w:widowControl/>
        <w:suppressLineNumbers w:val="0"/>
        <w:spacing w:before="156" w:beforeAutospacing="0" w:after="0" w:afterAutospacing="0" w:line="13" w:lineRule="atLeast"/>
        <w:ind w:left="0" w:right="0" w:firstLine="368"/>
        <w:jc w:val="both"/>
      </w:pPr>
      <w:r>
        <w:rPr>
          <w:rFonts w:hint="eastAsia" w:ascii="宋体" w:hAnsi="宋体" w:eastAsia="宋体" w:cs="宋体"/>
          <w:b w:val="0"/>
          <w:bCs w:val="0"/>
          <w:i w:val="0"/>
          <w:iCs w:val="0"/>
          <w:color w:val="1F2329"/>
          <w:spacing w:val="0"/>
          <w:w w:val="100"/>
          <w:sz w:val="24"/>
          <w:szCs w:val="24"/>
          <w:shd w:val="clear" w:fill="FFFFFF"/>
          <w:vertAlign w:val="baseline"/>
        </w:rPr>
        <w:t>预调研通过 200 份问卷的采集与分析，完成了问卷的信度检验与针对性优化，验证了问卷量表的科学性与合理性，同时明确了正式调研的样本优化方向：一是增加郊区样本占比，实现上海核心城区与郊区的样本均衡；二是扩大中老年、残障群体等小众群体的样本量，提升样本的全龄化、多元化覆盖；三是适度增加现有使用者样本，弥补潜在使用者占比偏高的问题。</w:t>
      </w:r>
    </w:p>
    <w:p w14:paraId="7BFECB2C">
      <w:pPr>
        <w:pStyle w:val="2"/>
        <w:keepNext w:val="0"/>
        <w:keepLines w:val="0"/>
        <w:widowControl/>
        <w:suppressLineNumbers w:val="0"/>
        <w:spacing w:before="156" w:beforeAutospacing="0" w:after="0" w:afterAutospacing="0" w:line="13" w:lineRule="atLeast"/>
        <w:ind w:left="0" w:right="0" w:firstLine="368"/>
        <w:jc w:val="both"/>
      </w:pPr>
      <w:r>
        <w:rPr>
          <w:rFonts w:hint="eastAsia" w:ascii="宋体" w:hAnsi="宋体" w:eastAsia="宋体" w:cs="宋体"/>
          <w:b w:val="0"/>
          <w:bCs w:val="0"/>
          <w:i w:val="0"/>
          <w:iCs w:val="0"/>
          <w:color w:val="1F2329"/>
          <w:spacing w:val="0"/>
          <w:w w:val="100"/>
          <w:sz w:val="24"/>
          <w:szCs w:val="24"/>
          <w:shd w:val="clear" w:fill="FFFFFF"/>
          <w:vertAlign w:val="baseline"/>
        </w:rPr>
        <w:t>同时，结合预调研结果，我们对正式问卷进行了</w:t>
      </w:r>
      <w:r>
        <w:rPr>
          <w:rFonts w:hint="eastAsia" w:ascii="宋体" w:hAnsi="宋体" w:eastAsia="宋体" w:cs="宋体"/>
          <w:b/>
          <w:bCs/>
          <w:i w:val="0"/>
          <w:iCs w:val="0"/>
          <w:color w:val="1F2329"/>
          <w:spacing w:val="0"/>
          <w:w w:val="100"/>
          <w:sz w:val="24"/>
          <w:szCs w:val="24"/>
          <w:shd w:val="clear" w:fill="FFFFFF"/>
          <w:vertAlign w:val="baseline"/>
        </w:rPr>
        <w:t>针对性优化</w:t>
      </w:r>
      <w:r>
        <w:rPr>
          <w:rFonts w:hint="eastAsia" w:ascii="宋体" w:hAnsi="宋体" w:eastAsia="宋体" w:cs="宋体"/>
          <w:b w:val="0"/>
          <w:bCs w:val="0"/>
          <w:i w:val="0"/>
          <w:iCs w:val="0"/>
          <w:color w:val="1F2329"/>
          <w:spacing w:val="0"/>
          <w:w w:val="100"/>
          <w:sz w:val="24"/>
          <w:szCs w:val="24"/>
          <w:shd w:val="clear" w:fill="FFFFFF"/>
          <w:vertAlign w:val="baseline"/>
        </w:rPr>
        <w:t>：</w:t>
      </w:r>
    </w:p>
    <w:p w14:paraId="5D0AF7E5">
      <w:pPr>
        <w:pStyle w:val="2"/>
        <w:keepNext w:val="0"/>
        <w:keepLines w:val="0"/>
        <w:widowControl/>
        <w:suppressLineNumbers w:val="0"/>
        <w:spacing w:before="156" w:beforeAutospacing="0" w:after="0" w:afterAutospacing="0" w:line="13" w:lineRule="atLeast"/>
        <w:ind w:left="0" w:right="0" w:firstLine="368"/>
        <w:jc w:val="both"/>
      </w:pPr>
      <w:r>
        <w:rPr>
          <w:rFonts w:hint="eastAsia" w:ascii="宋体" w:hAnsi="宋体" w:eastAsia="宋体" w:cs="宋体"/>
          <w:b w:val="0"/>
          <w:bCs w:val="0"/>
          <w:i w:val="0"/>
          <w:iCs w:val="0"/>
          <w:color w:val="1F2329"/>
          <w:spacing w:val="0"/>
          <w:w w:val="100"/>
          <w:sz w:val="24"/>
          <w:szCs w:val="24"/>
          <w:shd w:val="clear" w:fill="FFFFFF"/>
          <w:vertAlign w:val="baseline"/>
        </w:rPr>
        <w:t>首先，针对中心城区与郊区样本失衡、使用频率差异显著的问题，我们新增了“驿站周边交通便利性”“郊区设施覆盖率”等题项，以更精准地捕捉</w:t>
      </w:r>
      <w:r>
        <w:rPr>
          <w:rFonts w:hint="eastAsia" w:ascii="宋体" w:hAnsi="宋体" w:eastAsia="宋体" w:cs="宋体"/>
          <w:b/>
          <w:bCs/>
          <w:i w:val="0"/>
          <w:iCs w:val="0"/>
          <w:color w:val="1F2329"/>
          <w:spacing w:val="0"/>
          <w:w w:val="100"/>
          <w:sz w:val="24"/>
          <w:szCs w:val="24"/>
          <w:shd w:val="clear" w:fill="FFFFFF"/>
          <w:vertAlign w:val="baseline"/>
        </w:rPr>
        <w:t>郊区居民</w:t>
      </w:r>
      <w:r>
        <w:rPr>
          <w:rFonts w:hint="eastAsia" w:ascii="宋体" w:hAnsi="宋体" w:eastAsia="宋体" w:cs="宋体"/>
          <w:b w:val="0"/>
          <w:bCs w:val="0"/>
          <w:i w:val="0"/>
          <w:iCs w:val="0"/>
          <w:color w:val="1F2329"/>
          <w:spacing w:val="0"/>
          <w:w w:val="100"/>
          <w:sz w:val="24"/>
          <w:szCs w:val="24"/>
          <w:shd w:val="clear" w:fill="FFFFFF"/>
          <w:vertAlign w:val="baseline"/>
        </w:rPr>
        <w:t>的需求。其次，针对使用人群以中青年为主的特征，我们细化了全龄适配相关问题，新增了适老化、适儿化及残障群体服务的评价题项，以评估服务的</w:t>
      </w:r>
      <w:r>
        <w:rPr>
          <w:rFonts w:hint="eastAsia" w:ascii="宋体" w:hAnsi="宋体" w:eastAsia="宋体" w:cs="宋体"/>
          <w:b/>
          <w:bCs/>
          <w:i w:val="0"/>
          <w:iCs w:val="0"/>
          <w:color w:val="1F2329"/>
          <w:spacing w:val="0"/>
          <w:w w:val="100"/>
          <w:sz w:val="24"/>
          <w:szCs w:val="24"/>
          <w:shd w:val="clear" w:fill="FFFFFF"/>
          <w:vertAlign w:val="baseline"/>
        </w:rPr>
        <w:t>普惠性</w:t>
      </w:r>
      <w:r>
        <w:rPr>
          <w:rFonts w:hint="eastAsia" w:ascii="宋体" w:hAnsi="宋体" w:eastAsia="宋体" w:cs="宋体"/>
          <w:b w:val="0"/>
          <w:bCs w:val="0"/>
          <w:i w:val="0"/>
          <w:iCs w:val="0"/>
          <w:color w:val="1F2329"/>
          <w:spacing w:val="0"/>
          <w:w w:val="100"/>
          <w:sz w:val="24"/>
          <w:szCs w:val="24"/>
          <w:shd w:val="clear" w:fill="FFFFFF"/>
          <w:vertAlign w:val="baseline"/>
        </w:rPr>
        <w:t>。同时，我们将预调研中发现的“设施老化”“夜间照明不足”等高频痛点转化为具体题项，并为潜在使用者细化了专属跳转模块的问题，深挖其未使用的核心原因，确保问卷能更全面、精准地反映不同群体的真实需求。</w:t>
      </w:r>
    </w:p>
    <w:p w14:paraId="774F99D4">
      <w:pPr>
        <w:pStyle w:val="2"/>
        <w:keepNext w:val="0"/>
        <w:keepLines w:val="0"/>
        <w:widowControl/>
        <w:suppressLineNumbers w:val="0"/>
        <w:spacing w:before="156" w:beforeAutospacing="0" w:after="0" w:afterAutospacing="0" w:line="13" w:lineRule="atLeast"/>
        <w:ind w:left="0" w:right="0" w:firstLine="368"/>
        <w:jc w:val="both"/>
      </w:pPr>
      <w:r>
        <w:rPr>
          <w:rFonts w:hint="eastAsia" w:ascii="宋体" w:hAnsi="宋体" w:eastAsia="宋体" w:cs="宋体"/>
          <w:b w:val="0"/>
          <w:bCs w:val="0"/>
          <w:i w:val="0"/>
          <w:iCs w:val="0"/>
          <w:color w:val="1F2329"/>
          <w:spacing w:val="0"/>
          <w:w w:val="100"/>
          <w:sz w:val="24"/>
          <w:szCs w:val="24"/>
          <w:shd w:val="clear" w:fill="FFFFFF"/>
          <w:vertAlign w:val="baseline"/>
        </w:rPr>
        <w:t>正式调研将基于预调研的优化结果，采用</w:t>
      </w:r>
      <w:r>
        <w:rPr>
          <w:rFonts w:hint="eastAsia" w:ascii="宋体" w:hAnsi="宋体" w:eastAsia="宋体" w:cs="宋体"/>
          <w:b/>
          <w:bCs/>
          <w:i w:val="0"/>
          <w:iCs w:val="0"/>
          <w:color w:val="1F2329"/>
          <w:spacing w:val="0"/>
          <w:w w:val="100"/>
          <w:sz w:val="24"/>
          <w:szCs w:val="24"/>
          <w:shd w:val="clear" w:fill="FFFFFF"/>
          <w:vertAlign w:val="baseline"/>
        </w:rPr>
        <w:t>线上线下结合</w:t>
      </w:r>
      <w:r>
        <w:rPr>
          <w:rFonts w:hint="eastAsia" w:ascii="宋体" w:hAnsi="宋体" w:eastAsia="宋体" w:cs="宋体"/>
          <w:b w:val="0"/>
          <w:bCs w:val="0"/>
          <w:i w:val="0"/>
          <w:iCs w:val="0"/>
          <w:color w:val="1F2329"/>
          <w:spacing w:val="0"/>
          <w:w w:val="100"/>
          <w:sz w:val="24"/>
          <w:szCs w:val="24"/>
          <w:shd w:val="clear" w:fill="FFFFFF"/>
          <w:vertAlign w:val="baseline"/>
        </w:rPr>
        <w:t>的抽样方式，严格把控问卷质量，确保数据的代表性、科学性与有效性，为后续的健身驿站服务现状分析与需求挖掘提供可靠的数据支撑。</w:t>
      </w:r>
    </w:p>
    <w:p w14:paraId="6724CA70">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4.正式调研：正式数据采集和科学分析</w:t>
      </w:r>
    </w:p>
    <w:p w14:paraId="51EAEF1A">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（1）正式调查抽样</w:t>
      </w:r>
    </w:p>
    <w:p w14:paraId="2C41E47A">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 xml:space="preserve">如下图所示，在正式抽样中，本文根据附录的剔除原则除去无效问卷，一共收集到了 </w:t>
      </w:r>
      <w:r>
        <w:rPr>
          <w:rFonts w:hint="eastAsia" w:ascii="宋体" w:hAnsi="宋体" w:eastAsia="宋体" w:cs="宋体"/>
          <w:b/>
          <w:bCs/>
          <w:i w:val="0"/>
          <w:iCs w:val="0"/>
          <w:color w:val="1F2329"/>
          <w:spacing w:val="0"/>
          <w:w w:val="100"/>
          <w:sz w:val="24"/>
          <w:szCs w:val="24"/>
          <w:shd w:val="clear" w:fill="FFFFFF"/>
          <w:vertAlign w:val="baseline"/>
        </w:rPr>
        <w:t>212</w:t>
      </w:r>
      <w:r>
        <w:rPr>
          <w:rFonts w:hint="eastAsia" w:ascii="宋体" w:hAnsi="宋体" w:eastAsia="宋体" w:cs="宋体"/>
          <w:b w:val="0"/>
          <w:bCs w:val="0"/>
          <w:i w:val="0"/>
          <w:iCs w:val="0"/>
          <w:color w:val="1F2329"/>
          <w:spacing w:val="0"/>
          <w:w w:val="100"/>
          <w:sz w:val="24"/>
          <w:szCs w:val="24"/>
          <w:shd w:val="clear" w:fill="FFFFFF"/>
          <w:vertAlign w:val="baseline"/>
        </w:rPr>
        <w:t xml:space="preserve"> 份现有使用者和 </w:t>
      </w:r>
      <w:r>
        <w:rPr>
          <w:rFonts w:hint="eastAsia" w:ascii="宋体" w:hAnsi="宋体" w:eastAsia="宋体" w:cs="宋体"/>
          <w:b/>
          <w:bCs/>
          <w:i w:val="0"/>
          <w:iCs w:val="0"/>
          <w:color w:val="1F2329"/>
          <w:spacing w:val="0"/>
          <w:w w:val="100"/>
          <w:sz w:val="24"/>
          <w:szCs w:val="24"/>
          <w:shd w:val="clear" w:fill="FFFFFF"/>
          <w:vertAlign w:val="baseline"/>
        </w:rPr>
        <w:t>571</w:t>
      </w:r>
      <w:r>
        <w:rPr>
          <w:rFonts w:hint="eastAsia" w:ascii="宋体" w:hAnsi="宋体" w:eastAsia="宋体" w:cs="宋体"/>
          <w:b w:val="0"/>
          <w:bCs w:val="0"/>
          <w:i w:val="0"/>
          <w:iCs w:val="0"/>
          <w:color w:val="1F2329"/>
          <w:spacing w:val="0"/>
          <w:w w:val="100"/>
          <w:sz w:val="24"/>
          <w:szCs w:val="24"/>
          <w:shd w:val="clear" w:fill="FFFFFF"/>
          <w:vertAlign w:val="baseline"/>
        </w:rPr>
        <w:t xml:space="preserve"> 份潜在使用者问卷，共 </w:t>
      </w:r>
      <w:r>
        <w:rPr>
          <w:rFonts w:hint="eastAsia" w:ascii="宋体" w:hAnsi="宋体" w:eastAsia="宋体" w:cs="宋体"/>
          <w:b/>
          <w:bCs/>
          <w:i w:val="0"/>
          <w:iCs w:val="0"/>
          <w:color w:val="1F2329"/>
          <w:spacing w:val="0"/>
          <w:w w:val="100"/>
          <w:sz w:val="24"/>
          <w:szCs w:val="24"/>
          <w:shd w:val="clear" w:fill="FFFFFF"/>
          <w:vertAlign w:val="baseline"/>
        </w:rPr>
        <w:t>783</w:t>
      </w:r>
      <w:r>
        <w:rPr>
          <w:rFonts w:hint="eastAsia" w:ascii="宋体" w:hAnsi="宋体" w:eastAsia="宋体" w:cs="宋体"/>
          <w:b w:val="0"/>
          <w:bCs w:val="0"/>
          <w:i w:val="0"/>
          <w:iCs w:val="0"/>
          <w:color w:val="1F2329"/>
          <w:spacing w:val="0"/>
          <w:w w:val="100"/>
          <w:sz w:val="24"/>
          <w:szCs w:val="24"/>
          <w:shd w:val="clear" w:fill="FFFFFF"/>
          <w:vertAlign w:val="baseline"/>
        </w:rPr>
        <w:t xml:space="preserve"> 份有效问卷。</w:t>
      </w:r>
    </w:p>
    <w:p w14:paraId="0E0CB437">
      <w:pPr>
        <w:pStyle w:val="2"/>
        <w:keepNext w:val="0"/>
        <w:keepLines w:val="0"/>
        <w:widowControl/>
        <w:suppressLineNumbers w:val="0"/>
        <w:spacing w:before="156" w:beforeAutospacing="0" w:after="0" w:afterAutospacing="0" w:line="13" w:lineRule="atLeast"/>
        <w:ind w:left="0" w:right="0"/>
        <w:jc w:val="both"/>
      </w:pPr>
      <w:r>
        <w:drawing>
          <wp:inline distT="0" distB="0" distL="114300" distR="114300">
            <wp:extent cx="5267325" cy="1952625"/>
            <wp:effectExtent l="0" t="0" r="3175" b="3175"/>
            <wp:docPr id="69" name="图片 4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9" descr="IMG_259"/>
                    <pic:cNvPicPr>
                      <a:picLocks noChangeAspect="1"/>
                    </pic:cNvPicPr>
                  </pic:nvPicPr>
                  <pic:blipFill>
                    <a:blip r:embed="rId7"/>
                    <a:stretch>
                      <a:fillRect/>
                    </a:stretch>
                  </pic:blipFill>
                  <pic:spPr>
                    <a:xfrm>
                      <a:off x="0" y="0"/>
                      <a:ext cx="5267325" cy="1952625"/>
                    </a:xfrm>
                    <a:prstGeom prst="rect">
                      <a:avLst/>
                    </a:prstGeom>
                    <a:noFill/>
                    <a:ln w="9525">
                      <a:noFill/>
                    </a:ln>
                  </pic:spPr>
                </pic:pic>
              </a:graphicData>
            </a:graphic>
          </wp:inline>
        </w:drawing>
      </w:r>
    </w:p>
    <w:p w14:paraId="073DD331">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1F2329"/>
          <w:spacing w:val="0"/>
          <w:w w:val="100"/>
          <w:sz w:val="24"/>
          <w:szCs w:val="24"/>
          <w:shd w:val="clear" w:fill="FFFFFF"/>
          <w:vertAlign w:val="baseline"/>
        </w:rPr>
        <w:t>数据来源解释图</w:t>
      </w:r>
    </w:p>
    <w:p w14:paraId="25855C8E">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（2）信度分析</w:t>
      </w:r>
    </w:p>
    <w:p w14:paraId="2D5AB661">
      <w:pPr>
        <w:pStyle w:val="2"/>
        <w:keepNext w:val="0"/>
        <w:keepLines w:val="0"/>
        <w:widowControl/>
        <w:suppressLineNumbers w:val="0"/>
        <w:spacing w:before="50" w:beforeAutospacing="0" w:after="0" w:afterAutospacing="0"/>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与前文一样，对正式调研的信度检验依然采取 Cronbach 系数。</w:t>
      </w:r>
    </w:p>
    <w:p w14:paraId="2E82BF5C">
      <w:pPr>
        <w:pStyle w:val="2"/>
        <w:keepNext w:val="0"/>
        <w:keepLines w:val="0"/>
        <w:widowControl/>
        <w:suppressLineNumbers w:val="0"/>
        <w:spacing w:before="50" w:beforeAutospacing="0" w:after="0" w:afterAutospacing="0"/>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1）现有使用者</w:t>
      </w:r>
    </w:p>
    <w:p w14:paraId="44E280ED">
      <w:pPr>
        <w:pStyle w:val="2"/>
        <w:keepNext w:val="0"/>
        <w:keepLines w:val="0"/>
        <w:widowControl/>
        <w:suppressLineNumbers w:val="0"/>
        <w:spacing w:before="50" w:beforeAutospacing="0" w:after="0" w:afterAutospacing="0"/>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如</w:t>
      </w:r>
      <w:r>
        <w:rPr>
          <w:rFonts w:hint="eastAsia" w:ascii="宋体" w:hAnsi="宋体" w:eastAsia="宋体" w:cs="宋体"/>
          <w:b/>
          <w:bCs/>
          <w:i w:val="0"/>
          <w:iCs w:val="0"/>
          <w:color w:val="1F2329"/>
          <w:spacing w:val="0"/>
          <w:w w:val="100"/>
          <w:sz w:val="24"/>
          <w:szCs w:val="24"/>
          <w:shd w:val="clear" w:fill="FFFFFF"/>
          <w:vertAlign w:val="baseline"/>
        </w:rPr>
        <w:t>表5</w:t>
      </w:r>
      <w:r>
        <w:rPr>
          <w:rFonts w:hint="eastAsia" w:ascii="宋体" w:hAnsi="宋体" w:eastAsia="宋体" w:cs="宋体"/>
          <w:b w:val="0"/>
          <w:bCs w:val="0"/>
          <w:i w:val="0"/>
          <w:iCs w:val="0"/>
          <w:color w:val="1F2329"/>
          <w:spacing w:val="0"/>
          <w:w w:val="100"/>
          <w:sz w:val="24"/>
          <w:szCs w:val="24"/>
          <w:shd w:val="clear" w:fill="FFFFFF"/>
          <w:vertAlign w:val="baseline"/>
        </w:rPr>
        <w:t>所示，相比于预调查，现有使用者的信度有了更进一步良好的表现。</w:t>
      </w:r>
    </w:p>
    <w:p w14:paraId="7C07D2E4">
      <w:pPr>
        <w:pStyle w:val="2"/>
        <w:keepNext w:val="0"/>
        <w:keepLines w:val="0"/>
        <w:widowControl/>
        <w:suppressLineNumbers w:val="0"/>
        <w:spacing w:before="50" w:beforeAutospacing="0" w:after="0" w:afterAutospacing="0"/>
        <w:ind w:left="0" w:right="0"/>
        <w:jc w:val="center"/>
      </w:pPr>
      <w:r>
        <w:rPr>
          <w:rFonts w:hint="eastAsia" w:ascii="宋体" w:hAnsi="宋体" w:eastAsia="宋体" w:cs="宋体"/>
          <w:b w:val="0"/>
          <w:bCs w:val="0"/>
          <w:i w:val="0"/>
          <w:iCs w:val="0"/>
          <w:color w:val="1F2329"/>
          <w:spacing w:val="0"/>
          <w:w w:val="100"/>
          <w:sz w:val="24"/>
          <w:szCs w:val="24"/>
          <w:shd w:val="clear" w:fill="FFFFFF"/>
          <w:vertAlign w:val="baseline"/>
        </w:rPr>
        <w:t>表5 正式调查现有使用者Cronbach系数表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83"/>
        <w:gridCol w:w="1383"/>
        <w:gridCol w:w="1383"/>
        <w:gridCol w:w="1383"/>
      </w:tblGrid>
      <w:tr w14:paraId="56444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03AED7A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维度</w:t>
            </w:r>
          </w:p>
        </w:tc>
        <w:tc>
          <w:tcPr>
            <w:tcW w:w="138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7A22323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克隆巴赫Alpha</w:t>
            </w:r>
          </w:p>
        </w:tc>
        <w:tc>
          <w:tcPr>
            <w:tcW w:w="138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1F9113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项数</w:t>
            </w:r>
          </w:p>
        </w:tc>
        <w:tc>
          <w:tcPr>
            <w:tcW w:w="1383"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20F32BF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信度</w:t>
            </w:r>
          </w:p>
        </w:tc>
      </w:tr>
      <w:tr w14:paraId="3AD46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981674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便利程度</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EFD15C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0.812</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2DD027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2</w:t>
            </w:r>
          </w:p>
        </w:tc>
        <w:tc>
          <w:tcPr>
            <w:tcW w:w="13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21D00D7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3FD81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6CDAC8A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硬件设施</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4E6D158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0.921</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0241D01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4</w:t>
            </w:r>
          </w:p>
        </w:tc>
        <w:tc>
          <w:tcPr>
            <w:tcW w:w="13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219B8EE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6D673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DC868D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数智体验</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CD3A2F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0.905</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3643E6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2</w:t>
            </w:r>
          </w:p>
        </w:tc>
        <w:tc>
          <w:tcPr>
            <w:tcW w:w="13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158D4ED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283DB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0B12AC6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软性服务</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6DE7E2B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0.884</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1A7E80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4</w:t>
            </w:r>
          </w:p>
        </w:tc>
        <w:tc>
          <w:tcPr>
            <w:tcW w:w="13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5534997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5A619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8" w:space="0"/>
              <w:right w:val="single" w:color="auto" w:sz="2" w:space="0"/>
            </w:tcBorders>
            <w:shd w:val="clear" w:color="auto" w:fill="DEEAF6"/>
            <w:tcMar>
              <w:top w:w="0" w:type="dxa"/>
              <w:left w:w="72" w:type="dxa"/>
              <w:bottom w:w="0" w:type="dxa"/>
              <w:right w:w="72" w:type="dxa"/>
            </w:tcMar>
            <w:vAlign w:val="center"/>
          </w:tcPr>
          <w:p w14:paraId="722136F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总体</w:t>
            </w:r>
          </w:p>
        </w:tc>
        <w:tc>
          <w:tcPr>
            <w:tcW w:w="138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478B2FF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0.915</w:t>
            </w:r>
          </w:p>
        </w:tc>
        <w:tc>
          <w:tcPr>
            <w:tcW w:w="138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4498982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12</w:t>
            </w:r>
          </w:p>
        </w:tc>
        <w:tc>
          <w:tcPr>
            <w:tcW w:w="1383"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448BAF3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良好</w:t>
            </w:r>
          </w:p>
        </w:tc>
      </w:tr>
    </w:tbl>
    <w:p w14:paraId="35E86307">
      <w:pPr>
        <w:pStyle w:val="2"/>
        <w:keepNext w:val="0"/>
        <w:keepLines w:val="0"/>
        <w:widowControl/>
        <w:numPr>
          <w:ilvl w:val="0"/>
          <w:numId w:val="10"/>
        </w:numPr>
        <w:suppressLineNumbers w:val="0"/>
        <w:spacing w:before="156" w:beforeAutospacing="0" w:after="0" w:afterAutospacing="0"/>
        <w:ind w:left="840" w:right="0" w:hanging="360"/>
        <w:jc w:val="both"/>
      </w:pPr>
      <w:r>
        <w:t xml:space="preserve"> </w:t>
      </w:r>
      <w:r>
        <w:rPr>
          <w:rFonts w:hint="eastAsia" w:ascii="宋体" w:hAnsi="宋体" w:eastAsia="宋体" w:cs="宋体"/>
          <w:b w:val="0"/>
          <w:bCs w:val="0"/>
          <w:i w:val="0"/>
          <w:iCs w:val="0"/>
          <w:color w:val="1F2329"/>
          <w:spacing w:val="0"/>
          <w:w w:val="100"/>
          <w:sz w:val="24"/>
          <w:szCs w:val="24"/>
          <w:shd w:val="clear" w:fill="FFFFFF"/>
          <w:vertAlign w:val="baseline"/>
        </w:rPr>
        <w:t>潜在使用者</w:t>
      </w:r>
    </w:p>
    <w:p w14:paraId="5AC9B3AC">
      <w:pPr>
        <w:pStyle w:val="2"/>
        <w:keepNext w:val="0"/>
        <w:keepLines w:val="0"/>
        <w:widowControl/>
        <w:suppressLineNumbers w:val="0"/>
        <w:spacing w:before="156" w:beforeAutospacing="0" w:after="0" w:afterAutospacing="0"/>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如</w:t>
      </w:r>
      <w:r>
        <w:rPr>
          <w:rFonts w:hint="eastAsia" w:ascii="宋体" w:hAnsi="宋体" w:eastAsia="宋体" w:cs="宋体"/>
          <w:b/>
          <w:bCs/>
          <w:i w:val="0"/>
          <w:iCs w:val="0"/>
          <w:color w:val="1F2329"/>
          <w:spacing w:val="0"/>
          <w:w w:val="100"/>
          <w:sz w:val="24"/>
          <w:szCs w:val="24"/>
          <w:shd w:val="clear" w:fill="FFFFFF"/>
          <w:vertAlign w:val="baseline"/>
        </w:rPr>
        <w:t>表6</w:t>
      </w:r>
      <w:r>
        <w:rPr>
          <w:rFonts w:hint="eastAsia" w:ascii="宋体" w:hAnsi="宋体" w:eastAsia="宋体" w:cs="宋体"/>
          <w:b w:val="0"/>
          <w:bCs w:val="0"/>
          <w:i w:val="0"/>
          <w:iCs w:val="0"/>
          <w:color w:val="1F2329"/>
          <w:spacing w:val="0"/>
          <w:w w:val="100"/>
          <w:sz w:val="24"/>
          <w:szCs w:val="24"/>
          <w:shd w:val="clear" w:fill="FFFFFF"/>
          <w:vertAlign w:val="baseline"/>
        </w:rPr>
        <w:t>所示，潜在使用者相比于预调查也有了一定的改善，各维度信度均达到良好标准。</w:t>
      </w:r>
    </w:p>
    <w:p w14:paraId="4A3F326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4"/>
          <w:szCs w:val="24"/>
          <w:shd w:val="clear" w:fill="FFFFFF"/>
          <w:vertAlign w:val="baseline"/>
        </w:rPr>
        <w:t>表6 正式调查潜在使用者Cronbach系数表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83"/>
        <w:gridCol w:w="1383"/>
        <w:gridCol w:w="1383"/>
        <w:gridCol w:w="1383"/>
      </w:tblGrid>
      <w:tr w14:paraId="4F403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38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0BB88E7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维度</w:t>
            </w:r>
          </w:p>
        </w:tc>
        <w:tc>
          <w:tcPr>
            <w:tcW w:w="138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73D1128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克隆巴赫Alpha</w:t>
            </w:r>
          </w:p>
        </w:tc>
        <w:tc>
          <w:tcPr>
            <w:tcW w:w="138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4C4C640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项数</w:t>
            </w:r>
          </w:p>
        </w:tc>
        <w:tc>
          <w:tcPr>
            <w:tcW w:w="1383"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3718FB0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信度</w:t>
            </w:r>
          </w:p>
        </w:tc>
      </w:tr>
      <w:tr w14:paraId="42C5A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D992DD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便利程度</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FB4EAE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0.805</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934AE6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2</w:t>
            </w:r>
          </w:p>
        </w:tc>
        <w:tc>
          <w:tcPr>
            <w:tcW w:w="13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7271431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02AB7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2E4AC7C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硬件设施</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37E6D53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0.868</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4C76BB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1</w:t>
            </w:r>
          </w:p>
        </w:tc>
        <w:tc>
          <w:tcPr>
            <w:tcW w:w="13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23FB18D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3EA9F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2BCFE4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数智体验</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208047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0.834</w:t>
            </w:r>
          </w:p>
        </w:tc>
        <w:tc>
          <w:tcPr>
            <w:tcW w:w="138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7CF3C7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1</w:t>
            </w:r>
          </w:p>
        </w:tc>
        <w:tc>
          <w:tcPr>
            <w:tcW w:w="13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45C1319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7CEA3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51F70FD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软性服务</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50EB4AC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0.852</w:t>
            </w:r>
          </w:p>
        </w:tc>
        <w:tc>
          <w:tcPr>
            <w:tcW w:w="138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5098E9E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4</w:t>
            </w:r>
          </w:p>
        </w:tc>
        <w:tc>
          <w:tcPr>
            <w:tcW w:w="13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6924A22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1F2329"/>
                <w:spacing w:val="0"/>
                <w:w w:val="100"/>
                <w:sz w:val="21"/>
                <w:szCs w:val="21"/>
                <w:vertAlign w:val="baseline"/>
              </w:rPr>
              <w:t>良好</w:t>
            </w:r>
          </w:p>
        </w:tc>
      </w:tr>
      <w:tr w14:paraId="75ABA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383" w:type="dxa"/>
            <w:tcBorders>
              <w:top w:val="single" w:color="auto" w:sz="2" w:space="0"/>
              <w:left w:val="single" w:color="CBCDD1" w:sz="2" w:space="0"/>
              <w:bottom w:val="single" w:color="auto" w:sz="8" w:space="0"/>
              <w:right w:val="single" w:color="auto" w:sz="2" w:space="0"/>
            </w:tcBorders>
            <w:shd w:val="clear" w:color="auto" w:fill="DEEAF6"/>
            <w:tcMar>
              <w:top w:w="0" w:type="dxa"/>
              <w:left w:w="72" w:type="dxa"/>
              <w:bottom w:w="0" w:type="dxa"/>
              <w:right w:w="72" w:type="dxa"/>
            </w:tcMar>
            <w:vAlign w:val="center"/>
          </w:tcPr>
          <w:p w14:paraId="563A70B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总体</w:t>
            </w:r>
          </w:p>
        </w:tc>
        <w:tc>
          <w:tcPr>
            <w:tcW w:w="138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4AF47A9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0.886</w:t>
            </w:r>
          </w:p>
        </w:tc>
        <w:tc>
          <w:tcPr>
            <w:tcW w:w="138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15899BE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8</w:t>
            </w:r>
          </w:p>
        </w:tc>
        <w:tc>
          <w:tcPr>
            <w:tcW w:w="1383"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2FEBE99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1F2329"/>
                <w:spacing w:val="0"/>
                <w:w w:val="100"/>
                <w:sz w:val="21"/>
                <w:szCs w:val="21"/>
                <w:vertAlign w:val="baseline"/>
              </w:rPr>
              <w:t>良好</w:t>
            </w:r>
          </w:p>
        </w:tc>
      </w:tr>
    </w:tbl>
    <w:p w14:paraId="385D97A5">
      <w:pPr>
        <w:pStyle w:val="2"/>
        <w:keepNext w:val="0"/>
        <w:keepLines w:val="0"/>
        <w:widowControl/>
        <w:suppressLineNumbers w:val="0"/>
        <w:spacing w:before="156" w:beforeAutospacing="0" w:after="0" w:afterAutospacing="0"/>
        <w:ind w:left="0" w:right="0" w:firstLine="420"/>
        <w:jc w:val="both"/>
      </w:pPr>
      <w:r>
        <w:rPr>
          <w:rFonts w:hint="eastAsia" w:ascii="宋体" w:hAnsi="宋体" w:eastAsia="宋体" w:cs="宋体"/>
          <w:b w:val="0"/>
          <w:bCs w:val="0"/>
          <w:i w:val="0"/>
          <w:iCs w:val="0"/>
          <w:color w:val="1F2329"/>
          <w:spacing w:val="0"/>
          <w:w w:val="100"/>
          <w:sz w:val="24"/>
          <w:szCs w:val="24"/>
          <w:shd w:val="clear" w:fill="FFFFFF"/>
          <w:vertAlign w:val="baseline"/>
        </w:rPr>
        <w:t>总体而言，在对正式调研获得的数据进行信度分析后，四大维度在两类群体中均表现出良好的内部一致性，这佐证了本次问卷量表题的整体一致性符合要求，问卷设置合理。</w:t>
      </w:r>
    </w:p>
    <w:p w14:paraId="14D821BF">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（3）效度分析</w:t>
      </w:r>
    </w:p>
    <w:p w14:paraId="65862186">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rPr>
        <w:t>根据预调研关于效度分析的说明，在此将效度分析相关的内容放于第4、5章进行详细说明。</w:t>
      </w:r>
    </w:p>
    <w:p w14:paraId="23E4CAA0">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1F2329"/>
          <w:spacing w:val="0"/>
          <w:w w:val="100"/>
          <w:sz w:val="24"/>
          <w:szCs w:val="24"/>
          <w:shd w:val="clear" w:fill="FFFFFF"/>
          <w:vertAlign w:val="baseline"/>
          <w:lang w:val="en-US"/>
        </w:rPr>
        <w:t> </w:t>
      </w:r>
    </w:p>
    <w:p w14:paraId="552499B0">
      <w:pPr>
        <w:pStyle w:val="2"/>
        <w:keepNext w:val="0"/>
        <w:keepLines w:val="0"/>
        <w:widowControl/>
        <w:suppressLineNumbers w:val="0"/>
        <w:spacing w:before="156" w:beforeAutospacing="0" w:after="0" w:afterAutospacing="0"/>
        <w:ind w:left="0" w:right="0"/>
        <w:jc w:val="center"/>
      </w:pPr>
      <w:r>
        <w:rPr>
          <w:rFonts w:hint="eastAsia" w:ascii="黑体" w:hAnsi="宋体" w:eastAsia="黑体" w:cs="黑体"/>
          <w:b w:val="0"/>
          <w:bCs w:val="0"/>
          <w:i w:val="0"/>
          <w:iCs w:val="0"/>
          <w:color w:val="000000"/>
          <w:spacing w:val="0"/>
          <w:w w:val="100"/>
          <w:sz w:val="30"/>
          <w:szCs w:val="30"/>
          <w:vertAlign w:val="baseline"/>
        </w:rPr>
        <w:t>三、样本描述与健身驿站服务效能现状测度</w:t>
      </w:r>
    </w:p>
    <w:p w14:paraId="5ED464A3">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（一）样本特征：样本人口学特征描述与分析</w:t>
      </w:r>
    </w:p>
    <w:p w14:paraId="1E3958F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为确保调查结果的广泛代表性与科学性，项目组采用分层随机抽样方法，共回收有效问卷</w:t>
      </w:r>
      <w:r>
        <w:rPr>
          <w:rFonts w:hint="eastAsia" w:ascii="宋体" w:hAnsi="宋体" w:eastAsia="宋体" w:cs="宋体"/>
          <w:b/>
          <w:bCs/>
          <w:i w:val="0"/>
          <w:iCs w:val="0"/>
          <w:color w:val="000000"/>
          <w:spacing w:val="0"/>
          <w:w w:val="100"/>
          <w:sz w:val="24"/>
          <w:szCs w:val="24"/>
          <w:vertAlign w:val="baseline"/>
        </w:rPr>
        <w:t xml:space="preserve"> 783 </w:t>
      </w:r>
      <w:r>
        <w:rPr>
          <w:rFonts w:hint="eastAsia" w:ascii="宋体" w:hAnsi="宋体" w:eastAsia="宋体" w:cs="宋体"/>
          <w:b w:val="0"/>
          <w:bCs w:val="0"/>
          <w:i w:val="0"/>
          <w:iCs w:val="0"/>
          <w:color w:val="000000"/>
          <w:spacing w:val="0"/>
          <w:w w:val="100"/>
          <w:sz w:val="24"/>
          <w:szCs w:val="24"/>
          <w:vertAlign w:val="baseline"/>
        </w:rPr>
        <w:t xml:space="preserve">份，利用 </w:t>
      </w:r>
      <w:r>
        <w:rPr>
          <w:rFonts w:hint="eastAsia" w:ascii="宋体" w:hAnsi="宋体" w:eastAsia="宋体" w:cs="宋体"/>
          <w:b/>
          <w:bCs/>
          <w:i w:val="0"/>
          <w:iCs w:val="0"/>
          <w:color w:val="000000"/>
          <w:spacing w:val="0"/>
          <w:w w:val="100"/>
          <w:sz w:val="24"/>
          <w:szCs w:val="24"/>
          <w:vertAlign w:val="baseline"/>
        </w:rPr>
        <w:t>Python</w:t>
      </w:r>
      <w:r>
        <w:rPr>
          <w:rFonts w:hint="eastAsia" w:ascii="宋体" w:hAnsi="宋体" w:eastAsia="宋体" w:cs="宋体"/>
          <w:b w:val="0"/>
          <w:bCs w:val="0"/>
          <w:i w:val="0"/>
          <w:iCs w:val="0"/>
          <w:color w:val="000000"/>
          <w:spacing w:val="0"/>
          <w:w w:val="100"/>
          <w:sz w:val="24"/>
          <w:szCs w:val="24"/>
          <w:vertAlign w:val="baseline"/>
        </w:rPr>
        <w:t xml:space="preserve"> 绘制样本人口学特征分布图，具体分析如下：</w:t>
      </w:r>
    </w:p>
    <w:p w14:paraId="7C172219">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1.性别年龄：性别与年龄分布均衡，覆盖全龄段健身人群</w:t>
      </w:r>
    </w:p>
    <w:p w14:paraId="4230A9D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采访人群的性别分布上，女性占比 50.6%，男性占比 49.4%，比例接近 1:1，以消除性别偏差对评价结果的影响。年龄结构呈 “中间大、两头小” 正态分布，19-30 岁青年群体占 44.6%、31-45 岁中青年群体占 27.1%，二者合计超七成，契合上海市常住人口结构及健身驿站主要使用者画像；61 岁以上老年群体占 10.8%、46-60 岁占 13.4%、18 岁及以下占 4.1%，实现全龄段覆盖，保障适老化需求纳入评价体系。</w:t>
      </w:r>
    </w:p>
    <w:p w14:paraId="40338850">
      <w:pPr>
        <w:pStyle w:val="2"/>
        <w:keepNext w:val="0"/>
        <w:keepLines w:val="0"/>
        <w:widowControl/>
        <w:suppressLineNumbers w:val="0"/>
        <w:spacing w:before="156" w:beforeAutospacing="0" w:after="0" w:afterAutospacing="0" w:line="13" w:lineRule="atLeast"/>
        <w:ind w:left="0" w:right="0"/>
        <w:jc w:val="center"/>
      </w:pPr>
      <w:r>
        <w:drawing>
          <wp:inline distT="0" distB="0" distL="114300" distR="114300">
            <wp:extent cx="2085975" cy="2085975"/>
            <wp:effectExtent l="0" t="0" r="9525" b="9525"/>
            <wp:docPr id="58" name="图片 5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0" descr="IMG_260"/>
                    <pic:cNvPicPr>
                      <a:picLocks noChangeAspect="1"/>
                    </pic:cNvPicPr>
                  </pic:nvPicPr>
                  <pic:blipFill>
                    <a:blip r:embed="rId8"/>
                    <a:stretch>
                      <a:fillRect/>
                    </a:stretch>
                  </pic:blipFill>
                  <pic:spPr>
                    <a:xfrm>
                      <a:off x="0" y="0"/>
                      <a:ext cx="2085975" cy="2085975"/>
                    </a:xfrm>
                    <a:prstGeom prst="rect">
                      <a:avLst/>
                    </a:prstGeom>
                    <a:noFill/>
                    <a:ln w="9525">
                      <a:noFill/>
                    </a:ln>
                  </pic:spPr>
                </pic:pic>
              </a:graphicData>
            </a:graphic>
          </wp:inline>
        </w:drawing>
      </w:r>
      <w:r>
        <w:drawing>
          <wp:inline distT="0" distB="0" distL="114300" distR="114300">
            <wp:extent cx="2838450" cy="2009775"/>
            <wp:effectExtent l="0" t="0" r="6350" b="9525"/>
            <wp:docPr id="51" name="图片 5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IMG_261"/>
                    <pic:cNvPicPr>
                      <a:picLocks noChangeAspect="1"/>
                    </pic:cNvPicPr>
                  </pic:nvPicPr>
                  <pic:blipFill>
                    <a:blip r:embed="rId9"/>
                    <a:stretch>
                      <a:fillRect/>
                    </a:stretch>
                  </pic:blipFill>
                  <pic:spPr>
                    <a:xfrm>
                      <a:off x="0" y="0"/>
                      <a:ext cx="2838450" cy="2009775"/>
                    </a:xfrm>
                    <a:prstGeom prst="rect">
                      <a:avLst/>
                    </a:prstGeom>
                    <a:noFill/>
                    <a:ln w="9525">
                      <a:noFill/>
                    </a:ln>
                  </pic:spPr>
                </pic:pic>
              </a:graphicData>
            </a:graphic>
          </wp:inline>
        </w:drawing>
      </w:r>
    </w:p>
    <w:p w14:paraId="6187F31B">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2.区域分布：区域分布广泛，与城市人口密度呈正相关</w:t>
      </w:r>
    </w:p>
    <w:p w14:paraId="6F09B96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常住区域分布与上海行政区人口密度高度匹配，浦东新区样本量 </w:t>
      </w:r>
      <w:r>
        <w:rPr>
          <w:rFonts w:hint="eastAsia" w:ascii="宋体" w:hAnsi="宋体" w:eastAsia="宋体" w:cs="宋体"/>
          <w:b/>
          <w:bCs/>
          <w:i w:val="0"/>
          <w:iCs w:val="0"/>
          <w:color w:val="000000"/>
          <w:spacing w:val="0"/>
          <w:w w:val="100"/>
          <w:sz w:val="24"/>
          <w:szCs w:val="24"/>
          <w:vertAlign w:val="baseline"/>
        </w:rPr>
        <w:t xml:space="preserve">229 </w:t>
      </w:r>
      <w:r>
        <w:rPr>
          <w:rFonts w:hint="eastAsia" w:ascii="宋体" w:hAnsi="宋体" w:eastAsia="宋体" w:cs="宋体"/>
          <w:b w:val="0"/>
          <w:bCs w:val="0"/>
          <w:i w:val="0"/>
          <w:iCs w:val="0"/>
          <w:color w:val="000000"/>
          <w:spacing w:val="0"/>
          <w:w w:val="100"/>
          <w:sz w:val="24"/>
          <w:szCs w:val="24"/>
          <w:vertAlign w:val="baseline"/>
        </w:rPr>
        <w:t>份居首位，嘉定区（65 份）、闵行区（62 份）、普陀区 （62 份）、徐汇区 （61份）等人口导入大区样本占比靠前，全面覆盖中心城区与郊区新城。该分布特征确保研究结论能客观反映不同空间形态下健身驿站的服务现状，有效规避地域偏差。</w:t>
      </w:r>
    </w:p>
    <w:p w14:paraId="05981057">
      <w:pPr>
        <w:pStyle w:val="2"/>
        <w:keepNext w:val="0"/>
        <w:keepLines w:val="0"/>
        <w:widowControl/>
        <w:suppressLineNumbers w:val="0"/>
        <w:spacing w:before="156" w:beforeAutospacing="0" w:after="0" w:afterAutospacing="0" w:line="13" w:lineRule="atLeast"/>
        <w:ind w:left="0" w:right="0"/>
        <w:jc w:val="center"/>
      </w:pPr>
      <w:r>
        <w:drawing>
          <wp:inline distT="0" distB="0" distL="114300" distR="114300">
            <wp:extent cx="3076575" cy="2466975"/>
            <wp:effectExtent l="0" t="0" r="9525" b="9525"/>
            <wp:docPr id="68" name="图片 5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2" descr="IMG_262"/>
                    <pic:cNvPicPr>
                      <a:picLocks noChangeAspect="1"/>
                    </pic:cNvPicPr>
                  </pic:nvPicPr>
                  <pic:blipFill>
                    <a:blip r:embed="rId10"/>
                    <a:stretch>
                      <a:fillRect/>
                    </a:stretch>
                  </pic:blipFill>
                  <pic:spPr>
                    <a:xfrm>
                      <a:off x="0" y="0"/>
                      <a:ext cx="3076575" cy="2466975"/>
                    </a:xfrm>
                    <a:prstGeom prst="rect">
                      <a:avLst/>
                    </a:prstGeom>
                    <a:noFill/>
                    <a:ln w="9525">
                      <a:noFill/>
                    </a:ln>
                  </pic:spPr>
                </pic:pic>
              </a:graphicData>
            </a:graphic>
          </wp:inline>
        </w:drawing>
      </w:r>
    </w:p>
    <w:p w14:paraId="4852DD97">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3.收入特征：收入水平呈阶梯状分布，契合公共服务对象特征</w:t>
      </w:r>
    </w:p>
    <w:p w14:paraId="487921A5">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月收入水平覆盖各阶层，其中 8001-12000 元群体 166 人、20001 元及以上群体 198 人，体现受访者具备一定经济基础与生活品质追求；“不便透露” 选项占比 198 人，符合市民隐私保护诉求；3000 元及以下、3001-5000 元、5001-8000 元、12001-20000 元群体均有合理分布，为全面评估健身驿站的普惠性与社会公平性提供数据支撑。</w:t>
      </w:r>
    </w:p>
    <w:p w14:paraId="3AD856B8">
      <w:pPr>
        <w:pStyle w:val="2"/>
        <w:keepNext w:val="0"/>
        <w:keepLines w:val="0"/>
        <w:widowControl/>
        <w:suppressLineNumbers w:val="0"/>
        <w:spacing w:before="156" w:beforeAutospacing="0" w:after="0" w:afterAutospacing="0" w:line="13" w:lineRule="atLeast"/>
        <w:ind w:left="0" w:right="0"/>
        <w:jc w:val="center"/>
      </w:pPr>
      <w:r>
        <w:drawing>
          <wp:inline distT="0" distB="0" distL="114300" distR="114300">
            <wp:extent cx="3171825" cy="2771775"/>
            <wp:effectExtent l="0" t="0" r="3175" b="9525"/>
            <wp:docPr id="63" name="图片 5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3" descr="IMG_263"/>
                    <pic:cNvPicPr>
                      <a:picLocks noChangeAspect="1"/>
                    </pic:cNvPicPr>
                  </pic:nvPicPr>
                  <pic:blipFill>
                    <a:blip r:embed="rId11"/>
                    <a:stretch>
                      <a:fillRect/>
                    </a:stretch>
                  </pic:blipFill>
                  <pic:spPr>
                    <a:xfrm>
                      <a:off x="0" y="0"/>
                      <a:ext cx="3171825" cy="2771775"/>
                    </a:xfrm>
                    <a:prstGeom prst="rect">
                      <a:avLst/>
                    </a:prstGeom>
                    <a:noFill/>
                    <a:ln w="9525">
                      <a:noFill/>
                    </a:ln>
                  </pic:spPr>
                </pic:pic>
              </a:graphicData>
            </a:graphic>
          </wp:inline>
        </w:drawing>
      </w:r>
    </w:p>
    <w:p w14:paraId="7103B3B5">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（二）指标重构：健身驿站服务效能评价体系的实证确立</w:t>
      </w:r>
    </w:p>
    <w:p w14:paraId="7869C723">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 适配性检验：因子分析前置条件验证</w:t>
      </w:r>
    </w:p>
    <w:p w14:paraId="66082B1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基于正式调研的全样本数据，对 12 个核心评价题项开展 KMO 和 Bartlett 球形检验，以验证数据是否适合进行因子分析。检验结果显示，</w:t>
      </w:r>
      <w:r>
        <w:rPr>
          <w:rFonts w:hint="eastAsia" w:ascii="宋体" w:hAnsi="宋体" w:eastAsia="宋体" w:cs="宋体"/>
          <w:b/>
          <w:bCs/>
          <w:i w:val="0"/>
          <w:iCs w:val="0"/>
          <w:color w:val="000000"/>
          <w:spacing w:val="0"/>
          <w:w w:val="100"/>
          <w:sz w:val="24"/>
          <w:szCs w:val="24"/>
          <w:vertAlign w:val="baseline"/>
        </w:rPr>
        <w:t>KMO 值为 0.703，</w:t>
      </w:r>
      <w:r>
        <w:rPr>
          <w:rFonts w:hint="eastAsia" w:ascii="宋体" w:hAnsi="宋体" w:eastAsia="宋体" w:cs="宋体"/>
          <w:b w:val="0"/>
          <w:bCs w:val="0"/>
          <w:i w:val="0"/>
          <w:iCs w:val="0"/>
          <w:color w:val="000000"/>
          <w:spacing w:val="0"/>
          <w:w w:val="100"/>
          <w:sz w:val="24"/>
          <w:szCs w:val="24"/>
          <w:vertAlign w:val="baseline"/>
        </w:rPr>
        <w:t>大于 0.7 的适配性阈值，表明变量间相关性显著；</w:t>
      </w:r>
      <w:r>
        <w:rPr>
          <w:rFonts w:hint="eastAsia" w:ascii="宋体" w:hAnsi="宋体" w:eastAsia="宋体" w:cs="宋体"/>
          <w:b/>
          <w:bCs/>
          <w:i w:val="0"/>
          <w:iCs w:val="0"/>
          <w:color w:val="000000"/>
          <w:spacing w:val="0"/>
          <w:w w:val="100"/>
          <w:sz w:val="24"/>
          <w:szCs w:val="24"/>
          <w:vertAlign w:val="baseline"/>
        </w:rPr>
        <w:t>Bartlett 球形检验显著性 P&lt;0.001</w:t>
      </w:r>
      <w:r>
        <w:rPr>
          <w:rFonts w:hint="eastAsia" w:ascii="宋体" w:hAnsi="宋体" w:eastAsia="宋体" w:cs="宋体"/>
          <w:b w:val="0"/>
          <w:bCs w:val="0"/>
          <w:i w:val="0"/>
          <w:iCs w:val="0"/>
          <w:color w:val="000000"/>
          <w:spacing w:val="0"/>
          <w:w w:val="100"/>
          <w:sz w:val="24"/>
          <w:szCs w:val="24"/>
          <w:vertAlign w:val="baseline"/>
        </w:rPr>
        <w:t>，拒绝变量独立的零假设，证实数据结构具备因子分析的前提条件。</w:t>
      </w:r>
    </w:p>
    <w:p w14:paraId="43958223">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表7 KMO和巴特利特检验</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66"/>
        <w:gridCol w:w="1896"/>
        <w:gridCol w:w="1775"/>
      </w:tblGrid>
      <w:tr w14:paraId="08624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3762" w:type="dxa"/>
            <w:gridSpan w:val="2"/>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50694AE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KMO取样适切性量数</w:t>
            </w:r>
          </w:p>
        </w:tc>
        <w:tc>
          <w:tcPr>
            <w:tcW w:w="1775"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59D1201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.703</w:t>
            </w:r>
          </w:p>
        </w:tc>
      </w:tr>
      <w:tr w14:paraId="68F6D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866"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4561B4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巴特利球形度检验</w:t>
            </w:r>
          </w:p>
        </w:tc>
        <w:tc>
          <w:tcPr>
            <w:tcW w:w="1896"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EF898C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近似卡方</w:t>
            </w:r>
          </w:p>
        </w:tc>
        <w:tc>
          <w:tcPr>
            <w:tcW w:w="1775"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7DD93CD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lang w:val="en-US"/>
              </w:rPr>
              <w:t> </w:t>
            </w:r>
          </w:p>
        </w:tc>
      </w:tr>
      <w:tr w14:paraId="17B24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866"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6168C37">
            <w:pPr>
              <w:rPr>
                <w:rFonts w:hint="eastAsia" w:ascii="宋体"/>
                <w:sz w:val="24"/>
                <w:szCs w:val="24"/>
              </w:rPr>
            </w:pPr>
          </w:p>
        </w:tc>
        <w:tc>
          <w:tcPr>
            <w:tcW w:w="1896"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180365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自由度</w:t>
            </w:r>
          </w:p>
        </w:tc>
        <w:tc>
          <w:tcPr>
            <w:tcW w:w="1775"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06BCAC4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lang w:val="en-US"/>
              </w:rPr>
              <w:t> </w:t>
            </w:r>
          </w:p>
        </w:tc>
      </w:tr>
      <w:tr w14:paraId="55801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866"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DAD394E">
            <w:pPr>
              <w:rPr>
                <w:rFonts w:hint="eastAsia" w:ascii="宋体"/>
                <w:sz w:val="24"/>
                <w:szCs w:val="24"/>
              </w:rPr>
            </w:pPr>
          </w:p>
        </w:tc>
        <w:tc>
          <w:tcPr>
            <w:tcW w:w="1896"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6AAABE3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显著性</w:t>
            </w:r>
          </w:p>
        </w:tc>
        <w:tc>
          <w:tcPr>
            <w:tcW w:w="1775"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7CAD0F4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.000</w:t>
            </w:r>
          </w:p>
        </w:tc>
      </w:tr>
    </w:tbl>
    <w:p w14:paraId="33445AD8">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维度提取：四维评价指标体系的构建</w:t>
      </w:r>
    </w:p>
    <w:p w14:paraId="783290A4">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采用主成分分析法（PCA）提取公因子，结合最大方差法进行旋转，12 个评价题项清晰聚类为四大维度，各题项因子载荷均大于 0.6，交叉载荷低，维度命名贴合健身驿站服务本质，最终确立的服务效能评价指标体系如下：</w:t>
      </w:r>
    </w:p>
    <w:p w14:paraId="71ADAF8B">
      <w:pPr>
        <w:pStyle w:val="2"/>
        <w:keepNext w:val="0"/>
        <w:keepLines w:val="0"/>
        <w:widowControl/>
        <w:numPr>
          <w:ilvl w:val="0"/>
          <w:numId w:val="11"/>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F1 硬件设施（Hardware）</w:t>
      </w:r>
      <w:r>
        <w:rPr>
          <w:rFonts w:hint="eastAsia" w:ascii="宋体" w:hAnsi="宋体" w:eastAsia="宋体" w:cs="宋体"/>
          <w:b w:val="0"/>
          <w:bCs w:val="0"/>
          <w:i w:val="0"/>
          <w:iCs w:val="0"/>
          <w:color w:val="000000"/>
          <w:spacing w:val="0"/>
          <w:w w:val="100"/>
          <w:sz w:val="24"/>
          <w:szCs w:val="24"/>
          <w:vertAlign w:val="baseline"/>
        </w:rPr>
        <w:t>： 包含设施种类、维护状况、场馆环境、配套设施（Q14, Q15, Q16, Q19）。</w:t>
      </w:r>
    </w:p>
    <w:p w14:paraId="3A04ED44">
      <w:pPr>
        <w:pStyle w:val="2"/>
        <w:keepNext w:val="0"/>
        <w:keepLines w:val="0"/>
        <w:widowControl/>
        <w:numPr>
          <w:ilvl w:val="0"/>
          <w:numId w:val="11"/>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F2 软性服务（Service）</w:t>
      </w:r>
      <w:r>
        <w:rPr>
          <w:rFonts w:hint="eastAsia" w:ascii="宋体" w:hAnsi="宋体" w:eastAsia="宋体" w:cs="宋体"/>
          <w:b w:val="0"/>
          <w:bCs w:val="0"/>
          <w:i w:val="0"/>
          <w:iCs w:val="0"/>
          <w:color w:val="000000"/>
          <w:spacing w:val="0"/>
          <w:w w:val="100"/>
          <w:sz w:val="24"/>
          <w:szCs w:val="24"/>
          <w:vertAlign w:val="baseline"/>
        </w:rPr>
        <w:t>： 包含营业时间、价格费用、人员服务、信息发布（Q17, Q18, Q20, Q21）。</w:t>
      </w:r>
    </w:p>
    <w:p w14:paraId="15951632">
      <w:pPr>
        <w:pStyle w:val="2"/>
        <w:keepNext w:val="0"/>
        <w:keepLines w:val="0"/>
        <w:widowControl/>
        <w:numPr>
          <w:ilvl w:val="0"/>
          <w:numId w:val="11"/>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F3 数智体验（Smart）</w:t>
      </w:r>
      <w:r>
        <w:rPr>
          <w:rFonts w:hint="eastAsia" w:ascii="宋体" w:hAnsi="宋体" w:eastAsia="宋体" w:cs="宋体"/>
          <w:b w:val="0"/>
          <w:bCs w:val="0"/>
          <w:i w:val="0"/>
          <w:iCs w:val="0"/>
          <w:color w:val="000000"/>
          <w:spacing w:val="0"/>
          <w:w w:val="100"/>
          <w:sz w:val="24"/>
          <w:szCs w:val="24"/>
          <w:vertAlign w:val="baseline"/>
        </w:rPr>
        <w:t>： 包含智能设备丰富度、运动数据服务（Q16_Smart_Device, Q16_Smart_Data）。</w:t>
      </w:r>
    </w:p>
    <w:p w14:paraId="34785F19">
      <w:pPr>
        <w:pStyle w:val="2"/>
        <w:keepNext w:val="0"/>
        <w:keepLines w:val="0"/>
        <w:widowControl/>
        <w:numPr>
          <w:ilvl w:val="0"/>
          <w:numId w:val="11"/>
        </w:numPr>
        <w:suppressLineNumbers w:val="0"/>
        <w:spacing w:before="156" w:beforeAutospacing="0" w:after="0" w:afterAutospacing="0" w:line="13" w:lineRule="atLeast"/>
        <w:ind w:left="420" w:right="0" w:hanging="420"/>
        <w:jc w:val="both"/>
      </w:pPr>
      <w:r>
        <w:drawing>
          <wp:inline distT="0" distB="0" distL="114300" distR="114300">
            <wp:extent cx="4286250" cy="3429000"/>
            <wp:effectExtent l="0" t="0" r="6350" b="0"/>
            <wp:docPr id="70" name="图片 5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4" descr="IMG_264"/>
                    <pic:cNvPicPr>
                      <a:picLocks noChangeAspect="1"/>
                    </pic:cNvPicPr>
                  </pic:nvPicPr>
                  <pic:blipFill>
                    <a:blip r:embed="rId12"/>
                    <a:stretch>
                      <a:fillRect/>
                    </a:stretch>
                  </pic:blipFill>
                  <pic:spPr>
                    <a:xfrm>
                      <a:off x="0" y="0"/>
                      <a:ext cx="4286250" cy="3429000"/>
                    </a:xfrm>
                    <a:prstGeom prst="rect">
                      <a:avLst/>
                    </a:prstGeom>
                    <a:noFill/>
                    <a:ln w="9525">
                      <a:noFill/>
                    </a:ln>
                  </pic:spPr>
                </pic:pic>
              </a:graphicData>
            </a:graphic>
          </wp:inline>
        </w:drawing>
      </w:r>
      <w:r>
        <w:rPr>
          <w:rFonts w:hint="eastAsia" w:ascii="宋体" w:hAnsi="宋体" w:eastAsia="宋体" w:cs="宋体"/>
          <w:b/>
          <w:bCs/>
          <w:i w:val="0"/>
          <w:iCs w:val="0"/>
          <w:color w:val="000000"/>
          <w:spacing w:val="0"/>
          <w:w w:val="100"/>
          <w:sz w:val="24"/>
          <w:szCs w:val="24"/>
          <w:vertAlign w:val="baseline"/>
        </w:rPr>
        <w:t>F4 便利程度（Convenience）</w:t>
      </w:r>
      <w:r>
        <w:rPr>
          <w:rFonts w:hint="eastAsia" w:ascii="宋体" w:hAnsi="宋体" w:eastAsia="宋体" w:cs="宋体"/>
          <w:b w:val="0"/>
          <w:bCs w:val="0"/>
          <w:i w:val="0"/>
          <w:iCs w:val="0"/>
          <w:color w:val="000000"/>
          <w:spacing w:val="0"/>
          <w:w w:val="100"/>
          <w:sz w:val="24"/>
          <w:szCs w:val="24"/>
          <w:vertAlign w:val="baseline"/>
        </w:rPr>
        <w:t>： 包含距离便利性、交通通达性（Q13a, Q13b）。</w:t>
      </w:r>
    </w:p>
    <w:p w14:paraId="6D1DA30E">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因子载荷矩阵热力图</w:t>
      </w:r>
    </w:p>
    <w:p w14:paraId="546BB201">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 信效度检验：测量工具的可靠性与有效性验证</w:t>
      </w:r>
    </w:p>
    <w:p w14:paraId="18B6FAB1">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（1）信度检验</w:t>
      </w:r>
    </w:p>
    <w:p w14:paraId="3D1776E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采用 Cronbach's α 系数对两类群体分别进行内部一致性检验，结果如第二章表5、表6所示。现有使用者各维度 α 系数介于 0.812-0.921 之间，总体信度达 0.915；潜在使用者各维度 α 系数介于 0.805-0.868 之间，总体信度达 0.886。两类群体信度均达到“良好”标准，证实量表测量结果稳定可靠。</w:t>
      </w:r>
    </w:p>
    <w:p w14:paraId="3F1A4862">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（2）效度检验</w:t>
      </w:r>
    </w:p>
    <w:p w14:paraId="1538145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通过验证性因子分析（CFA）完成收敛效度与区别效度检验：各潜变量的平均方差抽取量（AVE）均大于 0.5，组合信度（CR）均大于 0.7，证实收敛效度良好；各因子间相关系数均小于对应 AVE 的平方根，证实区别效度显著，确保评价体系能精准测量健身驿站服务效能的核心维度。</w:t>
      </w:r>
    </w:p>
    <w:p w14:paraId="7BFB2BAB">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（三）效能测度：基于熵值法与 FCE 的整体水平分析</w:t>
      </w:r>
    </w:p>
    <w:p w14:paraId="212FF3E0">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 客观赋权：熵值法下的指标权重分布</w:t>
      </w:r>
    </w:p>
    <w:p w14:paraId="2A79DF71">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为规避主观赋权的偏差，采用熵值法对 12 个二级指标进行客观权重计算，权重结果反映各指标在服务效能评价中的实际贡献度（见表8）。</w:t>
      </w:r>
    </w:p>
    <w:p w14:paraId="19E54A8F">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核心特征表现为：</w:t>
      </w:r>
      <w:r>
        <w:rPr>
          <w:rFonts w:hint="eastAsia" w:ascii="宋体" w:hAnsi="宋体" w:eastAsia="宋体" w:cs="宋体"/>
          <w:b/>
          <w:bCs/>
          <w:i w:val="0"/>
          <w:iCs w:val="0"/>
          <w:color w:val="000000"/>
          <w:spacing w:val="0"/>
          <w:w w:val="100"/>
          <w:sz w:val="24"/>
          <w:szCs w:val="24"/>
          <w:vertAlign w:val="baseline"/>
        </w:rPr>
        <w:t>软性服务</w:t>
      </w:r>
      <w:r>
        <w:rPr>
          <w:rFonts w:hint="eastAsia" w:ascii="宋体" w:hAnsi="宋体" w:eastAsia="宋体" w:cs="宋体"/>
          <w:b w:val="0"/>
          <w:bCs w:val="0"/>
          <w:i w:val="0"/>
          <w:iCs w:val="0"/>
          <w:color w:val="000000"/>
          <w:spacing w:val="0"/>
          <w:w w:val="100"/>
          <w:sz w:val="24"/>
          <w:szCs w:val="24"/>
          <w:vertAlign w:val="baseline"/>
        </w:rPr>
        <w:t>维度的 “营业时间”（0.1025）和 “信息发布”（0.1008）权重最高，是市民评价差异最显著的指标；</w:t>
      </w:r>
      <w:r>
        <w:rPr>
          <w:rFonts w:hint="eastAsia" w:ascii="宋体" w:hAnsi="宋体" w:eastAsia="宋体" w:cs="宋体"/>
          <w:b/>
          <w:bCs/>
          <w:i w:val="0"/>
          <w:iCs w:val="0"/>
          <w:color w:val="000000"/>
          <w:spacing w:val="0"/>
          <w:w w:val="100"/>
          <w:sz w:val="24"/>
          <w:szCs w:val="24"/>
          <w:vertAlign w:val="baseline"/>
        </w:rPr>
        <w:t>数智体验</w:t>
      </w:r>
      <w:r>
        <w:rPr>
          <w:rFonts w:hint="eastAsia" w:ascii="宋体" w:hAnsi="宋体" w:eastAsia="宋体" w:cs="宋体"/>
          <w:b w:val="0"/>
          <w:bCs w:val="0"/>
          <w:i w:val="0"/>
          <w:iCs w:val="0"/>
          <w:color w:val="000000"/>
          <w:spacing w:val="0"/>
          <w:w w:val="100"/>
          <w:sz w:val="24"/>
          <w:szCs w:val="24"/>
          <w:vertAlign w:val="baseline"/>
        </w:rPr>
        <w:t>维度的 “智能设备配置” 权重次之（0.0981）；而</w:t>
      </w:r>
      <w:r>
        <w:rPr>
          <w:rFonts w:hint="eastAsia" w:ascii="宋体" w:hAnsi="宋体" w:eastAsia="宋体" w:cs="宋体"/>
          <w:b/>
          <w:bCs/>
          <w:i w:val="0"/>
          <w:iCs w:val="0"/>
          <w:color w:val="000000"/>
          <w:spacing w:val="0"/>
          <w:w w:val="100"/>
          <w:sz w:val="24"/>
          <w:szCs w:val="24"/>
          <w:vertAlign w:val="baseline"/>
        </w:rPr>
        <w:t>便利程度</w:t>
      </w:r>
      <w:r>
        <w:rPr>
          <w:rFonts w:hint="eastAsia" w:ascii="宋体" w:hAnsi="宋体" w:eastAsia="宋体" w:cs="宋体"/>
          <w:b w:val="0"/>
          <w:bCs w:val="0"/>
          <w:i w:val="0"/>
          <w:iCs w:val="0"/>
          <w:color w:val="000000"/>
          <w:spacing w:val="0"/>
          <w:w w:val="100"/>
          <w:sz w:val="24"/>
          <w:szCs w:val="24"/>
          <w:vertAlign w:val="baseline"/>
        </w:rPr>
        <w:t>维度的 “距离适宜性” 权重最低（0.0484），侧面反映上海 “15 分钟健身圈” 建设的显著成效。</w:t>
      </w:r>
    </w:p>
    <w:p w14:paraId="411194DA">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表8 上海市民健身驿站服务效能评价指标体系及权重</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89"/>
        <w:gridCol w:w="835"/>
        <w:gridCol w:w="1455"/>
        <w:gridCol w:w="1464"/>
        <w:gridCol w:w="837"/>
      </w:tblGrid>
      <w:tr w14:paraId="1892F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089"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5F8A7F2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一级指标</w:t>
            </w:r>
          </w:p>
        </w:tc>
        <w:tc>
          <w:tcPr>
            <w:tcW w:w="835"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3D46F66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二级指标</w:t>
            </w:r>
          </w:p>
        </w:tc>
        <w:tc>
          <w:tcPr>
            <w:tcW w:w="1455"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08C0F9C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指标内容</w:t>
            </w:r>
          </w:p>
        </w:tc>
        <w:tc>
          <w:tcPr>
            <w:tcW w:w="1464"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0317B6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熵值权重(Wj)</w:t>
            </w:r>
          </w:p>
        </w:tc>
        <w:tc>
          <w:tcPr>
            <w:tcW w:w="837"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3F79992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现状均值</w:t>
            </w:r>
          </w:p>
        </w:tc>
      </w:tr>
      <w:tr w14:paraId="5F06C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A0D871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B1 硬件设施</w:t>
            </w:r>
          </w:p>
        </w:tc>
        <w:tc>
          <w:tcPr>
            <w:tcW w:w="83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7BA73A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C1</w:t>
            </w:r>
          </w:p>
        </w:tc>
        <w:tc>
          <w:tcPr>
            <w:tcW w:w="145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972435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Q14 设施种类</w:t>
            </w:r>
          </w:p>
        </w:tc>
        <w:tc>
          <w:tcPr>
            <w:tcW w:w="146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B8C002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0.0897</w:t>
            </w:r>
          </w:p>
        </w:tc>
        <w:tc>
          <w:tcPr>
            <w:tcW w:w="83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51204CE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4.56</w:t>
            </w:r>
          </w:p>
        </w:tc>
      </w:tr>
      <w:tr w14:paraId="2667E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0AD203D">
            <w:pPr>
              <w:rPr>
                <w:rFonts w:hint="eastAsia" w:ascii="宋体"/>
                <w:sz w:val="24"/>
                <w:szCs w:val="24"/>
              </w:rPr>
            </w:pPr>
          </w:p>
        </w:tc>
        <w:tc>
          <w:tcPr>
            <w:tcW w:w="83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E06B30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C2</w:t>
            </w:r>
          </w:p>
        </w:tc>
        <w:tc>
          <w:tcPr>
            <w:tcW w:w="145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6AC40D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Q15 器材维护</w:t>
            </w:r>
          </w:p>
        </w:tc>
        <w:tc>
          <w:tcPr>
            <w:tcW w:w="146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83E405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0.0790</w:t>
            </w:r>
          </w:p>
        </w:tc>
        <w:tc>
          <w:tcPr>
            <w:tcW w:w="83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45B36C0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4.59</w:t>
            </w:r>
          </w:p>
        </w:tc>
      </w:tr>
      <w:tr w14:paraId="77D6B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771298A">
            <w:pPr>
              <w:rPr>
                <w:rFonts w:hint="eastAsia" w:ascii="宋体"/>
                <w:sz w:val="24"/>
                <w:szCs w:val="24"/>
              </w:rPr>
            </w:pPr>
          </w:p>
        </w:tc>
        <w:tc>
          <w:tcPr>
            <w:tcW w:w="83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0910AC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C3</w:t>
            </w:r>
          </w:p>
        </w:tc>
        <w:tc>
          <w:tcPr>
            <w:tcW w:w="145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FC2D10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Q16 场馆环境</w:t>
            </w:r>
          </w:p>
        </w:tc>
        <w:tc>
          <w:tcPr>
            <w:tcW w:w="146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434E9E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0.0788</w:t>
            </w:r>
          </w:p>
        </w:tc>
        <w:tc>
          <w:tcPr>
            <w:tcW w:w="83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3A8436C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4.53</w:t>
            </w:r>
          </w:p>
        </w:tc>
      </w:tr>
      <w:tr w14:paraId="30DEB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D716456">
            <w:pPr>
              <w:rPr>
                <w:rFonts w:hint="eastAsia" w:ascii="宋体"/>
                <w:sz w:val="24"/>
                <w:szCs w:val="24"/>
              </w:rPr>
            </w:pPr>
          </w:p>
        </w:tc>
        <w:tc>
          <w:tcPr>
            <w:tcW w:w="83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AFD052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C4</w:t>
            </w:r>
          </w:p>
        </w:tc>
        <w:tc>
          <w:tcPr>
            <w:tcW w:w="145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F9E4A0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Q23 配套设施</w:t>
            </w:r>
          </w:p>
        </w:tc>
        <w:tc>
          <w:tcPr>
            <w:tcW w:w="146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EF34F9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0.0839</w:t>
            </w:r>
          </w:p>
        </w:tc>
        <w:tc>
          <w:tcPr>
            <w:tcW w:w="83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3BD096B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4.56</w:t>
            </w:r>
          </w:p>
        </w:tc>
      </w:tr>
      <w:tr w14:paraId="7B4DD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restart"/>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157EFD2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B2 软性服务</w:t>
            </w:r>
          </w:p>
        </w:tc>
        <w:tc>
          <w:tcPr>
            <w:tcW w:w="83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4B95C70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C5</w:t>
            </w:r>
          </w:p>
        </w:tc>
        <w:tc>
          <w:tcPr>
            <w:tcW w:w="145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477008F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Q21 营业时间</w:t>
            </w:r>
          </w:p>
        </w:tc>
        <w:tc>
          <w:tcPr>
            <w:tcW w:w="1464"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32AC24A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0.1025</w:t>
            </w:r>
          </w:p>
        </w:tc>
        <w:tc>
          <w:tcPr>
            <w:tcW w:w="837"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0183226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4.33</w:t>
            </w:r>
          </w:p>
        </w:tc>
      </w:tr>
      <w:tr w14:paraId="44938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continue"/>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0DFEFDC4">
            <w:pPr>
              <w:rPr>
                <w:rFonts w:hint="eastAsia" w:ascii="宋体"/>
                <w:sz w:val="24"/>
                <w:szCs w:val="24"/>
              </w:rPr>
            </w:pPr>
          </w:p>
        </w:tc>
        <w:tc>
          <w:tcPr>
            <w:tcW w:w="83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8AFF6C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C6</w:t>
            </w:r>
          </w:p>
        </w:tc>
        <w:tc>
          <w:tcPr>
            <w:tcW w:w="145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3081201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Q22 价格费用</w:t>
            </w:r>
          </w:p>
        </w:tc>
        <w:tc>
          <w:tcPr>
            <w:tcW w:w="1464"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12BB7D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0.0537</w:t>
            </w:r>
          </w:p>
        </w:tc>
        <w:tc>
          <w:tcPr>
            <w:tcW w:w="837"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31EED6B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4.39</w:t>
            </w:r>
          </w:p>
        </w:tc>
      </w:tr>
      <w:tr w14:paraId="156B6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continue"/>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2671FA27">
            <w:pPr>
              <w:rPr>
                <w:rFonts w:hint="eastAsia" w:ascii="宋体"/>
                <w:sz w:val="24"/>
                <w:szCs w:val="24"/>
              </w:rPr>
            </w:pPr>
          </w:p>
        </w:tc>
        <w:tc>
          <w:tcPr>
            <w:tcW w:w="83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0C54FA9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C7</w:t>
            </w:r>
          </w:p>
        </w:tc>
        <w:tc>
          <w:tcPr>
            <w:tcW w:w="145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F48867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Q24 人员服务</w:t>
            </w:r>
          </w:p>
        </w:tc>
        <w:tc>
          <w:tcPr>
            <w:tcW w:w="1464"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483E421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0.0932</w:t>
            </w:r>
          </w:p>
        </w:tc>
        <w:tc>
          <w:tcPr>
            <w:tcW w:w="837"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54E0E5D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4.28</w:t>
            </w:r>
          </w:p>
        </w:tc>
      </w:tr>
      <w:tr w14:paraId="5147B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continue"/>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1286F6AC">
            <w:pPr>
              <w:rPr>
                <w:rFonts w:hint="eastAsia" w:ascii="宋体"/>
                <w:sz w:val="24"/>
                <w:szCs w:val="24"/>
              </w:rPr>
            </w:pPr>
          </w:p>
        </w:tc>
        <w:tc>
          <w:tcPr>
            <w:tcW w:w="83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3DF7BF3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C8</w:t>
            </w:r>
          </w:p>
        </w:tc>
        <w:tc>
          <w:tcPr>
            <w:tcW w:w="145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1AAF876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Q25 信息发布</w:t>
            </w:r>
          </w:p>
        </w:tc>
        <w:tc>
          <w:tcPr>
            <w:tcW w:w="1464"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39962E4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0.1008</w:t>
            </w:r>
          </w:p>
        </w:tc>
        <w:tc>
          <w:tcPr>
            <w:tcW w:w="837"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29391C7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4.28</w:t>
            </w:r>
          </w:p>
        </w:tc>
      </w:tr>
      <w:tr w14:paraId="03247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restart"/>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00E24A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B3 数智体验</w:t>
            </w:r>
          </w:p>
        </w:tc>
        <w:tc>
          <w:tcPr>
            <w:tcW w:w="83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639E10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C9</w:t>
            </w:r>
          </w:p>
        </w:tc>
        <w:tc>
          <w:tcPr>
            <w:tcW w:w="145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F8289F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Q16_Smart_Device</w:t>
            </w:r>
          </w:p>
        </w:tc>
        <w:tc>
          <w:tcPr>
            <w:tcW w:w="146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54FF5C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0.0981</w:t>
            </w:r>
          </w:p>
        </w:tc>
        <w:tc>
          <w:tcPr>
            <w:tcW w:w="83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0C36778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4.10</w:t>
            </w:r>
          </w:p>
        </w:tc>
      </w:tr>
      <w:tr w14:paraId="41AED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continue"/>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6AB2BDA">
            <w:pPr>
              <w:rPr>
                <w:rFonts w:hint="eastAsia" w:ascii="宋体"/>
                <w:sz w:val="24"/>
                <w:szCs w:val="24"/>
              </w:rPr>
            </w:pPr>
          </w:p>
        </w:tc>
        <w:tc>
          <w:tcPr>
            <w:tcW w:w="83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E1DD7A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C10</w:t>
            </w:r>
          </w:p>
        </w:tc>
        <w:tc>
          <w:tcPr>
            <w:tcW w:w="145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A72A41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Q16_Smart_Data</w:t>
            </w:r>
          </w:p>
        </w:tc>
        <w:tc>
          <w:tcPr>
            <w:tcW w:w="146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57070B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0.0898</w:t>
            </w:r>
          </w:p>
        </w:tc>
        <w:tc>
          <w:tcPr>
            <w:tcW w:w="837"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13C2424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4.10</w:t>
            </w:r>
          </w:p>
        </w:tc>
      </w:tr>
      <w:tr w14:paraId="10091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restart"/>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1631CDE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B4 便利程度</w:t>
            </w:r>
          </w:p>
        </w:tc>
        <w:tc>
          <w:tcPr>
            <w:tcW w:w="83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0172A71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C11</w:t>
            </w:r>
          </w:p>
        </w:tc>
        <w:tc>
          <w:tcPr>
            <w:tcW w:w="145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036B82C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Q13a 距离便利性</w:t>
            </w:r>
          </w:p>
        </w:tc>
        <w:tc>
          <w:tcPr>
            <w:tcW w:w="1464"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5D18437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0.0484</w:t>
            </w:r>
          </w:p>
        </w:tc>
        <w:tc>
          <w:tcPr>
            <w:tcW w:w="837"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63A4243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4.79</w:t>
            </w:r>
          </w:p>
        </w:tc>
      </w:tr>
      <w:tr w14:paraId="071AF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89" w:type="dxa"/>
            <w:vMerge w:val="continue"/>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38607FA7">
            <w:pPr>
              <w:rPr>
                <w:rFonts w:hint="eastAsia" w:ascii="宋体"/>
                <w:sz w:val="24"/>
                <w:szCs w:val="24"/>
              </w:rPr>
            </w:pPr>
          </w:p>
        </w:tc>
        <w:tc>
          <w:tcPr>
            <w:tcW w:w="835"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7276F92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C12</w:t>
            </w:r>
          </w:p>
        </w:tc>
        <w:tc>
          <w:tcPr>
            <w:tcW w:w="1455"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65F61D2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Q13b 交通通达性</w:t>
            </w:r>
          </w:p>
        </w:tc>
        <w:tc>
          <w:tcPr>
            <w:tcW w:w="1464"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6EF90A1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0.0823</w:t>
            </w:r>
          </w:p>
        </w:tc>
        <w:tc>
          <w:tcPr>
            <w:tcW w:w="837" w:type="dxa"/>
            <w:tcBorders>
              <w:top w:val="single" w:color="auto" w:sz="2" w:space="0"/>
              <w:left w:val="single" w:color="auto" w:sz="2" w:space="0"/>
              <w:bottom w:val="single" w:color="auto" w:sz="8" w:space="0"/>
              <w:right w:val="single" w:color="CBCDD1" w:sz="2" w:space="0"/>
            </w:tcBorders>
            <w:shd w:val="clear"/>
            <w:tcMar>
              <w:top w:w="0" w:type="dxa"/>
              <w:left w:w="72" w:type="dxa"/>
              <w:bottom w:w="0" w:type="dxa"/>
              <w:right w:w="72" w:type="dxa"/>
            </w:tcMar>
            <w:vAlign w:val="center"/>
          </w:tcPr>
          <w:p w14:paraId="3B437C4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4.74</w:t>
            </w:r>
          </w:p>
        </w:tc>
      </w:tr>
    </w:tbl>
    <w:p w14:paraId="2E165213">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综合评价：模糊综合评价（FCE）结果解读</w:t>
      </w:r>
    </w:p>
    <w:p w14:paraId="55439255">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将熵值法计算的客观权重代入模糊综合评价模型，加权合成后得出</w:t>
      </w:r>
      <w:r>
        <w:rPr>
          <w:rFonts w:hint="eastAsia" w:ascii="宋体" w:hAnsi="宋体" w:eastAsia="宋体" w:cs="宋体"/>
          <w:b/>
          <w:bCs/>
          <w:i w:val="0"/>
          <w:iCs w:val="0"/>
          <w:color w:val="000000"/>
          <w:spacing w:val="0"/>
          <w:w w:val="100"/>
          <w:sz w:val="24"/>
          <w:szCs w:val="24"/>
          <w:vertAlign w:val="baseline"/>
        </w:rPr>
        <w:t>上海市健身驿站整体服务效能指数（SEI）</w:t>
      </w:r>
      <w:r>
        <w:rPr>
          <w:rFonts w:hint="eastAsia" w:ascii="宋体" w:hAnsi="宋体" w:eastAsia="宋体" w:cs="宋体"/>
          <w:b w:val="0"/>
          <w:bCs w:val="0"/>
          <w:i w:val="0"/>
          <w:iCs w:val="0"/>
          <w:color w:val="000000"/>
          <w:spacing w:val="0"/>
          <w:w w:val="100"/>
          <w:sz w:val="24"/>
          <w:szCs w:val="24"/>
          <w:vertAlign w:val="baseline"/>
        </w:rPr>
        <w:t>为 56.88 分，整体处于“及格偏下”水平，呈现鲜明的</w:t>
      </w:r>
      <w:r>
        <w:rPr>
          <w:rFonts w:hint="eastAsia" w:ascii="宋体" w:hAnsi="宋体" w:eastAsia="宋体" w:cs="宋体"/>
          <w:b/>
          <w:bCs/>
          <w:i w:val="0"/>
          <w:iCs w:val="0"/>
          <w:color w:val="000000"/>
          <w:spacing w:val="0"/>
          <w:w w:val="100"/>
          <w:sz w:val="24"/>
          <w:szCs w:val="24"/>
          <w:vertAlign w:val="baseline"/>
        </w:rPr>
        <w:t>“硬强软弱”</w:t>
      </w:r>
      <w:r>
        <w:rPr>
          <w:rFonts w:hint="eastAsia" w:ascii="宋体" w:hAnsi="宋体" w:eastAsia="宋体" w:cs="宋体"/>
          <w:b w:val="0"/>
          <w:bCs w:val="0"/>
          <w:i w:val="0"/>
          <w:iCs w:val="0"/>
          <w:color w:val="000000"/>
          <w:spacing w:val="0"/>
          <w:w w:val="100"/>
          <w:sz w:val="24"/>
          <w:szCs w:val="24"/>
          <w:vertAlign w:val="baseline"/>
        </w:rPr>
        <w:t>特征：</w:t>
      </w:r>
    </w:p>
    <w:p w14:paraId="7F3AF360">
      <w:pPr>
        <w:pStyle w:val="2"/>
        <w:keepNext w:val="0"/>
        <w:keepLines w:val="0"/>
        <w:widowControl/>
        <w:numPr>
          <w:ilvl w:val="0"/>
          <w:numId w:val="12"/>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优势维度：</w:t>
      </w:r>
      <w:r>
        <w:rPr>
          <w:rFonts w:hint="eastAsia" w:ascii="宋体" w:hAnsi="宋体" w:eastAsia="宋体" w:cs="宋体"/>
          <w:b w:val="0"/>
          <w:bCs w:val="0"/>
          <w:i w:val="0"/>
          <w:iCs w:val="0"/>
          <w:color w:val="000000"/>
          <w:spacing w:val="0"/>
          <w:w w:val="100"/>
          <w:sz w:val="24"/>
          <w:szCs w:val="24"/>
          <w:vertAlign w:val="baseline"/>
        </w:rPr>
        <w:t>便利程度（均值 4.76）与硬件设施（均值 4.56）表现突出，反映健身驿站的物理选址与硬件配套已趋于完善；</w:t>
      </w:r>
    </w:p>
    <w:p w14:paraId="34585DAF">
      <w:pPr>
        <w:pStyle w:val="2"/>
        <w:keepNext w:val="0"/>
        <w:keepLines w:val="0"/>
        <w:widowControl/>
        <w:numPr>
          <w:ilvl w:val="0"/>
          <w:numId w:val="12"/>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短板维度：</w:t>
      </w:r>
      <w:r>
        <w:rPr>
          <w:rFonts w:hint="eastAsia" w:ascii="宋体" w:hAnsi="宋体" w:eastAsia="宋体" w:cs="宋体"/>
          <w:b w:val="0"/>
          <w:bCs w:val="0"/>
          <w:i w:val="0"/>
          <w:iCs w:val="0"/>
          <w:color w:val="000000"/>
          <w:spacing w:val="0"/>
          <w:w w:val="100"/>
          <w:sz w:val="24"/>
          <w:szCs w:val="24"/>
          <w:vertAlign w:val="baseline"/>
        </w:rPr>
        <w:t>软性服务（均值 4.32）与数智体验（均值 4.10）得分偏低，其中数智体验为全维度最低，成为制约整体效能提升的核心瓶颈。</w:t>
      </w:r>
    </w:p>
    <w:p w14:paraId="3633272A">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（四）需求分化：现有与潜在使用者的核心诉求对比</w:t>
      </w:r>
    </w:p>
    <w:p w14:paraId="01F0C1FD">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基于群体划分结果，结合效能测度数据，对比两类群体的核心诉求差异：现有使用者更关注</w:t>
      </w:r>
      <w:r>
        <w:rPr>
          <w:rFonts w:hint="eastAsia" w:ascii="宋体" w:hAnsi="宋体" w:eastAsia="宋体" w:cs="宋体"/>
          <w:b/>
          <w:bCs/>
          <w:i w:val="0"/>
          <w:iCs w:val="0"/>
          <w:color w:val="000000"/>
          <w:spacing w:val="0"/>
          <w:w w:val="100"/>
          <w:sz w:val="24"/>
          <w:szCs w:val="24"/>
          <w:vertAlign w:val="baseline"/>
        </w:rPr>
        <w:t>软性服务的精细化</w:t>
      </w:r>
      <w:r>
        <w:rPr>
          <w:rFonts w:hint="eastAsia" w:ascii="宋体" w:hAnsi="宋体" w:eastAsia="宋体" w:cs="宋体"/>
          <w:b w:val="0"/>
          <w:bCs w:val="0"/>
          <w:i w:val="0"/>
          <w:iCs w:val="0"/>
          <w:color w:val="000000"/>
          <w:spacing w:val="0"/>
          <w:w w:val="100"/>
          <w:sz w:val="24"/>
          <w:szCs w:val="24"/>
          <w:vertAlign w:val="baseline"/>
        </w:rPr>
        <w:t>（如人员服务、信息公示），对现有硬件与便利性的满意度较高；潜在使用者则更重视</w:t>
      </w:r>
      <w:r>
        <w:rPr>
          <w:rFonts w:hint="eastAsia" w:ascii="宋体" w:hAnsi="宋体" w:eastAsia="宋体" w:cs="宋体"/>
          <w:b/>
          <w:bCs/>
          <w:i w:val="0"/>
          <w:iCs w:val="0"/>
          <w:color w:val="000000"/>
          <w:spacing w:val="0"/>
          <w:w w:val="100"/>
          <w:sz w:val="24"/>
          <w:szCs w:val="24"/>
          <w:vertAlign w:val="baseline"/>
        </w:rPr>
        <w:t>数智体验的完善度</w:t>
      </w:r>
      <w:r>
        <w:rPr>
          <w:rFonts w:hint="eastAsia" w:ascii="宋体" w:hAnsi="宋体" w:eastAsia="宋体" w:cs="宋体"/>
          <w:b w:val="0"/>
          <w:bCs w:val="0"/>
          <w:i w:val="0"/>
          <w:iCs w:val="0"/>
          <w:color w:val="000000"/>
          <w:spacing w:val="0"/>
          <w:w w:val="100"/>
          <w:sz w:val="24"/>
          <w:szCs w:val="24"/>
          <w:vertAlign w:val="baseline"/>
        </w:rPr>
        <w:t>与</w:t>
      </w:r>
      <w:r>
        <w:rPr>
          <w:rFonts w:hint="eastAsia" w:ascii="宋体" w:hAnsi="宋体" w:eastAsia="宋体" w:cs="宋体"/>
          <w:b/>
          <w:bCs/>
          <w:i w:val="0"/>
          <w:iCs w:val="0"/>
          <w:color w:val="000000"/>
          <w:spacing w:val="0"/>
          <w:w w:val="100"/>
          <w:sz w:val="24"/>
          <w:szCs w:val="24"/>
          <w:vertAlign w:val="baseline"/>
        </w:rPr>
        <w:t>硬件设施的适配性</w:t>
      </w:r>
      <w:r>
        <w:rPr>
          <w:rFonts w:hint="eastAsia" w:ascii="宋体" w:hAnsi="宋体" w:eastAsia="宋体" w:cs="宋体"/>
          <w:b w:val="0"/>
          <w:bCs w:val="0"/>
          <w:i w:val="0"/>
          <w:iCs w:val="0"/>
          <w:color w:val="000000"/>
          <w:spacing w:val="0"/>
          <w:w w:val="100"/>
          <w:sz w:val="24"/>
          <w:szCs w:val="24"/>
          <w:vertAlign w:val="baseline"/>
        </w:rPr>
        <w:t>，对价格敏感度更高，核心诉求集中于 “智能服务升级” 与 “普惠化收费”。</w:t>
      </w:r>
    </w:p>
    <w:p w14:paraId="0B4AAFBB">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两类群体的需求分化，为后续健身驿站服务优化提供了精准的靶向方向。</w:t>
      </w:r>
    </w:p>
    <w:p w14:paraId="19610486">
      <w:pPr>
        <w:pStyle w:val="2"/>
        <w:keepNext w:val="0"/>
        <w:keepLines w:val="0"/>
        <w:widowControl/>
        <w:suppressLineNumbers w:val="0"/>
        <w:spacing w:before="156" w:beforeAutospacing="0" w:after="0" w:afterAutospacing="0" w:line="13" w:lineRule="atLeast"/>
        <w:ind w:left="0" w:right="0"/>
        <w:jc w:val="center"/>
      </w:pPr>
      <w:r>
        <w:rPr>
          <w:rFonts w:hint="eastAsia" w:ascii="黑体" w:hAnsi="宋体" w:eastAsia="黑体" w:cs="黑体"/>
          <w:b w:val="0"/>
          <w:bCs w:val="0"/>
          <w:i w:val="0"/>
          <w:iCs w:val="0"/>
          <w:color w:val="000000"/>
          <w:spacing w:val="0"/>
          <w:w w:val="100"/>
          <w:sz w:val="30"/>
          <w:szCs w:val="30"/>
          <w:vertAlign w:val="baseline"/>
        </w:rPr>
        <w:t>四、健身驿站服务效能的影响机制与深度归因</w:t>
      </w:r>
    </w:p>
    <w:p w14:paraId="20B356FB">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基于前文对上海市民健身驿站服务效能现状的实证测度，我们发现当前健身驿站的整体服务效能指数（SEI）为 56.88 分，处于“基本合格但亟待提升”的区间。这一数据结果呈现出显著的结构性矛盾：一方面，硬件设施得分相对较高，反映出近年来上海在体育设施补短板工程中的巨大投入；另一方面，软性服务与数智体验得分低迷，成为制约效能跃升的“短板” 。</w:t>
      </w:r>
      <w:r>
        <w:rPr>
          <w:rFonts w:hint="eastAsia" w:ascii="宋体" w:hAnsi="宋体" w:eastAsia="宋体" w:cs="宋体"/>
          <w:b w:val="0"/>
          <w:bCs w:val="0"/>
          <w:i w:val="0"/>
          <w:iCs w:val="0"/>
          <w:color w:val="000000"/>
          <w:spacing w:val="0"/>
          <w:w w:val="100"/>
          <w:sz w:val="24"/>
          <w:szCs w:val="24"/>
          <w:vertAlign w:val="baseline"/>
        </w:rPr>
        <w:br w:type="textWrapping"/>
      </w:r>
      <w:r>
        <w:rPr>
          <w:rFonts w:hint="eastAsia" w:ascii="宋体" w:hAnsi="宋体" w:eastAsia="宋体" w:cs="宋体"/>
          <w:b w:val="0"/>
          <w:bCs w:val="0"/>
          <w:i w:val="0"/>
          <w:iCs w:val="0"/>
          <w:color w:val="000000"/>
          <w:spacing w:val="0"/>
          <w:w w:val="100"/>
          <w:sz w:val="24"/>
          <w:szCs w:val="24"/>
          <w:vertAlign w:val="baseline"/>
        </w:rPr>
        <w:t xml:space="preserve"> 为了精准解析造成这一现状的深层原因，单纯的描述性统计已无法满足研究需求。因此，本章打破传统线性分析的局限，构建“宏观机制验证（SEM）+ 微观非线性归因（XGBoost-SHAP）”的双轨分析模型。首先利用结构方程模型（Structural Equation Modeling, SEM）在宏观层面验证各潜在变量对满意度的显著性影响及路径系数，确立服务效能的骨架；随后引入集成学习算法 XGBoost 与可解释性机器学习框架 SHAP，深度挖掘关键要素的非线性阈值、边际效应及交互作用，为后续的精准治理策略提供量化依据。</w:t>
      </w:r>
      <w:r>
        <w:rPr>
          <w:rFonts w:hint="eastAsia" w:ascii="宋体" w:hAnsi="宋体" w:eastAsia="宋体" w:cs="宋体"/>
          <w:b w:val="0"/>
          <w:bCs w:val="0"/>
          <w:i w:val="0"/>
          <w:iCs w:val="0"/>
          <w:color w:val="000000"/>
          <w:spacing w:val="0"/>
          <w:w w:val="100"/>
          <w:sz w:val="24"/>
          <w:szCs w:val="24"/>
          <w:vertAlign w:val="baseline"/>
        </w:rPr>
        <w:br w:type="textWrapping"/>
      </w:r>
      <w:r>
        <w:rPr>
          <w:rFonts w:hint="eastAsia" w:ascii="黑体" w:hAnsi="宋体" w:eastAsia="黑体" w:cs="黑体"/>
          <w:b w:val="0"/>
          <w:bCs w:val="0"/>
          <w:i w:val="0"/>
          <w:iCs w:val="0"/>
          <w:color w:val="1F2329"/>
          <w:spacing w:val="0"/>
          <w:w w:val="100"/>
          <w:sz w:val="28"/>
          <w:szCs w:val="28"/>
          <w:shd w:val="clear" w:fill="FFFFFF"/>
          <w:vertAlign w:val="baseline"/>
        </w:rPr>
        <w:t>（一）宏观机制：基于 SEM 模型的路径假设与验证</w:t>
      </w:r>
      <w:r>
        <w:rPr>
          <w:rFonts w:hint="eastAsia" w:ascii="黑体" w:hAnsi="宋体" w:eastAsia="黑体" w:cs="黑体"/>
          <w:b w:val="0"/>
          <w:bCs w:val="0"/>
          <w:i w:val="0"/>
          <w:iCs w:val="0"/>
          <w:color w:val="1F2329"/>
          <w:spacing w:val="0"/>
          <w:w w:val="100"/>
          <w:sz w:val="28"/>
          <w:szCs w:val="28"/>
          <w:shd w:val="clear" w:fill="FFFFFF"/>
          <w:vertAlign w:val="baseline"/>
        </w:rPr>
        <w:br w:type="textWrapping"/>
      </w:r>
      <w:r>
        <w:rPr>
          <w:rFonts w:hint="eastAsia" w:ascii="黑体" w:hAnsi="宋体" w:eastAsia="黑体" w:cs="黑体"/>
          <w:b w:val="0"/>
          <w:bCs w:val="0"/>
          <w:i w:val="0"/>
          <w:iCs w:val="0"/>
          <w:color w:val="1F2329"/>
          <w:spacing w:val="0"/>
          <w:w w:val="100"/>
          <w:sz w:val="28"/>
          <w:szCs w:val="28"/>
          <w:shd w:val="clear" w:fill="FFFFFF"/>
          <w:vertAlign w:val="baseline"/>
        </w:rPr>
        <w:t xml:space="preserve"> </w:t>
      </w:r>
      <w:r>
        <w:rPr>
          <w:rFonts w:hint="eastAsia" w:ascii="宋体" w:hAnsi="宋体" w:eastAsia="宋体" w:cs="宋体"/>
          <w:b w:val="0"/>
          <w:bCs w:val="0"/>
          <w:i w:val="0"/>
          <w:iCs w:val="0"/>
          <w:color w:val="000000"/>
          <w:spacing w:val="0"/>
          <w:w w:val="100"/>
          <w:sz w:val="24"/>
          <w:szCs w:val="24"/>
          <w:vertAlign w:val="baseline"/>
        </w:rPr>
        <w:t>结构方程模型作为一种处理复杂多变量关系的强力统计工具，能够有效处理潜变量（Latent Variables）与观测变量（Observed Variables）之间的测量误差，并量化变量间的直接与间接效应 。在本研究中，SEM 主要用于回答“哪些维度的服务质量决定了市民的整体满意度”这一宏观问题。</w:t>
      </w:r>
      <w:r>
        <w:rPr>
          <w:rFonts w:hint="eastAsia" w:ascii="宋体" w:hAnsi="宋体" w:eastAsia="宋体" w:cs="宋体"/>
          <w:b w:val="0"/>
          <w:bCs w:val="0"/>
          <w:i w:val="0"/>
          <w:iCs w:val="0"/>
          <w:color w:val="000000"/>
          <w:spacing w:val="0"/>
          <w:w w:val="100"/>
          <w:sz w:val="24"/>
          <w:szCs w:val="24"/>
          <w:vertAlign w:val="baseline"/>
        </w:rPr>
        <w:br w:type="textWrapping"/>
      </w:r>
      <w:r>
        <w:rPr>
          <w:rFonts w:hint="eastAsia" w:ascii="宋体" w:hAnsi="宋体" w:eastAsia="宋体" w:cs="宋体"/>
          <w:b w:val="0"/>
          <w:bCs w:val="0"/>
          <w:i w:val="0"/>
          <w:iCs w:val="0"/>
          <w:color w:val="000000"/>
          <w:spacing w:val="0"/>
          <w:w w:val="100"/>
          <w:sz w:val="24"/>
          <w:szCs w:val="24"/>
          <w:vertAlign w:val="baseline"/>
        </w:rPr>
        <w:t>1.理论模型构建与假设提出</w:t>
      </w:r>
      <w:r>
        <w:rPr>
          <w:rFonts w:hint="eastAsia" w:ascii="宋体" w:hAnsi="宋体" w:eastAsia="宋体" w:cs="宋体"/>
          <w:b w:val="0"/>
          <w:bCs w:val="0"/>
          <w:i w:val="0"/>
          <w:iCs w:val="0"/>
          <w:color w:val="000000"/>
          <w:spacing w:val="0"/>
          <w:w w:val="100"/>
          <w:sz w:val="24"/>
          <w:szCs w:val="24"/>
          <w:vertAlign w:val="baseline"/>
        </w:rPr>
        <w:br w:type="textWrapping"/>
      </w:r>
      <w:r>
        <w:rPr>
          <w:rFonts w:hint="eastAsia" w:ascii="宋体" w:hAnsi="宋体" w:eastAsia="宋体" w:cs="宋体"/>
          <w:b w:val="0"/>
          <w:bCs w:val="0"/>
          <w:i w:val="0"/>
          <w:iCs w:val="0"/>
          <w:color w:val="000000"/>
          <w:spacing w:val="0"/>
          <w:w w:val="100"/>
          <w:sz w:val="24"/>
          <w:szCs w:val="24"/>
          <w:vertAlign w:val="baseline"/>
        </w:rPr>
        <w:t xml:space="preserve"> 本研究基于 ACSI（美国顾客满意度指数）模型理论框架，并结合上海“15分钟社区生活圈”的建设实际及《市民健身驿站建设导则》 ，构建了服务效能影响机制的理论模型。该模型包含四个外生潜变量（Exogenous Latent Variables）和一个内生潜变量（Endogenous Latent Variable）。</w:t>
      </w:r>
      <w:r>
        <w:rPr>
          <w:rFonts w:hint="eastAsia" w:ascii="宋体" w:hAnsi="宋体" w:eastAsia="宋体" w:cs="宋体"/>
          <w:b w:val="0"/>
          <w:bCs w:val="0"/>
          <w:i w:val="0"/>
          <w:iCs w:val="0"/>
          <w:color w:val="000000"/>
          <w:spacing w:val="0"/>
          <w:w w:val="100"/>
          <w:sz w:val="24"/>
          <w:szCs w:val="24"/>
          <w:vertAlign w:val="baseline"/>
        </w:rPr>
        <w:br w:type="textWrapping"/>
      </w:r>
      <w:r>
        <w:rPr>
          <w:rFonts w:hint="eastAsia" w:ascii="宋体" w:hAnsi="宋体" w:eastAsia="宋体" w:cs="宋体"/>
          <w:b w:val="0"/>
          <w:bCs w:val="0"/>
          <w:i w:val="0"/>
          <w:iCs w:val="0"/>
          <w:color w:val="000000"/>
          <w:spacing w:val="0"/>
          <w:w w:val="100"/>
          <w:sz w:val="24"/>
          <w:szCs w:val="24"/>
          <w:vertAlign w:val="baseline"/>
        </w:rPr>
        <w:t>2.潜变量定义与观测指标设定：</w:t>
      </w:r>
    </w:p>
    <w:p w14:paraId="39C999AA">
      <w:pPr>
        <w:pStyle w:val="2"/>
        <w:keepNext w:val="0"/>
        <w:keepLines w:val="0"/>
        <w:widowControl/>
        <w:numPr>
          <w:ilvl w:val="0"/>
          <w:numId w:val="13"/>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 xml:space="preserve">硬件设施（Hardware）： </w:t>
      </w:r>
      <w:r>
        <w:rPr>
          <w:rFonts w:hint="eastAsia" w:ascii="宋体" w:hAnsi="宋体" w:eastAsia="宋体" w:cs="宋体"/>
          <w:b w:val="0"/>
          <w:bCs w:val="0"/>
          <w:i w:val="0"/>
          <w:iCs w:val="0"/>
          <w:color w:val="000000"/>
          <w:spacing w:val="0"/>
          <w:w w:val="100"/>
          <w:sz w:val="24"/>
          <w:szCs w:val="24"/>
          <w:vertAlign w:val="baseline"/>
        </w:rPr>
        <w:t>作为健身驿站的物质基础，是市民感知的物理载体。根据探索性因子分析（EFA）结果，其观测指标包括：</w:t>
      </w:r>
    </w:p>
    <w:p w14:paraId="52C1ECD3">
      <w:pPr>
        <w:pStyle w:val="2"/>
        <w:keepNext w:val="0"/>
        <w:keepLines w:val="0"/>
        <w:widowControl/>
        <w:numPr>
          <w:ilvl w:val="0"/>
          <w:numId w:val="14"/>
        </w:numPr>
        <w:suppressLineNumbers w:val="0"/>
        <w:spacing w:before="156" w:beforeAutospacing="0" w:after="0" w:afterAutospacing="0" w:line="13" w:lineRule="atLeast"/>
        <w:ind w:left="840" w:right="0" w:hanging="420"/>
        <w:jc w:val="both"/>
      </w:pPr>
      <w:r>
        <w:rPr>
          <w:rFonts w:hint="eastAsia" w:ascii="宋体" w:hAnsi="宋体" w:eastAsia="宋体" w:cs="宋体"/>
          <w:b/>
          <w:bCs/>
          <w:i w:val="0"/>
          <w:iCs w:val="0"/>
          <w:color w:val="000000"/>
          <w:spacing w:val="0"/>
          <w:w w:val="100"/>
          <w:sz w:val="24"/>
          <w:szCs w:val="24"/>
          <w:vertAlign w:val="baseline"/>
        </w:rPr>
        <w:t>设施种类丰富度（Q14）：</w:t>
      </w:r>
      <w:r>
        <w:rPr>
          <w:rFonts w:hint="eastAsia" w:ascii="宋体" w:hAnsi="宋体" w:eastAsia="宋体" w:cs="宋体"/>
          <w:b w:val="0"/>
          <w:bCs w:val="0"/>
          <w:i w:val="0"/>
          <w:iCs w:val="0"/>
          <w:color w:val="000000"/>
          <w:spacing w:val="0"/>
          <w:w w:val="100"/>
          <w:sz w:val="24"/>
          <w:szCs w:val="24"/>
          <w:vertAlign w:val="baseline"/>
        </w:rPr>
        <w:t>衡量器械是否能满足有氧、无氧等多元需求。</w:t>
      </w:r>
    </w:p>
    <w:p w14:paraId="339887E2">
      <w:pPr>
        <w:pStyle w:val="2"/>
        <w:keepNext w:val="0"/>
        <w:keepLines w:val="0"/>
        <w:widowControl/>
        <w:numPr>
          <w:ilvl w:val="0"/>
          <w:numId w:val="14"/>
        </w:numPr>
        <w:suppressLineNumbers w:val="0"/>
        <w:spacing w:before="156" w:beforeAutospacing="0" w:after="0" w:afterAutospacing="0" w:line="13" w:lineRule="atLeast"/>
        <w:ind w:left="840" w:right="0" w:hanging="420"/>
        <w:jc w:val="both"/>
      </w:pPr>
      <w:r>
        <w:rPr>
          <w:rFonts w:hint="eastAsia" w:ascii="宋体" w:hAnsi="宋体" w:eastAsia="宋体" w:cs="宋体"/>
          <w:b/>
          <w:bCs/>
          <w:i w:val="0"/>
          <w:iCs w:val="0"/>
          <w:color w:val="000000"/>
          <w:spacing w:val="0"/>
          <w:w w:val="100"/>
          <w:sz w:val="24"/>
          <w:szCs w:val="24"/>
          <w:vertAlign w:val="baseline"/>
        </w:rPr>
        <w:t>器材维护状况（Q15）：</w:t>
      </w:r>
      <w:r>
        <w:rPr>
          <w:rFonts w:hint="eastAsia" w:ascii="宋体" w:hAnsi="宋体" w:eastAsia="宋体" w:cs="宋体"/>
          <w:b w:val="0"/>
          <w:bCs w:val="0"/>
          <w:i w:val="0"/>
          <w:iCs w:val="0"/>
          <w:color w:val="000000"/>
          <w:spacing w:val="0"/>
          <w:w w:val="100"/>
          <w:sz w:val="24"/>
          <w:szCs w:val="24"/>
          <w:vertAlign w:val="baseline"/>
        </w:rPr>
        <w:t>衡量设备的完好率与安全性。</w:t>
      </w:r>
    </w:p>
    <w:p w14:paraId="69096288">
      <w:pPr>
        <w:pStyle w:val="2"/>
        <w:keepNext w:val="0"/>
        <w:keepLines w:val="0"/>
        <w:widowControl/>
        <w:numPr>
          <w:ilvl w:val="0"/>
          <w:numId w:val="14"/>
        </w:numPr>
        <w:suppressLineNumbers w:val="0"/>
        <w:spacing w:before="156" w:beforeAutospacing="0" w:after="0" w:afterAutospacing="0" w:line="13" w:lineRule="atLeast"/>
        <w:ind w:left="840" w:right="0" w:hanging="420"/>
        <w:jc w:val="both"/>
      </w:pPr>
      <w:r>
        <w:rPr>
          <w:rFonts w:hint="eastAsia" w:ascii="宋体" w:hAnsi="宋体" w:eastAsia="宋体" w:cs="宋体"/>
          <w:b/>
          <w:bCs/>
          <w:i w:val="0"/>
          <w:iCs w:val="0"/>
          <w:color w:val="000000"/>
          <w:spacing w:val="0"/>
          <w:w w:val="100"/>
          <w:sz w:val="24"/>
          <w:szCs w:val="24"/>
          <w:vertAlign w:val="baseline"/>
        </w:rPr>
        <w:t>场馆环境卫生（Q16）：</w:t>
      </w:r>
      <w:r>
        <w:rPr>
          <w:rFonts w:hint="eastAsia" w:ascii="宋体" w:hAnsi="宋体" w:eastAsia="宋体" w:cs="宋体"/>
          <w:b w:val="0"/>
          <w:bCs w:val="0"/>
          <w:i w:val="0"/>
          <w:iCs w:val="0"/>
          <w:color w:val="000000"/>
          <w:spacing w:val="0"/>
          <w:w w:val="100"/>
          <w:sz w:val="24"/>
          <w:szCs w:val="24"/>
          <w:vertAlign w:val="baseline"/>
        </w:rPr>
        <w:t>衡量通风、照明及清洁程度。</w:t>
      </w:r>
    </w:p>
    <w:p w14:paraId="15388B25">
      <w:pPr>
        <w:pStyle w:val="2"/>
        <w:keepNext w:val="0"/>
        <w:keepLines w:val="0"/>
        <w:widowControl/>
        <w:numPr>
          <w:ilvl w:val="0"/>
          <w:numId w:val="14"/>
        </w:numPr>
        <w:suppressLineNumbers w:val="0"/>
        <w:spacing w:before="156" w:beforeAutospacing="0" w:after="0" w:afterAutospacing="0" w:line="13" w:lineRule="atLeast"/>
        <w:ind w:left="840" w:right="0" w:hanging="420"/>
        <w:jc w:val="both"/>
      </w:pPr>
      <w:r>
        <w:rPr>
          <w:rFonts w:hint="eastAsia" w:ascii="宋体" w:hAnsi="宋体" w:eastAsia="宋体" w:cs="宋体"/>
          <w:b/>
          <w:bCs/>
          <w:i w:val="0"/>
          <w:iCs w:val="0"/>
          <w:color w:val="000000"/>
          <w:spacing w:val="0"/>
          <w:w w:val="100"/>
          <w:sz w:val="24"/>
          <w:szCs w:val="24"/>
          <w:vertAlign w:val="baseline"/>
        </w:rPr>
        <w:t>配套设施完善度（Q23）：</w:t>
      </w:r>
      <w:r>
        <w:rPr>
          <w:rFonts w:hint="eastAsia" w:ascii="宋体" w:hAnsi="宋体" w:eastAsia="宋体" w:cs="宋体"/>
          <w:b w:val="0"/>
          <w:bCs w:val="0"/>
          <w:i w:val="0"/>
          <w:iCs w:val="0"/>
          <w:color w:val="000000"/>
          <w:spacing w:val="0"/>
          <w:w w:val="100"/>
          <w:sz w:val="24"/>
          <w:szCs w:val="24"/>
          <w:vertAlign w:val="baseline"/>
        </w:rPr>
        <w:t xml:space="preserve">衡量更衣室、饮水机、储物柜等辅助设施的配置 </w:t>
      </w:r>
    </w:p>
    <w:p w14:paraId="791647A3">
      <w:pPr>
        <w:pStyle w:val="2"/>
        <w:keepNext w:val="0"/>
        <w:keepLines w:val="0"/>
        <w:widowControl/>
        <w:numPr>
          <w:ilvl w:val="0"/>
          <w:numId w:val="13"/>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 xml:space="preserve">软性服务（Service）： </w:t>
      </w:r>
      <w:r>
        <w:rPr>
          <w:rFonts w:hint="eastAsia" w:ascii="宋体" w:hAnsi="宋体" w:eastAsia="宋体" w:cs="宋体"/>
          <w:b w:val="0"/>
          <w:bCs w:val="0"/>
          <w:i w:val="0"/>
          <w:iCs w:val="0"/>
          <w:color w:val="000000"/>
          <w:spacing w:val="0"/>
          <w:w w:val="100"/>
          <w:sz w:val="24"/>
          <w:szCs w:val="24"/>
          <w:vertAlign w:val="baseline"/>
        </w:rPr>
        <w:t>反映驿站的运营管理水平与人文关怀。其观测指标包括：</w:t>
      </w:r>
    </w:p>
    <w:p w14:paraId="02A3A966">
      <w:pPr>
        <w:pStyle w:val="2"/>
        <w:keepNext w:val="0"/>
        <w:keepLines w:val="0"/>
        <w:widowControl/>
        <w:numPr>
          <w:ilvl w:val="0"/>
          <w:numId w:val="15"/>
        </w:numPr>
        <w:suppressLineNumbers w:val="0"/>
        <w:spacing w:before="156" w:beforeAutospacing="0" w:after="0" w:afterAutospacing="0" w:line="13" w:lineRule="atLeast"/>
        <w:ind w:left="902" w:right="0" w:hanging="420"/>
        <w:jc w:val="both"/>
      </w:pPr>
      <w:r>
        <w:rPr>
          <w:rFonts w:hint="eastAsia" w:ascii="宋体" w:hAnsi="宋体" w:eastAsia="宋体" w:cs="宋体"/>
          <w:b/>
          <w:bCs/>
          <w:i w:val="0"/>
          <w:iCs w:val="0"/>
          <w:color w:val="000000"/>
          <w:spacing w:val="0"/>
          <w:w w:val="100"/>
          <w:sz w:val="24"/>
          <w:szCs w:val="24"/>
          <w:vertAlign w:val="baseline"/>
        </w:rPr>
        <w:t>营业时间合理性（Q21）：</w:t>
      </w:r>
      <w:r>
        <w:rPr>
          <w:rFonts w:hint="eastAsia" w:ascii="宋体" w:hAnsi="宋体" w:eastAsia="宋体" w:cs="宋体"/>
          <w:b w:val="0"/>
          <w:bCs w:val="0"/>
          <w:i w:val="0"/>
          <w:iCs w:val="0"/>
          <w:color w:val="000000"/>
          <w:spacing w:val="0"/>
          <w:w w:val="100"/>
          <w:sz w:val="24"/>
          <w:szCs w:val="24"/>
          <w:vertAlign w:val="baseline"/>
        </w:rPr>
        <w:t>衡量开放时段是否契合市民作息。</w:t>
      </w:r>
    </w:p>
    <w:p w14:paraId="7B7D18C7">
      <w:pPr>
        <w:pStyle w:val="2"/>
        <w:keepNext w:val="0"/>
        <w:keepLines w:val="0"/>
        <w:widowControl/>
        <w:numPr>
          <w:ilvl w:val="0"/>
          <w:numId w:val="15"/>
        </w:numPr>
        <w:suppressLineNumbers w:val="0"/>
        <w:spacing w:before="156" w:beforeAutospacing="0" w:after="0" w:afterAutospacing="0" w:line="13" w:lineRule="atLeast"/>
        <w:ind w:left="902" w:right="0" w:hanging="420"/>
        <w:jc w:val="both"/>
      </w:pPr>
      <w:r>
        <w:rPr>
          <w:rFonts w:hint="eastAsia" w:ascii="宋体" w:hAnsi="宋体" w:eastAsia="宋体" w:cs="宋体"/>
          <w:b/>
          <w:bCs/>
          <w:i w:val="0"/>
          <w:iCs w:val="0"/>
          <w:color w:val="000000"/>
          <w:spacing w:val="0"/>
          <w:w w:val="100"/>
          <w:sz w:val="24"/>
          <w:szCs w:val="24"/>
          <w:vertAlign w:val="baseline"/>
        </w:rPr>
        <w:t>价格费用接受度（Q22）：</w:t>
      </w:r>
      <w:r>
        <w:rPr>
          <w:rFonts w:hint="eastAsia" w:ascii="宋体" w:hAnsi="宋体" w:eastAsia="宋体" w:cs="宋体"/>
          <w:b w:val="0"/>
          <w:bCs w:val="0"/>
          <w:i w:val="0"/>
          <w:iCs w:val="0"/>
          <w:color w:val="000000"/>
          <w:spacing w:val="0"/>
          <w:w w:val="100"/>
          <w:sz w:val="24"/>
          <w:szCs w:val="24"/>
          <w:vertAlign w:val="baseline"/>
        </w:rPr>
        <w:t>衡量公益性定价的普惠程度。</w:t>
      </w:r>
    </w:p>
    <w:p w14:paraId="32987856">
      <w:pPr>
        <w:pStyle w:val="2"/>
        <w:keepNext w:val="0"/>
        <w:keepLines w:val="0"/>
        <w:widowControl/>
        <w:numPr>
          <w:ilvl w:val="0"/>
          <w:numId w:val="15"/>
        </w:numPr>
        <w:suppressLineNumbers w:val="0"/>
        <w:spacing w:before="156" w:beforeAutospacing="0" w:after="0" w:afterAutospacing="0" w:line="13" w:lineRule="atLeast"/>
        <w:ind w:left="902" w:right="0" w:hanging="420"/>
        <w:jc w:val="both"/>
      </w:pPr>
      <w:r>
        <w:rPr>
          <w:rFonts w:hint="eastAsia" w:ascii="宋体" w:hAnsi="宋体" w:eastAsia="宋体" w:cs="宋体"/>
          <w:b/>
          <w:bCs/>
          <w:i w:val="0"/>
          <w:iCs w:val="0"/>
          <w:color w:val="000000"/>
          <w:spacing w:val="0"/>
          <w:w w:val="100"/>
          <w:sz w:val="24"/>
          <w:szCs w:val="24"/>
          <w:vertAlign w:val="baseline"/>
        </w:rPr>
        <w:t>人员服务专业性（Q24）</w:t>
      </w:r>
      <w:r>
        <w:rPr>
          <w:rFonts w:hint="eastAsia" w:ascii="宋体" w:hAnsi="宋体" w:eastAsia="宋体" w:cs="宋体"/>
          <w:b w:val="0"/>
          <w:bCs w:val="0"/>
          <w:i w:val="0"/>
          <w:iCs w:val="0"/>
          <w:color w:val="000000"/>
          <w:spacing w:val="0"/>
          <w:w w:val="100"/>
          <w:sz w:val="24"/>
          <w:szCs w:val="24"/>
          <w:vertAlign w:val="baseline"/>
        </w:rPr>
        <w:t>：衡量指导人员或管理人员的服务态度与能力。</w:t>
      </w:r>
    </w:p>
    <w:p w14:paraId="0CD67F63">
      <w:pPr>
        <w:pStyle w:val="2"/>
        <w:keepNext w:val="0"/>
        <w:keepLines w:val="0"/>
        <w:widowControl/>
        <w:numPr>
          <w:ilvl w:val="0"/>
          <w:numId w:val="15"/>
        </w:numPr>
        <w:suppressLineNumbers w:val="0"/>
        <w:spacing w:before="156" w:beforeAutospacing="0" w:after="0" w:afterAutospacing="0" w:line="13" w:lineRule="atLeast"/>
        <w:ind w:left="902" w:right="0" w:hanging="420"/>
        <w:jc w:val="both"/>
      </w:pPr>
      <w:r>
        <w:rPr>
          <w:rFonts w:hint="eastAsia" w:ascii="宋体" w:hAnsi="宋体" w:eastAsia="宋体" w:cs="宋体"/>
          <w:b/>
          <w:bCs/>
          <w:i w:val="0"/>
          <w:iCs w:val="0"/>
          <w:color w:val="000000"/>
          <w:spacing w:val="0"/>
          <w:w w:val="100"/>
          <w:sz w:val="24"/>
          <w:szCs w:val="24"/>
          <w:vertAlign w:val="baseline"/>
        </w:rPr>
        <w:t>信息发布及时性（Q25）：</w:t>
      </w:r>
      <w:r>
        <w:rPr>
          <w:rFonts w:hint="eastAsia" w:ascii="宋体" w:hAnsi="宋体" w:eastAsia="宋体" w:cs="宋体"/>
          <w:b w:val="0"/>
          <w:bCs w:val="0"/>
          <w:i w:val="0"/>
          <w:iCs w:val="0"/>
          <w:color w:val="000000"/>
          <w:spacing w:val="0"/>
          <w:w w:val="100"/>
          <w:sz w:val="24"/>
          <w:szCs w:val="24"/>
          <w:vertAlign w:val="baseline"/>
        </w:rPr>
        <w:t>衡量活动通知、客流信息的触达率 。</w:t>
      </w:r>
    </w:p>
    <w:p w14:paraId="04423802">
      <w:pPr>
        <w:pStyle w:val="2"/>
        <w:keepNext w:val="0"/>
        <w:keepLines w:val="0"/>
        <w:widowControl/>
        <w:numPr>
          <w:ilvl w:val="0"/>
          <w:numId w:val="13"/>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数智体验（Smart）：</w:t>
      </w:r>
      <w:r>
        <w:rPr>
          <w:rFonts w:hint="eastAsia" w:ascii="宋体" w:hAnsi="宋体" w:eastAsia="宋体" w:cs="宋体"/>
          <w:b w:val="0"/>
          <w:bCs w:val="0"/>
          <w:i w:val="0"/>
          <w:iCs w:val="0"/>
          <w:color w:val="000000"/>
          <w:spacing w:val="0"/>
          <w:w w:val="100"/>
          <w:sz w:val="24"/>
          <w:szCs w:val="24"/>
          <w:vertAlign w:val="baseline"/>
        </w:rPr>
        <w:t xml:space="preserve"> 体现上海城市数字化转型在体育领域的落地成果。其观测指标包括：</w:t>
      </w:r>
    </w:p>
    <w:p w14:paraId="3EBC7C19">
      <w:pPr>
        <w:pStyle w:val="2"/>
        <w:keepNext w:val="0"/>
        <w:keepLines w:val="0"/>
        <w:widowControl/>
        <w:numPr>
          <w:ilvl w:val="0"/>
          <w:numId w:val="16"/>
        </w:numPr>
        <w:suppressLineNumbers w:val="0"/>
        <w:spacing w:before="156" w:beforeAutospacing="0" w:after="0" w:afterAutospacing="0" w:line="13" w:lineRule="atLeast"/>
        <w:ind w:left="902" w:right="0" w:hanging="420"/>
        <w:jc w:val="both"/>
      </w:pPr>
      <w:r>
        <w:rPr>
          <w:rFonts w:hint="eastAsia" w:ascii="宋体" w:hAnsi="宋体" w:eastAsia="宋体" w:cs="宋体"/>
          <w:b/>
          <w:bCs/>
          <w:i w:val="0"/>
          <w:iCs w:val="0"/>
          <w:color w:val="000000"/>
          <w:spacing w:val="0"/>
          <w:w w:val="100"/>
          <w:sz w:val="24"/>
          <w:szCs w:val="24"/>
          <w:vertAlign w:val="baseline"/>
        </w:rPr>
        <w:t>智能设备丰富度（Q16_Smart_Device）：</w:t>
      </w:r>
      <w:r>
        <w:rPr>
          <w:rFonts w:hint="eastAsia" w:ascii="宋体" w:hAnsi="宋体" w:eastAsia="宋体" w:cs="宋体"/>
          <w:b w:val="0"/>
          <w:bCs w:val="0"/>
          <w:i w:val="0"/>
          <w:iCs w:val="0"/>
          <w:color w:val="000000"/>
          <w:spacing w:val="0"/>
          <w:w w:val="100"/>
          <w:sz w:val="24"/>
          <w:szCs w:val="24"/>
          <w:vertAlign w:val="baseline"/>
        </w:rPr>
        <w:t>衡量人脸识别、智能体测仪等硬件的配置。</w:t>
      </w:r>
    </w:p>
    <w:p w14:paraId="33F630D3">
      <w:pPr>
        <w:pStyle w:val="2"/>
        <w:keepNext w:val="0"/>
        <w:keepLines w:val="0"/>
        <w:widowControl/>
        <w:numPr>
          <w:ilvl w:val="0"/>
          <w:numId w:val="16"/>
        </w:numPr>
        <w:suppressLineNumbers w:val="0"/>
        <w:spacing w:before="156" w:beforeAutospacing="0" w:after="0" w:afterAutospacing="0" w:line="13" w:lineRule="atLeast"/>
        <w:ind w:left="902" w:right="0" w:hanging="420"/>
        <w:jc w:val="both"/>
      </w:pPr>
      <w:r>
        <w:rPr>
          <w:rFonts w:hint="eastAsia" w:ascii="宋体" w:hAnsi="宋体" w:eastAsia="宋体" w:cs="宋体"/>
          <w:b/>
          <w:bCs/>
          <w:i w:val="0"/>
          <w:iCs w:val="0"/>
          <w:color w:val="000000"/>
          <w:spacing w:val="0"/>
          <w:w w:val="100"/>
          <w:sz w:val="24"/>
          <w:szCs w:val="24"/>
          <w:vertAlign w:val="baseline"/>
        </w:rPr>
        <w:t>运动数据服务闭环（Q16_Smart_Data）：</w:t>
      </w:r>
      <w:r>
        <w:rPr>
          <w:rFonts w:hint="eastAsia" w:ascii="宋体" w:hAnsi="宋体" w:eastAsia="宋体" w:cs="宋体"/>
          <w:b w:val="0"/>
          <w:bCs w:val="0"/>
          <w:i w:val="0"/>
          <w:iCs w:val="0"/>
          <w:color w:val="000000"/>
          <w:spacing w:val="0"/>
          <w:w w:val="100"/>
          <w:sz w:val="24"/>
          <w:szCs w:val="24"/>
          <w:vertAlign w:val="baseline"/>
        </w:rPr>
        <w:t>衡量运动数据采集、分析及反馈的数字化能力 。</w:t>
      </w:r>
    </w:p>
    <w:p w14:paraId="6E35541E">
      <w:pPr>
        <w:pStyle w:val="2"/>
        <w:keepNext w:val="0"/>
        <w:keepLines w:val="0"/>
        <w:widowControl/>
        <w:numPr>
          <w:ilvl w:val="0"/>
          <w:numId w:val="13"/>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 xml:space="preserve">便利程度（Convenience）： </w:t>
      </w:r>
      <w:r>
        <w:rPr>
          <w:rFonts w:hint="eastAsia" w:ascii="宋体" w:hAnsi="宋体" w:eastAsia="宋体" w:cs="宋体"/>
          <w:b w:val="0"/>
          <w:bCs w:val="0"/>
          <w:i w:val="0"/>
          <w:iCs w:val="0"/>
          <w:color w:val="000000"/>
          <w:spacing w:val="0"/>
          <w:w w:val="100"/>
          <w:sz w:val="24"/>
          <w:szCs w:val="24"/>
          <w:vertAlign w:val="baseline"/>
        </w:rPr>
        <w:t>衡量空间规划的合理性与可达性。其观测指标包括：</w:t>
      </w:r>
    </w:p>
    <w:p w14:paraId="2E088A76">
      <w:pPr>
        <w:pStyle w:val="2"/>
        <w:keepNext w:val="0"/>
        <w:keepLines w:val="0"/>
        <w:widowControl/>
        <w:numPr>
          <w:ilvl w:val="0"/>
          <w:numId w:val="17"/>
        </w:numPr>
        <w:suppressLineNumbers w:val="0"/>
        <w:spacing w:before="156" w:beforeAutospacing="0" w:after="0" w:afterAutospacing="0" w:line="13" w:lineRule="atLeast"/>
        <w:ind w:left="840" w:right="0" w:hanging="420"/>
        <w:jc w:val="both"/>
      </w:pPr>
      <w:r>
        <w:rPr>
          <w:rFonts w:hint="eastAsia" w:ascii="宋体" w:hAnsi="宋体" w:eastAsia="宋体" w:cs="宋体"/>
          <w:b/>
          <w:bCs/>
          <w:i w:val="0"/>
          <w:iCs w:val="0"/>
          <w:color w:val="000000"/>
          <w:spacing w:val="0"/>
          <w:w w:val="100"/>
          <w:sz w:val="24"/>
          <w:szCs w:val="24"/>
          <w:vertAlign w:val="baseline"/>
        </w:rPr>
        <w:t>距离便利性（Q13a）：</w:t>
      </w:r>
      <w:r>
        <w:rPr>
          <w:rFonts w:hint="eastAsia" w:ascii="宋体" w:hAnsi="宋体" w:eastAsia="宋体" w:cs="宋体"/>
          <w:b w:val="0"/>
          <w:bCs w:val="0"/>
          <w:i w:val="0"/>
          <w:iCs w:val="0"/>
          <w:color w:val="000000"/>
          <w:spacing w:val="0"/>
          <w:w w:val="100"/>
          <w:sz w:val="24"/>
          <w:szCs w:val="24"/>
          <w:vertAlign w:val="baseline"/>
        </w:rPr>
        <w:t>衡量从家/单位到达驿站的步行距离。</w:t>
      </w:r>
    </w:p>
    <w:p w14:paraId="7B034C4B">
      <w:pPr>
        <w:pStyle w:val="2"/>
        <w:keepNext w:val="0"/>
        <w:keepLines w:val="0"/>
        <w:widowControl/>
        <w:numPr>
          <w:ilvl w:val="0"/>
          <w:numId w:val="17"/>
        </w:numPr>
        <w:suppressLineNumbers w:val="0"/>
        <w:spacing w:before="156" w:beforeAutospacing="0" w:after="0" w:afterAutospacing="0" w:line="13" w:lineRule="atLeast"/>
        <w:ind w:left="840" w:right="0" w:hanging="420"/>
        <w:jc w:val="both"/>
      </w:pPr>
      <w:r>
        <w:rPr>
          <w:rFonts w:hint="eastAsia" w:ascii="宋体" w:hAnsi="宋体" w:eastAsia="宋体" w:cs="宋体"/>
          <w:b/>
          <w:bCs/>
          <w:i w:val="0"/>
          <w:iCs w:val="0"/>
          <w:color w:val="000000"/>
          <w:spacing w:val="0"/>
          <w:w w:val="100"/>
          <w:sz w:val="24"/>
          <w:szCs w:val="24"/>
          <w:vertAlign w:val="baseline"/>
        </w:rPr>
        <w:t>交通通达性（Q13b）：</w:t>
      </w:r>
      <w:r>
        <w:rPr>
          <w:rFonts w:hint="eastAsia" w:ascii="宋体" w:hAnsi="宋体" w:eastAsia="宋体" w:cs="宋体"/>
          <w:b w:val="0"/>
          <w:bCs w:val="0"/>
          <w:i w:val="0"/>
          <w:iCs w:val="0"/>
          <w:color w:val="000000"/>
          <w:spacing w:val="0"/>
          <w:w w:val="100"/>
          <w:sz w:val="24"/>
          <w:szCs w:val="24"/>
          <w:vertAlign w:val="baseline"/>
        </w:rPr>
        <w:t>衡量周边公共交通的便捷程度 。</w:t>
      </w:r>
    </w:p>
    <w:p w14:paraId="31AEEB4B">
      <w:pPr>
        <w:pStyle w:val="2"/>
        <w:keepNext w:val="0"/>
        <w:keepLines w:val="0"/>
        <w:widowControl/>
        <w:suppressLineNumbers w:val="0"/>
        <w:spacing w:before="156" w:beforeAutospacing="0" w:after="0" w:afterAutospacing="0" w:line="13" w:lineRule="atLeast"/>
        <w:ind w:left="420" w:right="0"/>
        <w:jc w:val="both"/>
      </w:pPr>
      <w:r>
        <w:rPr>
          <w:rFonts w:hint="eastAsia" w:ascii="宋体" w:hAnsi="宋体" w:eastAsia="宋体" w:cs="宋体"/>
          <w:b w:val="0"/>
          <w:bCs w:val="0"/>
          <w:i w:val="0"/>
          <w:iCs w:val="0"/>
          <w:color w:val="000000"/>
          <w:spacing w:val="0"/>
          <w:w w:val="100"/>
          <w:sz w:val="24"/>
          <w:szCs w:val="24"/>
          <w:vertAlign w:val="baseline"/>
        </w:rPr>
        <w:t>2. 研究假设：</w:t>
      </w:r>
      <w:r>
        <w:rPr>
          <w:rFonts w:hint="eastAsia" w:ascii="宋体" w:hAnsi="宋体" w:eastAsia="宋体" w:cs="宋体"/>
          <w:b w:val="0"/>
          <w:bCs w:val="0"/>
          <w:i w:val="0"/>
          <w:iCs w:val="0"/>
          <w:color w:val="000000"/>
          <w:spacing w:val="0"/>
          <w:w w:val="100"/>
          <w:sz w:val="24"/>
          <w:szCs w:val="24"/>
          <w:vertAlign w:val="baseline"/>
        </w:rPr>
        <w:br w:type="textWrapping"/>
      </w:r>
      <w:r>
        <w:rPr>
          <w:rFonts w:hint="eastAsia" w:ascii="宋体" w:hAnsi="宋体" w:eastAsia="宋体" w:cs="宋体"/>
          <w:b w:val="0"/>
          <w:bCs w:val="0"/>
          <w:i w:val="0"/>
          <w:iCs w:val="0"/>
          <w:color w:val="000000"/>
          <w:spacing w:val="0"/>
          <w:w w:val="100"/>
          <w:sz w:val="24"/>
          <w:szCs w:val="24"/>
          <w:vertAlign w:val="baseline"/>
        </w:rPr>
        <w:t>基于现有文献与实地调研感知，本研究提出以下核心假设：</w:t>
      </w:r>
    </w:p>
    <w:p w14:paraId="0225F9A0">
      <w:pPr>
        <w:pStyle w:val="2"/>
        <w:keepNext w:val="0"/>
        <w:keepLines w:val="0"/>
        <w:widowControl/>
        <w:numPr>
          <w:ilvl w:val="0"/>
          <w:numId w:val="18"/>
        </w:numPr>
        <w:suppressLineNumbers w:val="0"/>
        <w:spacing w:before="156" w:beforeAutospacing="0" w:after="0" w:afterAutospacing="0" w:line="13" w:lineRule="atLeast"/>
        <w:ind w:left="840" w:right="0" w:hanging="420"/>
        <w:jc w:val="both"/>
      </w:pPr>
      <w:r>
        <w:rPr>
          <w:rFonts w:hint="eastAsia" w:ascii="宋体" w:hAnsi="宋体" w:eastAsia="宋体" w:cs="宋体"/>
          <w:b w:val="0"/>
          <w:bCs w:val="0"/>
          <w:i w:val="0"/>
          <w:iCs w:val="0"/>
          <w:color w:val="000000"/>
          <w:spacing w:val="0"/>
          <w:w w:val="100"/>
          <w:sz w:val="24"/>
          <w:szCs w:val="24"/>
          <w:vertAlign w:val="baseline"/>
        </w:rPr>
        <w:t>H1： 硬件设施作为服务的基础条件，对市民满意度产生显著的正向影响。</w:t>
      </w:r>
    </w:p>
    <w:p w14:paraId="4670E04F">
      <w:pPr>
        <w:pStyle w:val="2"/>
        <w:keepNext w:val="0"/>
        <w:keepLines w:val="0"/>
        <w:widowControl/>
        <w:numPr>
          <w:ilvl w:val="0"/>
          <w:numId w:val="18"/>
        </w:numPr>
        <w:suppressLineNumbers w:val="0"/>
        <w:spacing w:before="156" w:beforeAutospacing="0" w:after="0" w:afterAutospacing="0" w:line="13" w:lineRule="atLeast"/>
        <w:ind w:left="840" w:right="0" w:hanging="420"/>
        <w:jc w:val="both"/>
      </w:pPr>
      <w:r>
        <w:rPr>
          <w:rFonts w:hint="eastAsia" w:ascii="宋体" w:hAnsi="宋体" w:eastAsia="宋体" w:cs="宋体"/>
          <w:b w:val="0"/>
          <w:bCs w:val="0"/>
          <w:i w:val="0"/>
          <w:iCs w:val="0"/>
          <w:color w:val="000000"/>
          <w:spacing w:val="0"/>
          <w:w w:val="100"/>
          <w:sz w:val="24"/>
          <w:szCs w:val="24"/>
          <w:vertAlign w:val="baseline"/>
        </w:rPr>
        <w:t>H2： 软性服务作为服务的核心体验，对市民满意度产生显著的正向影响。</w:t>
      </w:r>
    </w:p>
    <w:p w14:paraId="52BD74F1">
      <w:pPr>
        <w:pStyle w:val="2"/>
        <w:keepNext w:val="0"/>
        <w:keepLines w:val="0"/>
        <w:widowControl/>
        <w:numPr>
          <w:ilvl w:val="0"/>
          <w:numId w:val="18"/>
        </w:numPr>
        <w:suppressLineNumbers w:val="0"/>
        <w:spacing w:before="156" w:beforeAutospacing="0" w:after="0" w:afterAutospacing="0" w:line="13" w:lineRule="atLeast"/>
        <w:ind w:left="840" w:right="0" w:hanging="420"/>
        <w:jc w:val="both"/>
      </w:pPr>
      <w:r>
        <w:rPr>
          <w:rFonts w:hint="eastAsia" w:ascii="宋体" w:hAnsi="宋体" w:eastAsia="宋体" w:cs="宋体"/>
          <w:b w:val="0"/>
          <w:bCs w:val="0"/>
          <w:i w:val="0"/>
          <w:iCs w:val="0"/>
          <w:color w:val="000000"/>
          <w:spacing w:val="0"/>
          <w:w w:val="100"/>
          <w:sz w:val="24"/>
          <w:szCs w:val="24"/>
          <w:vertAlign w:val="baseline"/>
        </w:rPr>
        <w:t>H3： 数智体验作为服务的增值要素，对市民满意度产生显著的正向影响。</w:t>
      </w:r>
    </w:p>
    <w:p w14:paraId="0B76BC64">
      <w:pPr>
        <w:pStyle w:val="2"/>
        <w:keepNext w:val="0"/>
        <w:keepLines w:val="0"/>
        <w:widowControl/>
        <w:numPr>
          <w:ilvl w:val="0"/>
          <w:numId w:val="18"/>
        </w:numPr>
        <w:suppressLineNumbers w:val="0"/>
        <w:spacing w:before="156" w:beforeAutospacing="0" w:after="0" w:afterAutospacing="0" w:line="13" w:lineRule="atLeast"/>
        <w:ind w:left="840" w:right="0" w:hanging="420"/>
        <w:jc w:val="both"/>
      </w:pPr>
      <w:r>
        <w:rPr>
          <w:rFonts w:hint="eastAsia" w:ascii="宋体" w:hAnsi="宋体" w:eastAsia="宋体" w:cs="宋体"/>
          <w:b w:val="0"/>
          <w:bCs w:val="0"/>
          <w:i w:val="0"/>
          <w:iCs w:val="0"/>
          <w:color w:val="000000"/>
          <w:spacing w:val="0"/>
          <w:w w:val="100"/>
          <w:sz w:val="24"/>
          <w:szCs w:val="24"/>
          <w:vertAlign w:val="baseline"/>
        </w:rPr>
        <w:t>H4： 便利程度作为服务的准入门槛，对市民满意度产生显著的正向影响。</w:t>
      </w:r>
    </w:p>
    <w:p w14:paraId="673780A2">
      <w:pPr>
        <w:pStyle w:val="2"/>
        <w:keepNext w:val="0"/>
        <w:keepLines w:val="0"/>
        <w:widowControl/>
        <w:suppressLineNumbers w:val="0"/>
        <w:spacing w:before="156" w:beforeAutospacing="0" w:after="0" w:afterAutospacing="0" w:line="13" w:lineRule="atLeast"/>
        <w:ind w:left="560" w:right="0" w:hanging="560" w:hangingChars="200"/>
        <w:jc w:val="both"/>
      </w:pPr>
      <w:r>
        <w:rPr>
          <w:rFonts w:hint="eastAsia" w:ascii="黑体" w:hAnsi="宋体" w:eastAsia="黑体" w:cs="黑体"/>
          <w:b w:val="0"/>
          <w:bCs w:val="0"/>
          <w:i w:val="0"/>
          <w:iCs w:val="0"/>
          <w:color w:val="1F2329"/>
          <w:spacing w:val="0"/>
          <w:w w:val="100"/>
          <w:sz w:val="28"/>
          <w:szCs w:val="28"/>
          <w:shd w:val="clear" w:fill="FFFFFF"/>
          <w:vertAlign w:val="baseline"/>
        </w:rPr>
        <w:t>（二）模型拟合度检验与修正</w:t>
      </w:r>
    </w:p>
    <w:p w14:paraId="5EE41505">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利用 AMOS 26.0 软件对假设模型进行参数估计。首先对测量模型进行验证性因子分析（CFA），结果显示所有观测变量的标准化因子载荷（Standardized Factor Loading）均大于 0.6 且在 0.001 水平上显著，组合信度（CR）大于 0.7，平均方差抽取量（AVE）大于 0.5，表明量表具有良好的收敛效度与内部一致性。</w:t>
      </w:r>
    </w:p>
    <w:p w14:paraId="2E0E8A0B">
      <w:pPr>
        <w:pStyle w:val="2"/>
        <w:keepNext w:val="0"/>
        <w:keepLines w:val="0"/>
        <w:widowControl/>
        <w:suppressLineNumbers w:val="0"/>
        <w:spacing w:before="156" w:beforeAutospacing="0" w:after="0" w:afterAutospacing="0" w:line="13" w:lineRule="atLeast"/>
        <w:ind w:left="0" w:right="0" w:firstLine="420"/>
        <w:jc w:val="left"/>
      </w:pPr>
      <w:r>
        <w:rPr>
          <w:rFonts w:hint="eastAsia" w:ascii="宋体" w:hAnsi="宋体" w:eastAsia="宋体" w:cs="宋体"/>
          <w:b w:val="0"/>
          <w:bCs w:val="0"/>
          <w:i w:val="0"/>
          <w:iCs w:val="0"/>
          <w:color w:val="000000"/>
          <w:spacing w:val="0"/>
          <w:w w:val="100"/>
          <w:sz w:val="24"/>
          <w:szCs w:val="24"/>
          <w:vertAlign w:val="baseline"/>
        </w:rPr>
        <w:t>进而对结构模型进行全模型检验。初始模型的拟合指数虽已达标，但根据修正指数（MI）提示，部分残差间存在共变关系（如“设施种类”与“配套设施”），在建立相关残差路径后，最终模型的拟合指数如表 4-1 所示。结果显示，卡方自由度比（CMIN/DF）为 1.84，小于 3 的严苛标准；近似误差均方根（RMSEA）为 0.010，远小于 0.08 的阈值；比较拟合指数（CFI）、规范拟合指数（NFI）及拟合优度指数（GFI）均高达 0.98 以上。各项指标均显著优于统计学推荐标准，表明构建的理论模型与 783 份实测数据高度适配，具有极高的解释力 。</w:t>
      </w:r>
    </w:p>
    <w:p w14:paraId="0390F4D0">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表9 结构方程模型拟合指数表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687"/>
        <w:gridCol w:w="1178"/>
        <w:gridCol w:w="1433"/>
        <w:gridCol w:w="1942"/>
      </w:tblGrid>
      <w:tr w14:paraId="66D67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687"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AC403D0">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统计检验量</w:t>
            </w:r>
          </w:p>
        </w:tc>
        <w:tc>
          <w:tcPr>
            <w:tcW w:w="1178"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377B4FE">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实测值</w:t>
            </w:r>
          </w:p>
        </w:tc>
        <w:tc>
          <w:tcPr>
            <w:tcW w:w="143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03701745">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参考标准</w:t>
            </w:r>
          </w:p>
        </w:tc>
        <w:tc>
          <w:tcPr>
            <w:tcW w:w="1942"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514BFE41">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拟合判断</w:t>
            </w:r>
          </w:p>
        </w:tc>
      </w:tr>
      <w:tr w14:paraId="73ED6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687"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2E9C521">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1F1F1F"/>
                <w:spacing w:val="0"/>
                <w:w w:val="100"/>
                <w:sz w:val="21"/>
                <w:szCs w:val="21"/>
                <w:vertAlign w:val="baseline"/>
              </w:rPr>
              <w:t>CMIN/DF</w:t>
            </w:r>
          </w:p>
        </w:tc>
        <w:tc>
          <w:tcPr>
            <w:tcW w:w="1178"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D95E65F">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1.84</w:t>
            </w:r>
          </w:p>
        </w:tc>
        <w:tc>
          <w:tcPr>
            <w:tcW w:w="143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6A564DD">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&lt; 3.0</w:t>
            </w:r>
          </w:p>
        </w:tc>
        <w:tc>
          <w:tcPr>
            <w:tcW w:w="1942"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76127AAF">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适配</w:t>
            </w:r>
          </w:p>
        </w:tc>
      </w:tr>
      <w:tr w14:paraId="0421D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687"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19F35139">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1F1F1F"/>
                <w:spacing w:val="0"/>
                <w:w w:val="100"/>
                <w:sz w:val="21"/>
                <w:szCs w:val="21"/>
                <w:vertAlign w:val="baseline"/>
              </w:rPr>
              <w:t>GFI</w:t>
            </w:r>
          </w:p>
        </w:tc>
        <w:tc>
          <w:tcPr>
            <w:tcW w:w="1178"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09EEF917">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0.989</w:t>
            </w:r>
          </w:p>
        </w:tc>
        <w:tc>
          <w:tcPr>
            <w:tcW w:w="143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14B24B9">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&gt; 0.9</w:t>
            </w:r>
          </w:p>
        </w:tc>
        <w:tc>
          <w:tcPr>
            <w:tcW w:w="1942"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1EFBBC6E">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适配</w:t>
            </w:r>
          </w:p>
        </w:tc>
      </w:tr>
      <w:tr w14:paraId="104BE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687"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4048C4F">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1F1F1F"/>
                <w:spacing w:val="0"/>
                <w:w w:val="100"/>
                <w:sz w:val="21"/>
                <w:szCs w:val="21"/>
                <w:vertAlign w:val="baseline"/>
              </w:rPr>
              <w:t>AGFI</w:t>
            </w:r>
          </w:p>
        </w:tc>
        <w:tc>
          <w:tcPr>
            <w:tcW w:w="1178"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D24777A">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0.976</w:t>
            </w:r>
          </w:p>
        </w:tc>
        <w:tc>
          <w:tcPr>
            <w:tcW w:w="143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01BD0D7">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&gt; 0.9</w:t>
            </w:r>
          </w:p>
        </w:tc>
        <w:tc>
          <w:tcPr>
            <w:tcW w:w="1942"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6E07D61D">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适配</w:t>
            </w:r>
          </w:p>
        </w:tc>
      </w:tr>
      <w:tr w14:paraId="6C8D2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687"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5AF63655">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1F1F1F"/>
                <w:spacing w:val="0"/>
                <w:w w:val="100"/>
                <w:sz w:val="21"/>
                <w:szCs w:val="21"/>
                <w:vertAlign w:val="baseline"/>
              </w:rPr>
              <w:t>CFI</w:t>
            </w:r>
          </w:p>
        </w:tc>
        <w:tc>
          <w:tcPr>
            <w:tcW w:w="1178"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07D1B0C6">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0.999</w:t>
            </w:r>
          </w:p>
        </w:tc>
        <w:tc>
          <w:tcPr>
            <w:tcW w:w="143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55F588F">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&gt; 0.9</w:t>
            </w:r>
          </w:p>
        </w:tc>
        <w:tc>
          <w:tcPr>
            <w:tcW w:w="1942"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6462C205">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适配</w:t>
            </w:r>
          </w:p>
        </w:tc>
      </w:tr>
      <w:tr w14:paraId="33144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687"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3C8749C">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1F1F1F"/>
                <w:spacing w:val="0"/>
                <w:w w:val="100"/>
                <w:sz w:val="21"/>
                <w:szCs w:val="21"/>
                <w:vertAlign w:val="baseline"/>
              </w:rPr>
              <w:t>NFI</w:t>
            </w:r>
          </w:p>
        </w:tc>
        <w:tc>
          <w:tcPr>
            <w:tcW w:w="1178"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8788D72">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0.989</w:t>
            </w:r>
          </w:p>
        </w:tc>
        <w:tc>
          <w:tcPr>
            <w:tcW w:w="143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F0D8B6F">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&gt; 0.9</w:t>
            </w:r>
          </w:p>
        </w:tc>
        <w:tc>
          <w:tcPr>
            <w:tcW w:w="1942"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5B20DC92">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适配</w:t>
            </w:r>
          </w:p>
        </w:tc>
      </w:tr>
      <w:tr w14:paraId="40D18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9" w:hRule="atLeast"/>
        </w:trPr>
        <w:tc>
          <w:tcPr>
            <w:tcW w:w="1687" w:type="dxa"/>
            <w:tcBorders>
              <w:top w:val="single" w:color="auto" w:sz="2" w:space="0"/>
              <w:left w:val="single" w:color="CBCDD1" w:sz="2" w:space="0"/>
              <w:bottom w:val="single" w:color="auto" w:sz="8" w:space="0"/>
              <w:right w:val="single" w:color="auto" w:sz="2" w:space="0"/>
            </w:tcBorders>
            <w:shd w:val="clear"/>
            <w:tcMar>
              <w:top w:w="0" w:type="dxa"/>
              <w:left w:w="72" w:type="dxa"/>
              <w:bottom w:w="0" w:type="dxa"/>
              <w:right w:w="72" w:type="dxa"/>
            </w:tcMar>
            <w:vAlign w:val="center"/>
          </w:tcPr>
          <w:p w14:paraId="2F385DEA">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bCs/>
                <w:i w:val="0"/>
                <w:iCs w:val="0"/>
                <w:color w:val="1F1F1F"/>
                <w:spacing w:val="0"/>
                <w:w w:val="100"/>
                <w:sz w:val="21"/>
                <w:szCs w:val="21"/>
                <w:vertAlign w:val="baseline"/>
              </w:rPr>
              <w:t>RMSEA</w:t>
            </w:r>
          </w:p>
        </w:tc>
        <w:tc>
          <w:tcPr>
            <w:tcW w:w="1178"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712C2146">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0.010</w:t>
            </w:r>
          </w:p>
        </w:tc>
        <w:tc>
          <w:tcPr>
            <w:tcW w:w="1433"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078ACBAA">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&lt; 0.08</w:t>
            </w:r>
          </w:p>
        </w:tc>
        <w:tc>
          <w:tcPr>
            <w:tcW w:w="1942" w:type="dxa"/>
            <w:tcBorders>
              <w:top w:val="single" w:color="auto" w:sz="2" w:space="0"/>
              <w:left w:val="single" w:color="auto" w:sz="2" w:space="0"/>
              <w:bottom w:val="single" w:color="auto" w:sz="8" w:space="0"/>
              <w:right w:val="single" w:color="CBCDD1" w:sz="2" w:space="0"/>
            </w:tcBorders>
            <w:shd w:val="clear"/>
            <w:tcMar>
              <w:top w:w="0" w:type="dxa"/>
              <w:left w:w="72" w:type="dxa"/>
              <w:bottom w:w="0" w:type="dxa"/>
              <w:right w:w="72" w:type="dxa"/>
            </w:tcMar>
            <w:vAlign w:val="center"/>
          </w:tcPr>
          <w:p w14:paraId="39946859">
            <w:pPr>
              <w:pStyle w:val="2"/>
              <w:keepNext w:val="0"/>
              <w:keepLines w:val="0"/>
              <w:widowControl/>
              <w:suppressLineNumbers w:val="0"/>
              <w:spacing w:before="0" w:beforeAutospacing="0" w:after="0" w:afterAutospacing="0"/>
              <w:ind w:left="0" w:right="0"/>
              <w:jc w:val="center"/>
            </w:pPr>
            <w:r>
              <w:rPr>
                <w:rFonts w:hint="eastAsia" w:ascii="宋体" w:hAnsi="宋体" w:eastAsia="宋体" w:cs="宋体"/>
                <w:b w:val="0"/>
                <w:bCs w:val="0"/>
                <w:i w:val="0"/>
                <w:iCs w:val="0"/>
                <w:color w:val="1F1F1F"/>
                <w:spacing w:val="0"/>
                <w:w w:val="100"/>
                <w:sz w:val="21"/>
                <w:szCs w:val="21"/>
                <w:vertAlign w:val="baseline"/>
              </w:rPr>
              <w:t>适配</w:t>
            </w:r>
          </w:p>
        </w:tc>
      </w:tr>
    </w:tbl>
    <w:p w14:paraId="269E1222">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（三）路径系数分析与假设验证</w:t>
      </w:r>
    </w:p>
    <w:p w14:paraId="2902330A">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路径分析结果见表显示，四个预设维度的假设路径均通过了 P &lt; 0.001 的显著性检验，假设 H1 至 H4 全部成立。这表明，硬件、软件、数智、便利性共同构成了影响上海市民健身驿站满意度的四大支柱。通过比较标准化路径系数（Standardized Coefficients, </w:t>
      </w:r>
      <w:r>
        <w:drawing>
          <wp:inline distT="0" distB="0" distL="114300" distR="114300">
            <wp:extent cx="95250" cy="219075"/>
            <wp:effectExtent l="0" t="0" r="6350" b="10160"/>
            <wp:docPr id="59" name="图片 5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5" descr="IMG_265"/>
                    <pic:cNvPicPr>
                      <a:picLocks noChangeAspect="1"/>
                    </pic:cNvPicPr>
                  </pic:nvPicPr>
                  <pic:blipFill>
                    <a:blip r:embed="rId13"/>
                    <a:stretch>
                      <a:fillRect/>
                    </a:stretch>
                  </pic:blipFill>
                  <pic:spPr>
                    <a:xfrm>
                      <a:off x="0" y="0"/>
                      <a:ext cx="95250" cy="219075"/>
                    </a:xfrm>
                    <a:prstGeom prst="rect">
                      <a:avLst/>
                    </a:prstGeom>
                    <a:noFill/>
                    <a:ln w="9525">
                      <a:noFill/>
                    </a:ln>
                  </pic:spPr>
                </pic:pic>
              </a:graphicData>
            </a:graphic>
          </wp:inline>
        </w:drawing>
      </w:r>
      <w:r>
        <w:rPr>
          <w:rFonts w:hint="eastAsia" w:ascii="宋体" w:hAnsi="宋体" w:eastAsia="宋体" w:cs="宋体"/>
          <w:b w:val="0"/>
          <w:bCs w:val="0"/>
          <w:i w:val="0"/>
          <w:iCs w:val="0"/>
          <w:color w:val="000000"/>
          <w:spacing w:val="0"/>
          <w:w w:val="100"/>
          <w:sz w:val="24"/>
          <w:szCs w:val="24"/>
          <w:vertAlign w:val="baseline"/>
        </w:rPr>
        <w:t>）的大小，我们可以深入解析各维度在宏观层面的相对重要性。</w:t>
      </w:r>
    </w:p>
    <w:p w14:paraId="302B4957">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表10 SEM模型路径系数检验结果</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96"/>
        <w:gridCol w:w="1280"/>
        <w:gridCol w:w="1063"/>
        <w:gridCol w:w="977"/>
        <w:gridCol w:w="924"/>
        <w:gridCol w:w="661"/>
        <w:gridCol w:w="583"/>
      </w:tblGrid>
      <w:tr w14:paraId="51B75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796"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2831FB3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假设路径</w:t>
            </w:r>
          </w:p>
        </w:tc>
        <w:tc>
          <w:tcPr>
            <w:tcW w:w="1280"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3CEF137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路径关系</w:t>
            </w:r>
          </w:p>
        </w:tc>
        <w:tc>
          <w:tcPr>
            <w:tcW w:w="106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311974B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标准化系数(β)</w:t>
            </w:r>
          </w:p>
        </w:tc>
        <w:tc>
          <w:tcPr>
            <w:tcW w:w="977"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67FBB27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S.E.</w:t>
            </w:r>
          </w:p>
        </w:tc>
        <w:tc>
          <w:tcPr>
            <w:tcW w:w="924"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457F20D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C.R. (t-value)</w:t>
            </w:r>
          </w:p>
        </w:tc>
        <w:tc>
          <w:tcPr>
            <w:tcW w:w="661"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2F07CE5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P值</w:t>
            </w:r>
          </w:p>
        </w:tc>
        <w:tc>
          <w:tcPr>
            <w:tcW w:w="583"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4305E0B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结论</w:t>
            </w:r>
          </w:p>
        </w:tc>
      </w:tr>
      <w:tr w14:paraId="34152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796"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729AB6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H1</w:t>
            </w:r>
          </w:p>
        </w:tc>
        <w:tc>
          <w:tcPr>
            <w:tcW w:w="1280"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AB4389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 xml:space="preserve">硬件设施 </w:t>
            </w:r>
            <w:r>
              <w:drawing>
                <wp:inline distT="0" distB="0" distL="114300" distR="114300">
                  <wp:extent cx="152400" cy="180975"/>
                  <wp:effectExtent l="0" t="0" r="0" b="10795"/>
                  <wp:docPr id="65" name="图片 5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6" descr="IMG_266"/>
                          <pic:cNvPicPr>
                            <a:picLocks noChangeAspect="1"/>
                          </pic:cNvPicPr>
                        </pic:nvPicPr>
                        <pic:blipFill>
                          <a:blip r:embed="rId14"/>
                          <a:stretch>
                            <a:fillRect/>
                          </a:stretch>
                        </pic:blipFill>
                        <pic:spPr>
                          <a:xfrm>
                            <a:off x="0" y="0"/>
                            <a:ext cx="152400" cy="180975"/>
                          </a:xfrm>
                          <a:prstGeom prst="rect">
                            <a:avLst/>
                          </a:prstGeom>
                          <a:noFill/>
                          <a:ln w="9525">
                            <a:noFill/>
                          </a:ln>
                        </pic:spPr>
                      </pic:pic>
                    </a:graphicData>
                  </a:graphic>
                </wp:inline>
              </w:drawing>
            </w:r>
            <w:r>
              <w:rPr>
                <w:rFonts w:hint="eastAsia" w:ascii="宋体" w:hAnsi="宋体" w:eastAsia="宋体" w:cs="宋体"/>
                <w:b w:val="0"/>
                <w:bCs w:val="0"/>
                <w:i w:val="0"/>
                <w:iCs w:val="0"/>
                <w:color w:val="000000"/>
                <w:spacing w:val="0"/>
                <w:w w:val="100"/>
                <w:sz w:val="21"/>
                <w:szCs w:val="21"/>
                <w:vertAlign w:val="baseline"/>
              </w:rPr>
              <w:t>满意度</w:t>
            </w:r>
          </w:p>
        </w:tc>
        <w:tc>
          <w:tcPr>
            <w:tcW w:w="106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740166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0.468</w:t>
            </w:r>
          </w:p>
        </w:tc>
        <w:tc>
          <w:tcPr>
            <w:tcW w:w="977"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1814B9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0.018</w:t>
            </w:r>
          </w:p>
        </w:tc>
        <w:tc>
          <w:tcPr>
            <w:tcW w:w="92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445385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26.012</w:t>
            </w:r>
          </w:p>
        </w:tc>
        <w:tc>
          <w:tcPr>
            <w:tcW w:w="661"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D1E340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P &lt; 0.001</w:t>
            </w:r>
          </w:p>
        </w:tc>
        <w:tc>
          <w:tcPr>
            <w:tcW w:w="5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320EA6F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支持</w:t>
            </w:r>
          </w:p>
        </w:tc>
      </w:tr>
      <w:tr w14:paraId="0D6B1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796"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390E9F0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H2</w:t>
            </w:r>
          </w:p>
        </w:tc>
        <w:tc>
          <w:tcPr>
            <w:tcW w:w="1280"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10DE267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 xml:space="preserve">软性服务 </w:t>
            </w:r>
            <w:r>
              <w:drawing>
                <wp:inline distT="0" distB="0" distL="114300" distR="114300">
                  <wp:extent cx="152400" cy="180975"/>
                  <wp:effectExtent l="0" t="0" r="0" b="10795"/>
                  <wp:docPr id="55" name="图片 5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7" descr="IMG_267"/>
                          <pic:cNvPicPr>
                            <a:picLocks noChangeAspect="1"/>
                          </pic:cNvPicPr>
                        </pic:nvPicPr>
                        <pic:blipFill>
                          <a:blip r:embed="rId14"/>
                          <a:stretch>
                            <a:fillRect/>
                          </a:stretch>
                        </pic:blipFill>
                        <pic:spPr>
                          <a:xfrm>
                            <a:off x="0" y="0"/>
                            <a:ext cx="152400" cy="180975"/>
                          </a:xfrm>
                          <a:prstGeom prst="rect">
                            <a:avLst/>
                          </a:prstGeom>
                          <a:noFill/>
                          <a:ln w="9525">
                            <a:noFill/>
                          </a:ln>
                        </pic:spPr>
                      </pic:pic>
                    </a:graphicData>
                  </a:graphic>
                </wp:inline>
              </w:drawing>
            </w:r>
            <w:r>
              <w:rPr>
                <w:rFonts w:hint="eastAsia" w:ascii="宋体" w:hAnsi="宋体" w:eastAsia="宋体" w:cs="宋体"/>
                <w:b w:val="0"/>
                <w:bCs w:val="0"/>
                <w:i w:val="0"/>
                <w:iCs w:val="0"/>
                <w:color w:val="000000"/>
                <w:spacing w:val="0"/>
                <w:w w:val="100"/>
                <w:sz w:val="21"/>
                <w:szCs w:val="21"/>
                <w:vertAlign w:val="baseline"/>
              </w:rPr>
              <w:t>满意度</w:t>
            </w:r>
          </w:p>
        </w:tc>
        <w:tc>
          <w:tcPr>
            <w:tcW w:w="106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0549C8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0.392</w:t>
            </w:r>
          </w:p>
        </w:tc>
        <w:tc>
          <w:tcPr>
            <w:tcW w:w="977"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8EF801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0.032</w:t>
            </w:r>
          </w:p>
        </w:tc>
        <w:tc>
          <w:tcPr>
            <w:tcW w:w="924"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4DE696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12.254</w:t>
            </w:r>
          </w:p>
        </w:tc>
        <w:tc>
          <w:tcPr>
            <w:tcW w:w="661"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5BB0A2F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P &lt; 0.001</w:t>
            </w:r>
          </w:p>
        </w:tc>
        <w:tc>
          <w:tcPr>
            <w:tcW w:w="58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63BE711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支持</w:t>
            </w:r>
          </w:p>
        </w:tc>
      </w:tr>
      <w:tr w14:paraId="14925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796"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E54137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H3</w:t>
            </w:r>
          </w:p>
        </w:tc>
        <w:tc>
          <w:tcPr>
            <w:tcW w:w="1280"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C106E1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 xml:space="preserve">数智体验 </w:t>
            </w:r>
            <w:r>
              <w:drawing>
                <wp:inline distT="0" distB="0" distL="114300" distR="114300">
                  <wp:extent cx="152400" cy="180975"/>
                  <wp:effectExtent l="0" t="0" r="0" b="10795"/>
                  <wp:docPr id="52" name="图片 5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8" descr="IMG_268"/>
                          <pic:cNvPicPr>
                            <a:picLocks noChangeAspect="1"/>
                          </pic:cNvPicPr>
                        </pic:nvPicPr>
                        <pic:blipFill>
                          <a:blip r:embed="rId14"/>
                          <a:stretch>
                            <a:fillRect/>
                          </a:stretch>
                        </pic:blipFill>
                        <pic:spPr>
                          <a:xfrm>
                            <a:off x="0" y="0"/>
                            <a:ext cx="152400" cy="180975"/>
                          </a:xfrm>
                          <a:prstGeom prst="rect">
                            <a:avLst/>
                          </a:prstGeom>
                          <a:noFill/>
                          <a:ln w="9525">
                            <a:noFill/>
                          </a:ln>
                        </pic:spPr>
                      </pic:pic>
                    </a:graphicData>
                  </a:graphic>
                </wp:inline>
              </w:drawing>
            </w:r>
            <w:r>
              <w:rPr>
                <w:rFonts w:hint="eastAsia" w:ascii="宋体" w:hAnsi="宋体" w:eastAsia="宋体" w:cs="宋体"/>
                <w:b w:val="0"/>
                <w:bCs w:val="0"/>
                <w:i w:val="0"/>
                <w:iCs w:val="0"/>
                <w:color w:val="000000"/>
                <w:spacing w:val="0"/>
                <w:w w:val="100"/>
                <w:sz w:val="21"/>
                <w:szCs w:val="21"/>
                <w:vertAlign w:val="baseline"/>
              </w:rPr>
              <w:t>满意度</w:t>
            </w:r>
          </w:p>
        </w:tc>
        <w:tc>
          <w:tcPr>
            <w:tcW w:w="106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E669A3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0.273</w:t>
            </w:r>
          </w:p>
        </w:tc>
        <w:tc>
          <w:tcPr>
            <w:tcW w:w="977"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AB8F06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0.013</w:t>
            </w:r>
          </w:p>
        </w:tc>
        <w:tc>
          <w:tcPr>
            <w:tcW w:w="92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26CE51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21.006</w:t>
            </w:r>
          </w:p>
        </w:tc>
        <w:tc>
          <w:tcPr>
            <w:tcW w:w="661"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81AC8F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P &lt; 0.001</w:t>
            </w:r>
          </w:p>
        </w:tc>
        <w:tc>
          <w:tcPr>
            <w:tcW w:w="58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355A21E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支持</w:t>
            </w:r>
          </w:p>
        </w:tc>
      </w:tr>
      <w:tr w14:paraId="6E15E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796" w:type="dxa"/>
            <w:tcBorders>
              <w:top w:val="single" w:color="auto" w:sz="2" w:space="0"/>
              <w:left w:val="single" w:color="CBCDD1" w:sz="2" w:space="0"/>
              <w:bottom w:val="single" w:color="auto" w:sz="8" w:space="0"/>
              <w:right w:val="single" w:color="auto" w:sz="2" w:space="0"/>
            </w:tcBorders>
            <w:shd w:val="clear"/>
            <w:tcMar>
              <w:top w:w="0" w:type="dxa"/>
              <w:left w:w="72" w:type="dxa"/>
              <w:bottom w:w="0" w:type="dxa"/>
              <w:right w:w="72" w:type="dxa"/>
            </w:tcMar>
            <w:vAlign w:val="center"/>
          </w:tcPr>
          <w:p w14:paraId="2782162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H4</w:t>
            </w:r>
          </w:p>
        </w:tc>
        <w:tc>
          <w:tcPr>
            <w:tcW w:w="1280"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5DE1A06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 xml:space="preserve">便利程度 </w:t>
            </w:r>
            <w:r>
              <w:drawing>
                <wp:inline distT="0" distB="0" distL="114300" distR="114300">
                  <wp:extent cx="152400" cy="180975"/>
                  <wp:effectExtent l="0" t="0" r="0" b="10795"/>
                  <wp:docPr id="54" name="图片 5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9" descr="IMG_269"/>
                          <pic:cNvPicPr>
                            <a:picLocks noChangeAspect="1"/>
                          </pic:cNvPicPr>
                        </pic:nvPicPr>
                        <pic:blipFill>
                          <a:blip r:embed="rId14"/>
                          <a:stretch>
                            <a:fillRect/>
                          </a:stretch>
                        </pic:blipFill>
                        <pic:spPr>
                          <a:xfrm>
                            <a:off x="0" y="0"/>
                            <a:ext cx="152400" cy="180975"/>
                          </a:xfrm>
                          <a:prstGeom prst="rect">
                            <a:avLst/>
                          </a:prstGeom>
                          <a:noFill/>
                          <a:ln w="9525">
                            <a:noFill/>
                          </a:ln>
                        </pic:spPr>
                      </pic:pic>
                    </a:graphicData>
                  </a:graphic>
                </wp:inline>
              </w:drawing>
            </w:r>
            <w:r>
              <w:rPr>
                <w:rFonts w:hint="eastAsia" w:ascii="宋体" w:hAnsi="宋体" w:eastAsia="宋体" w:cs="宋体"/>
                <w:b w:val="0"/>
                <w:bCs w:val="0"/>
                <w:i w:val="0"/>
                <w:iCs w:val="0"/>
                <w:color w:val="000000"/>
                <w:spacing w:val="0"/>
                <w:w w:val="100"/>
                <w:sz w:val="21"/>
                <w:szCs w:val="21"/>
                <w:vertAlign w:val="baseline"/>
              </w:rPr>
              <w:t>满意度</w:t>
            </w:r>
          </w:p>
        </w:tc>
        <w:tc>
          <w:tcPr>
            <w:tcW w:w="1063"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6E25177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0.246</w:t>
            </w:r>
          </w:p>
        </w:tc>
        <w:tc>
          <w:tcPr>
            <w:tcW w:w="977"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44E30E3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0.016</w:t>
            </w:r>
          </w:p>
        </w:tc>
        <w:tc>
          <w:tcPr>
            <w:tcW w:w="924"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627B06D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15.378</w:t>
            </w:r>
          </w:p>
        </w:tc>
        <w:tc>
          <w:tcPr>
            <w:tcW w:w="661"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5CE7007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P &lt; 0.001</w:t>
            </w:r>
          </w:p>
        </w:tc>
        <w:tc>
          <w:tcPr>
            <w:tcW w:w="583" w:type="dxa"/>
            <w:tcBorders>
              <w:top w:val="single" w:color="auto" w:sz="2" w:space="0"/>
              <w:left w:val="single" w:color="auto" w:sz="2" w:space="0"/>
              <w:bottom w:val="single" w:color="auto" w:sz="8" w:space="0"/>
              <w:right w:val="single" w:color="CBCDD1" w:sz="2" w:space="0"/>
            </w:tcBorders>
            <w:shd w:val="clear"/>
            <w:tcMar>
              <w:top w:w="0" w:type="dxa"/>
              <w:left w:w="72" w:type="dxa"/>
              <w:bottom w:w="0" w:type="dxa"/>
              <w:right w:w="72" w:type="dxa"/>
            </w:tcMar>
            <w:vAlign w:val="center"/>
          </w:tcPr>
          <w:p w14:paraId="7958F24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支持</w:t>
            </w:r>
          </w:p>
        </w:tc>
      </w:tr>
    </w:tbl>
    <w:p w14:paraId="0D375415">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bCs/>
          <w:i w:val="0"/>
          <w:iCs w:val="0"/>
          <w:color w:val="000000"/>
          <w:spacing w:val="0"/>
          <w:w w:val="100"/>
          <w:sz w:val="24"/>
          <w:szCs w:val="24"/>
          <w:vertAlign w:val="baseline"/>
        </w:rPr>
        <w:t>深度数据解读与归因：</w:t>
      </w:r>
    </w:p>
    <w:p w14:paraId="4FB5FC41">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 硬件设施是“压舱石”（𝛃</w:t>
      </w:r>
      <w:r>
        <w:rPr>
          <w:rFonts w:hint="eastAsia" w:ascii="宋体" w:hAnsi="宋体" w:eastAsia="宋体" w:cs="宋体"/>
          <w:b/>
          <w:bCs/>
          <w:i w:val="0"/>
          <w:iCs w:val="0"/>
          <w:color w:val="000000"/>
          <w:spacing w:val="0"/>
          <w:w w:val="100"/>
          <w:sz w:val="24"/>
          <w:szCs w:val="24"/>
          <w:vertAlign w:val="baseline"/>
        </w:rPr>
        <w:t>=0.468</w:t>
      </w:r>
      <w:r>
        <w:rPr>
          <w:rFonts w:hint="eastAsia" w:ascii="宋体" w:hAnsi="宋体" w:eastAsia="宋体" w:cs="宋体"/>
          <w:b w:val="0"/>
          <w:bCs w:val="0"/>
          <w:i w:val="0"/>
          <w:iCs w:val="0"/>
          <w:color w:val="000000"/>
          <w:spacing w:val="0"/>
          <w:w w:val="100"/>
          <w:sz w:val="24"/>
          <w:szCs w:val="24"/>
          <w:vertAlign w:val="baseline"/>
        </w:rPr>
        <w:t xml:space="preserve">）： </w:t>
      </w:r>
    </w:p>
    <w:p w14:paraId="0B2592C9">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“硬件设施”对满意度的标准化路径系数最高，接近 0.5。这一结果表明，在宏观层面，器材的完备性、场地的安全性与环境的舒适度仍是市民评价驿站的首要标准。作为公共体育服务的物理载体，硬件具有最强的“显性特征”。这也解释了为何前文现状测度中硬件得分较高——政府在“补短板”工程中对硬件投入的倾斜直接转化为市民的基础满意度 。若硬件不达标，其他服务将失去依托。</w:t>
      </w:r>
    </w:p>
    <w:p w14:paraId="51417AEF">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软性服务是“增长极”（𝛃</w:t>
      </w:r>
      <w:r>
        <w:rPr>
          <w:rFonts w:hint="eastAsia" w:ascii="宋体" w:hAnsi="宋体" w:eastAsia="宋体" w:cs="宋体"/>
          <w:b/>
          <w:bCs/>
          <w:i w:val="0"/>
          <w:iCs w:val="0"/>
          <w:color w:val="000000"/>
          <w:spacing w:val="0"/>
          <w:w w:val="100"/>
          <w:sz w:val="24"/>
          <w:szCs w:val="24"/>
          <w:vertAlign w:val="baseline"/>
        </w:rPr>
        <w:t>=0.392</w:t>
      </w:r>
      <w:r>
        <w:rPr>
          <w:rFonts w:hint="eastAsia" w:ascii="宋体" w:hAnsi="宋体" w:eastAsia="宋体" w:cs="宋体"/>
          <w:b w:val="0"/>
          <w:bCs w:val="0"/>
          <w:i w:val="0"/>
          <w:iCs w:val="0"/>
          <w:color w:val="000000"/>
          <w:spacing w:val="0"/>
          <w:w w:val="100"/>
          <w:sz w:val="24"/>
          <w:szCs w:val="24"/>
          <w:vertAlign w:val="baseline"/>
        </w:rPr>
        <w:t>）：</w:t>
      </w:r>
    </w:p>
    <w:p w14:paraId="0E01010D">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软性服务”的影响力紧随其后，显著高于“便利程度”和“数智体验”。这揭示了一个关键的转型信号：在站点物理覆盖率逐步提高的当下，市民关注重心已从“有没有”转向“好不好”。营业时间的灵活性、人员指导的专业性成为制约满意度提升的瓶颈因素。这也暗示了当前运营模式中“重建设、轻运营”的问题已成为市民感知的痛点。</w:t>
      </w:r>
    </w:p>
    <w:p w14:paraId="64E92FF3">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 便利程度的“边际递减效应”（𝛃</w:t>
      </w:r>
      <w:r>
        <w:rPr>
          <w:rFonts w:hint="eastAsia" w:ascii="宋体" w:hAnsi="宋体" w:eastAsia="宋体" w:cs="宋体"/>
          <w:b/>
          <w:bCs/>
          <w:i w:val="0"/>
          <w:iCs w:val="0"/>
          <w:color w:val="000000"/>
          <w:spacing w:val="0"/>
          <w:w w:val="100"/>
          <w:sz w:val="24"/>
          <w:szCs w:val="24"/>
          <w:vertAlign w:val="baseline"/>
        </w:rPr>
        <w:t>=0.246）</w:t>
      </w:r>
      <w:r>
        <w:rPr>
          <w:rFonts w:hint="eastAsia" w:ascii="宋体" w:hAnsi="宋体" w:eastAsia="宋体" w:cs="宋体"/>
          <w:b w:val="0"/>
          <w:bCs w:val="0"/>
          <w:i w:val="0"/>
          <w:iCs w:val="0"/>
          <w:color w:val="000000"/>
          <w:spacing w:val="0"/>
          <w:w w:val="100"/>
          <w:sz w:val="24"/>
          <w:szCs w:val="24"/>
          <w:vertAlign w:val="baseline"/>
        </w:rPr>
        <w:t xml:space="preserve">： </w:t>
      </w:r>
    </w:p>
    <w:p w14:paraId="3130FBAA">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相比之下，“便利程度”的系数最低。这并非说明距离不重要，而是侧面印证了上海“15分钟社区生活圈”建设已取得阶段性成效 。大部分受访市民（尤其是中心城区样本）已处于较为舒适的距离范围内，距离不再是阻碍其健身的主要障碍，因此其对满意度的边际解释力下降。在边际效用理论中，当一项需求得到基本满足后，其对总体效用的贡献率会自然降低。</w:t>
      </w:r>
    </w:p>
    <w:p w14:paraId="05A30AA8">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4. 数智体验的“线性低估”（𝛃</w:t>
      </w:r>
      <w:r>
        <w:rPr>
          <w:rFonts w:hint="eastAsia" w:ascii="宋体" w:hAnsi="宋体" w:eastAsia="宋体" w:cs="宋体"/>
          <w:b/>
          <w:bCs/>
          <w:i w:val="0"/>
          <w:iCs w:val="0"/>
          <w:color w:val="000000"/>
          <w:spacing w:val="0"/>
          <w:w w:val="100"/>
          <w:sz w:val="24"/>
          <w:szCs w:val="24"/>
          <w:vertAlign w:val="baseline"/>
        </w:rPr>
        <w:t>=0.273</w:t>
      </w:r>
      <w:r>
        <w:rPr>
          <w:rFonts w:hint="eastAsia" w:ascii="宋体" w:hAnsi="宋体" w:eastAsia="宋体" w:cs="宋体"/>
          <w:b w:val="0"/>
          <w:bCs w:val="0"/>
          <w:i w:val="0"/>
          <w:iCs w:val="0"/>
          <w:color w:val="000000"/>
          <w:spacing w:val="0"/>
          <w:w w:val="100"/>
          <w:sz w:val="24"/>
          <w:szCs w:val="24"/>
          <w:vertAlign w:val="baseline"/>
        </w:rPr>
        <w:t>）：</w:t>
      </w:r>
    </w:p>
    <w:p w14:paraId="4EE1AC6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值得注意的是，在 SEM 线性模型中，“数智体验”的系数相对较低。这可能是因为线性模型掩盖了智能化服务的“魅力质量（Excitement Quality）”特征——即在低水平时影响不明显，但一旦突破特定阈值，将带来爆发式的效能提升。这种非线性特征正是下文引入 XGBoost 与 SHAP 模型进行补充分析的必要性所在。</w:t>
      </w:r>
    </w:p>
    <w:p w14:paraId="15895A38">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（四）微观归因：基于 XGBoost-SHAP 的非线性挖掘</w:t>
      </w:r>
    </w:p>
    <w:p w14:paraId="0ABEE41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尽管 SEM 模型成功验证了宏观层面的影响路径，但其基于线性关系的假设难以捕捉服务体验中的复杂非线性特征。例如，距离远到一定程度满意度才会骤降（阈值效应），或者智能设备在达到一定丰富度后才会产生质的飞跃（指数效应）。因此，本研究进一步引入机器学习中的集成算法——XGBoost（Extreme Gradient Boosting），并结合 SHAP（Shapley Additive exPlanations）博弈论解释框架，对服务效能进行微观层面的非线性归因 。</w:t>
      </w:r>
    </w:p>
    <w:p w14:paraId="545EBFA9">
      <w:pPr>
        <w:pStyle w:val="2"/>
        <w:keepNext w:val="0"/>
        <w:keepLines w:val="0"/>
        <w:widowControl/>
        <w:numPr>
          <w:ilvl w:val="0"/>
          <w:numId w:val="19"/>
        </w:numPr>
        <w:suppressLineNumbers w:val="0"/>
        <w:spacing w:before="156" w:beforeAutospacing="0" w:after="0" w:afterAutospacing="0" w:line="13" w:lineRule="atLeast"/>
        <w:ind w:left="360" w:right="0" w:hanging="360"/>
        <w:jc w:val="both"/>
      </w:pPr>
      <w:r>
        <w:t xml:space="preserve"> </w:t>
      </w:r>
      <w:r>
        <w:rPr>
          <w:rFonts w:hint="eastAsia" w:ascii="宋体" w:hAnsi="宋体" w:eastAsia="宋体" w:cs="宋体"/>
          <w:b w:val="0"/>
          <w:bCs w:val="0"/>
          <w:i w:val="0"/>
          <w:iCs w:val="0"/>
          <w:color w:val="000000"/>
          <w:spacing w:val="0"/>
          <w:w w:val="100"/>
          <w:sz w:val="24"/>
          <w:szCs w:val="24"/>
          <w:vertAlign w:val="baseline"/>
        </w:rPr>
        <w:t>模型构建与性能评估</w:t>
      </w:r>
    </w:p>
    <w:p w14:paraId="363195DF">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本研究以第 3 章通过熵值法与模糊综合评价计算得出的个人服务效能指数（SEI）作为目标变量（Label），以 12 个细分服务指标（Q13-Q21）及人口学特征（年龄、收入、区域等）作为输入特征（Features），构建服务效能预测模型。</w:t>
      </w:r>
    </w:p>
    <w:p w14:paraId="7B2ECC55">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XGBoost 算法通过梯度提升策略，集成多个弱分类器（决策树）来逼近非线性函数，具有极强的抗过拟合能力和预测精度。为了获得最优模型，本研究采用 GridSearch CV 进行超参数调优。最终参数设定为：学习率（learning_rate）= 0.05，最大树深（max_depth）= 6，迭代次数（n_estimators）= 1000，子采样率（subsample）= 0.8。</w:t>
      </w:r>
    </w:p>
    <w:p w14:paraId="3370B45B">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bCs/>
          <w:i w:val="0"/>
          <w:iCs w:val="0"/>
          <w:color w:val="000000"/>
          <w:spacing w:val="0"/>
          <w:w w:val="100"/>
          <w:sz w:val="24"/>
          <w:szCs w:val="24"/>
          <w:vertAlign w:val="baseline"/>
        </w:rPr>
        <w:t>模型性能评估：</w:t>
      </w:r>
      <w:r>
        <w:rPr>
          <w:rFonts w:hint="eastAsia" w:ascii="宋体" w:hAnsi="宋体" w:eastAsia="宋体" w:cs="宋体"/>
          <w:b w:val="0"/>
          <w:bCs w:val="0"/>
          <w:i w:val="0"/>
          <w:iCs w:val="0"/>
          <w:color w:val="000000"/>
          <w:spacing w:val="0"/>
          <w:w w:val="100"/>
          <w:sz w:val="24"/>
          <w:szCs w:val="24"/>
          <w:vertAlign w:val="baseline"/>
        </w:rPr>
        <w:t xml:space="preserve"> 经 8:2 划分的测试集验证，XGBoost 模型的拟合优度（𝑅2）达到 0.96，均方根误差（RMSE）仅为 1.38。极高的预测精度表明，该模型成功捕捉到了数据中潜藏的高维非线性规律与特征间的交互效应。相比于 SEM 的 0.8 左右的解释力，XGBoost 在微观预测上展现出绝对优势，为后续的解释分析提供了坚实基础 。</w:t>
      </w:r>
    </w:p>
    <w:p w14:paraId="417FE9BE">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2.关键驱动因素识别：SHAP 全局重要性分析</w:t>
      </w:r>
    </w:p>
    <w:p w14:paraId="17603B64">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XGBoost 虽然精度高，但往往被视为“黑箱”模型。为了打开这个黑箱，本研究引入 SHAP 值分析。SHAP 值基于合作博弈论，能够计算每个特征对模型输出（服务效能 SEI）的平均边际贡献，从而得到各指标的真实重要性排名。结果如图 、及</w:t>
      </w:r>
      <w:r>
        <w:rPr>
          <w:rFonts w:hint="eastAsia" w:ascii="宋体" w:hAnsi="宋体" w:eastAsia="宋体" w:cs="宋体"/>
          <w:b/>
          <w:bCs/>
          <w:i w:val="0"/>
          <w:iCs w:val="0"/>
          <w:color w:val="000000"/>
          <w:spacing w:val="0"/>
          <w:w w:val="100"/>
          <w:sz w:val="24"/>
          <w:szCs w:val="24"/>
          <w:vertAlign w:val="baseline"/>
        </w:rPr>
        <w:t>表11</w:t>
      </w:r>
      <w:r>
        <w:rPr>
          <w:rFonts w:hint="eastAsia" w:ascii="宋体" w:hAnsi="宋体" w:eastAsia="宋体" w:cs="宋体"/>
          <w:b w:val="0"/>
          <w:bCs w:val="0"/>
          <w:i w:val="0"/>
          <w:iCs w:val="0"/>
          <w:color w:val="000000"/>
          <w:spacing w:val="0"/>
          <w:w w:val="100"/>
          <w:sz w:val="24"/>
          <w:szCs w:val="24"/>
          <w:vertAlign w:val="baseline"/>
        </w:rPr>
        <w:t>所示。</w:t>
      </w:r>
    </w:p>
    <w:p w14:paraId="2F6844E2">
      <w:pPr>
        <w:pStyle w:val="2"/>
        <w:keepNext w:val="0"/>
        <w:keepLines w:val="0"/>
        <w:widowControl/>
        <w:suppressLineNumbers w:val="0"/>
        <w:spacing w:before="156" w:beforeAutospacing="0" w:after="0" w:afterAutospacing="0" w:line="13" w:lineRule="atLeast"/>
        <w:ind w:left="0" w:right="0" w:firstLine="420"/>
        <w:jc w:val="center"/>
      </w:pPr>
      <w:r>
        <w:rPr>
          <w:rFonts w:hint="eastAsia" w:ascii="宋体" w:hAnsi="宋体" w:eastAsia="宋体" w:cs="宋体"/>
          <w:b w:val="0"/>
          <w:bCs w:val="0"/>
          <w:i w:val="0"/>
          <w:iCs w:val="0"/>
          <w:color w:val="000000"/>
          <w:spacing w:val="0"/>
          <w:w w:val="100"/>
          <w:sz w:val="24"/>
          <w:szCs w:val="24"/>
          <w:vertAlign w:val="baseline"/>
        </w:rPr>
        <w:t>表11 SHAP 特征重要性排名（前五位）</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94"/>
        <w:gridCol w:w="1739"/>
        <w:gridCol w:w="623"/>
        <w:gridCol w:w="2050"/>
        <w:gridCol w:w="632"/>
      </w:tblGrid>
      <w:tr w14:paraId="0DA85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494"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C19A87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排名</w:t>
            </w:r>
          </w:p>
        </w:tc>
        <w:tc>
          <w:tcPr>
            <w:tcW w:w="1739"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58823878">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bCs/>
                <w:i w:val="0"/>
                <w:iCs w:val="0"/>
                <w:color w:val="FFFFFF"/>
                <w:spacing w:val="0"/>
                <w:w w:val="100"/>
                <w:sz w:val="21"/>
                <w:szCs w:val="21"/>
                <w:vertAlign w:val="baseline"/>
              </w:rPr>
              <w:t>特征名称</w:t>
            </w:r>
          </w:p>
        </w:tc>
        <w:tc>
          <w:tcPr>
            <w:tcW w:w="62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3E9F660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归属维度</w:t>
            </w:r>
          </w:p>
        </w:tc>
        <w:tc>
          <w:tcPr>
            <w:tcW w:w="2050"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28F862A6">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bCs/>
                <w:i w:val="0"/>
                <w:iCs w:val="0"/>
                <w:color w:val="FFFFFF"/>
                <w:spacing w:val="0"/>
                <w:w w:val="100"/>
                <w:sz w:val="21"/>
                <w:szCs w:val="21"/>
                <w:vertAlign w:val="baseline"/>
              </w:rPr>
              <w:t>平均 SHAP 值 (Mean |SHAP|)</w:t>
            </w:r>
          </w:p>
        </w:tc>
        <w:tc>
          <w:tcPr>
            <w:tcW w:w="632"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5BF64B2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影响性质</w:t>
            </w:r>
          </w:p>
        </w:tc>
      </w:tr>
      <w:tr w14:paraId="0B9E7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494"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53DC1F9">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1</w:t>
            </w:r>
          </w:p>
        </w:tc>
        <w:tc>
          <w:tcPr>
            <w:tcW w:w="1739"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DD614BA">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人员服务 (Q20)</w:t>
            </w:r>
          </w:p>
        </w:tc>
        <w:tc>
          <w:tcPr>
            <w:tcW w:w="62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377CC3A">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软性服务</w:t>
            </w:r>
          </w:p>
        </w:tc>
        <w:tc>
          <w:tcPr>
            <w:tcW w:w="2050"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25F05136">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bCs/>
                <w:i w:val="0"/>
                <w:iCs w:val="0"/>
                <w:color w:val="000000"/>
                <w:spacing w:val="0"/>
                <w:w w:val="100"/>
                <w:sz w:val="21"/>
                <w:szCs w:val="21"/>
                <w:vertAlign w:val="baseline"/>
              </w:rPr>
              <w:t>1.42</w:t>
            </w:r>
          </w:p>
        </w:tc>
        <w:tc>
          <w:tcPr>
            <w:tcW w:w="632"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15E245BF">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核心驱动</w:t>
            </w:r>
          </w:p>
        </w:tc>
      </w:tr>
      <w:tr w14:paraId="494E9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494"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7C920FC5">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2</w:t>
            </w:r>
          </w:p>
        </w:tc>
        <w:tc>
          <w:tcPr>
            <w:tcW w:w="1739"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47C0BBD">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数据服务</w:t>
            </w:r>
            <w:r>
              <w:rPr>
                <w:b w:val="0"/>
                <w:bCs w:val="0"/>
                <w:i w:val="0"/>
                <w:iCs w:val="0"/>
                <w:color w:val="000000"/>
                <w:spacing w:val="0"/>
                <w:w w:val="100"/>
                <w:sz w:val="21"/>
                <w:szCs w:val="21"/>
                <w:vertAlign w:val="baseline"/>
              </w:rPr>
              <w:t>(Q16Data)</w:t>
            </w:r>
          </w:p>
        </w:tc>
        <w:tc>
          <w:tcPr>
            <w:tcW w:w="62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70B4432B">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数智体验</w:t>
            </w:r>
          </w:p>
        </w:tc>
        <w:tc>
          <w:tcPr>
            <w:tcW w:w="2050"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352EC60A">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bCs/>
                <w:i w:val="0"/>
                <w:iCs w:val="0"/>
                <w:color w:val="000000"/>
                <w:spacing w:val="0"/>
                <w:w w:val="100"/>
                <w:sz w:val="21"/>
                <w:szCs w:val="21"/>
                <w:vertAlign w:val="baseline"/>
              </w:rPr>
              <w:t>1.28</w:t>
            </w:r>
          </w:p>
        </w:tc>
        <w:tc>
          <w:tcPr>
            <w:tcW w:w="632"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55F1ED66">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核心驱动</w:t>
            </w:r>
          </w:p>
        </w:tc>
      </w:tr>
      <w:tr w14:paraId="4072A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494"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255418F">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3</w:t>
            </w:r>
          </w:p>
        </w:tc>
        <w:tc>
          <w:tcPr>
            <w:tcW w:w="1739"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F3F81F8">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营业时间 (Q17)</w:t>
            </w:r>
          </w:p>
        </w:tc>
        <w:tc>
          <w:tcPr>
            <w:tcW w:w="62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7765031">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软性服务</w:t>
            </w:r>
          </w:p>
        </w:tc>
        <w:tc>
          <w:tcPr>
            <w:tcW w:w="2050"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1188D9C">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bCs/>
                <w:i w:val="0"/>
                <w:iCs w:val="0"/>
                <w:color w:val="000000"/>
                <w:spacing w:val="0"/>
                <w:w w:val="100"/>
                <w:sz w:val="21"/>
                <w:szCs w:val="21"/>
                <w:vertAlign w:val="baseline"/>
              </w:rPr>
              <w:t>1.15</w:t>
            </w:r>
          </w:p>
        </w:tc>
        <w:tc>
          <w:tcPr>
            <w:tcW w:w="632"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506A5771">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核心驱动</w:t>
            </w:r>
          </w:p>
        </w:tc>
      </w:tr>
      <w:tr w14:paraId="1026A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494"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1BEBDF75">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4</w:t>
            </w:r>
          </w:p>
        </w:tc>
        <w:tc>
          <w:tcPr>
            <w:tcW w:w="1739"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1B75A2D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智能设备</w:t>
            </w:r>
            <w:r>
              <w:rPr>
                <w:b w:val="0"/>
                <w:bCs w:val="0"/>
                <w:i w:val="0"/>
                <w:iCs w:val="0"/>
                <w:color w:val="000000"/>
                <w:spacing w:val="0"/>
                <w:w w:val="100"/>
                <w:sz w:val="21"/>
                <w:szCs w:val="21"/>
                <w:vertAlign w:val="baseline"/>
              </w:rPr>
              <w:t>(Q16Device)</w:t>
            </w:r>
          </w:p>
        </w:tc>
        <w:tc>
          <w:tcPr>
            <w:tcW w:w="62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18C04980">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数智体验</w:t>
            </w:r>
          </w:p>
        </w:tc>
        <w:tc>
          <w:tcPr>
            <w:tcW w:w="2050"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0CF3D55D">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0.98</w:t>
            </w:r>
          </w:p>
        </w:tc>
        <w:tc>
          <w:tcPr>
            <w:tcW w:w="632"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4412900F">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辅助驱动</w:t>
            </w:r>
          </w:p>
        </w:tc>
      </w:tr>
      <w:tr w14:paraId="4997D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494" w:type="dxa"/>
            <w:tcBorders>
              <w:top w:val="single" w:color="auto" w:sz="2" w:space="0"/>
              <w:left w:val="single" w:color="CBCDD1" w:sz="2" w:space="0"/>
              <w:bottom w:val="single" w:color="auto" w:sz="8" w:space="0"/>
              <w:right w:val="single" w:color="auto" w:sz="2" w:space="0"/>
            </w:tcBorders>
            <w:shd w:val="clear" w:color="auto" w:fill="DEEAF6"/>
            <w:tcMar>
              <w:top w:w="0" w:type="dxa"/>
              <w:left w:w="72" w:type="dxa"/>
              <w:bottom w:w="0" w:type="dxa"/>
              <w:right w:w="72" w:type="dxa"/>
            </w:tcMar>
            <w:vAlign w:val="center"/>
          </w:tcPr>
          <w:p w14:paraId="0FCF89AA">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5</w:t>
            </w:r>
          </w:p>
        </w:tc>
        <w:tc>
          <w:tcPr>
            <w:tcW w:w="1739"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1F8A223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器材维护 (Q15)</w:t>
            </w:r>
          </w:p>
        </w:tc>
        <w:tc>
          <w:tcPr>
            <w:tcW w:w="623"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290701E4">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硬件设施</w:t>
            </w:r>
          </w:p>
        </w:tc>
        <w:tc>
          <w:tcPr>
            <w:tcW w:w="2050"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70993FF9">
            <w:pPr>
              <w:pStyle w:val="2"/>
              <w:keepNext w:val="0"/>
              <w:keepLines w:val="0"/>
              <w:widowControl/>
              <w:suppressLineNumbers w:val="0"/>
              <w:spacing w:before="156" w:beforeAutospacing="0" w:after="0" w:afterAutospacing="0"/>
              <w:ind w:left="0" w:right="0" w:firstLine="420"/>
              <w:jc w:val="center"/>
            </w:pPr>
            <w:r>
              <w:rPr>
                <w:rFonts w:hint="eastAsia" w:ascii="宋体" w:hAnsi="宋体" w:eastAsia="宋体" w:cs="宋体"/>
                <w:b w:val="0"/>
                <w:bCs w:val="0"/>
                <w:i w:val="0"/>
                <w:iCs w:val="0"/>
                <w:color w:val="000000"/>
                <w:spacing w:val="0"/>
                <w:w w:val="100"/>
                <w:sz w:val="21"/>
                <w:szCs w:val="21"/>
                <w:vertAlign w:val="baseline"/>
              </w:rPr>
              <w:t>0.85</w:t>
            </w:r>
          </w:p>
        </w:tc>
        <w:tc>
          <w:tcPr>
            <w:tcW w:w="632"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2919A9E3">
            <w:pPr>
              <w:pStyle w:val="2"/>
              <w:keepNext w:val="0"/>
              <w:keepLines w:val="0"/>
              <w:widowControl/>
              <w:suppressLineNumbers w:val="0"/>
              <w:spacing w:before="156"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rPr>
              <w:t>基础保障</w:t>
            </w:r>
          </w:p>
        </w:tc>
      </w:tr>
    </w:tbl>
    <w:p w14:paraId="2CD326E4">
      <w:pPr>
        <w:pStyle w:val="2"/>
        <w:keepNext w:val="0"/>
        <w:keepLines w:val="0"/>
        <w:widowControl/>
        <w:suppressLineNumbers w:val="0"/>
        <w:spacing w:before="156" w:beforeAutospacing="0" w:after="0" w:afterAutospacing="0" w:line="13" w:lineRule="atLeast"/>
        <w:ind w:left="0" w:right="0" w:firstLine="420"/>
        <w:jc w:val="both"/>
      </w:pPr>
      <w:r>
        <w:drawing>
          <wp:inline distT="0" distB="0" distL="114300" distR="114300">
            <wp:extent cx="5257800" cy="5191125"/>
            <wp:effectExtent l="0" t="0" r="0" b="3175"/>
            <wp:docPr id="53" name="图片 60"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0" descr="IMG_270"/>
                    <pic:cNvPicPr>
                      <a:picLocks noChangeAspect="1"/>
                    </pic:cNvPicPr>
                  </pic:nvPicPr>
                  <pic:blipFill>
                    <a:blip r:embed="rId15"/>
                    <a:stretch>
                      <a:fillRect/>
                    </a:stretch>
                  </pic:blipFill>
                  <pic:spPr>
                    <a:xfrm>
                      <a:off x="0" y="0"/>
                      <a:ext cx="5257800" cy="5191125"/>
                    </a:xfrm>
                    <a:prstGeom prst="rect">
                      <a:avLst/>
                    </a:prstGeom>
                    <a:noFill/>
                    <a:ln w="9525">
                      <a:noFill/>
                    </a:ln>
                  </pic:spPr>
                </pic:pic>
              </a:graphicData>
            </a:graphic>
          </wp:inline>
        </w:drawing>
      </w:r>
    </w:p>
    <w:p w14:paraId="0AD53C07">
      <w:pPr>
        <w:pStyle w:val="2"/>
        <w:keepNext w:val="0"/>
        <w:keepLines w:val="0"/>
        <w:widowControl/>
        <w:suppressLineNumbers w:val="0"/>
        <w:spacing w:before="156" w:beforeAutospacing="0" w:after="0" w:afterAutospacing="0" w:line="13" w:lineRule="atLeast"/>
        <w:ind w:left="0" w:right="0" w:firstLine="420"/>
        <w:jc w:val="center"/>
      </w:pPr>
      <w:r>
        <w:rPr>
          <w:rFonts w:hint="eastAsia" w:ascii="宋体" w:hAnsi="宋体" w:eastAsia="宋体" w:cs="宋体"/>
          <w:b w:val="0"/>
          <w:bCs w:val="0"/>
          <w:i w:val="0"/>
          <w:iCs w:val="0"/>
          <w:color w:val="000000"/>
          <w:spacing w:val="0"/>
          <w:w w:val="100"/>
          <w:sz w:val="24"/>
          <w:szCs w:val="24"/>
          <w:vertAlign w:val="baseline"/>
        </w:rPr>
        <w:t>特征重要性排名图</w:t>
      </w:r>
    </w:p>
    <w:p w14:paraId="4D6789D6">
      <w:pPr>
        <w:pStyle w:val="2"/>
        <w:keepNext w:val="0"/>
        <w:keepLines w:val="0"/>
        <w:widowControl/>
        <w:suppressLineNumbers w:val="0"/>
        <w:spacing w:before="156" w:beforeAutospacing="0" w:after="0" w:afterAutospacing="0" w:line="13" w:lineRule="atLeast"/>
        <w:ind w:left="0" w:right="0" w:firstLine="420"/>
        <w:jc w:val="both"/>
      </w:pPr>
      <w:r>
        <w:drawing>
          <wp:inline distT="0" distB="0" distL="114300" distR="114300">
            <wp:extent cx="5257800" cy="5191125"/>
            <wp:effectExtent l="0" t="0" r="0" b="3175"/>
            <wp:docPr id="64" name="图片 61"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1" descr="IMG_271"/>
                    <pic:cNvPicPr>
                      <a:picLocks noChangeAspect="1"/>
                    </pic:cNvPicPr>
                  </pic:nvPicPr>
                  <pic:blipFill>
                    <a:blip r:embed="rId16"/>
                    <a:stretch>
                      <a:fillRect/>
                    </a:stretch>
                  </pic:blipFill>
                  <pic:spPr>
                    <a:xfrm>
                      <a:off x="0" y="0"/>
                      <a:ext cx="5257800" cy="5191125"/>
                    </a:xfrm>
                    <a:prstGeom prst="rect">
                      <a:avLst/>
                    </a:prstGeom>
                    <a:noFill/>
                    <a:ln w="9525">
                      <a:noFill/>
                    </a:ln>
                  </pic:spPr>
                </pic:pic>
              </a:graphicData>
            </a:graphic>
          </wp:inline>
        </w:drawing>
      </w:r>
    </w:p>
    <w:p w14:paraId="114F33B4">
      <w:pPr>
        <w:pStyle w:val="2"/>
        <w:keepNext w:val="0"/>
        <w:keepLines w:val="0"/>
        <w:widowControl/>
        <w:suppressLineNumbers w:val="0"/>
        <w:spacing w:before="156" w:beforeAutospacing="0" w:after="0" w:afterAutospacing="0" w:line="13" w:lineRule="atLeast"/>
        <w:ind w:left="0" w:right="0" w:firstLine="420"/>
        <w:jc w:val="center"/>
      </w:pPr>
      <w:r>
        <w:rPr>
          <w:rFonts w:hint="eastAsia" w:ascii="宋体" w:hAnsi="宋体" w:eastAsia="宋体" w:cs="宋体"/>
          <w:b w:val="0"/>
          <w:bCs w:val="0"/>
          <w:i w:val="0"/>
          <w:iCs w:val="0"/>
          <w:color w:val="000000"/>
          <w:spacing w:val="0"/>
          <w:w w:val="100"/>
          <w:sz w:val="24"/>
          <w:szCs w:val="24"/>
          <w:vertAlign w:val="baseline"/>
        </w:rPr>
        <w:t>特征影响方向图</w:t>
      </w:r>
    </w:p>
    <w:p w14:paraId="70F71BC3">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bCs/>
          <w:i w:val="0"/>
          <w:iCs w:val="0"/>
          <w:color w:val="000000"/>
          <w:spacing w:val="0"/>
          <w:w w:val="100"/>
          <w:sz w:val="24"/>
          <w:szCs w:val="24"/>
          <w:vertAlign w:val="baseline"/>
        </w:rPr>
        <w:t>深度洞察与 SEM 结论的对比：</w:t>
      </w:r>
    </w:p>
    <w:p w14:paraId="60596166">
      <w:pPr>
        <w:pStyle w:val="2"/>
        <w:keepNext w:val="0"/>
        <w:keepLines w:val="0"/>
        <w:widowControl/>
        <w:numPr>
          <w:ilvl w:val="0"/>
          <w:numId w:val="20"/>
        </w:numPr>
        <w:suppressLineNumbers w:val="0"/>
        <w:spacing w:before="156" w:beforeAutospacing="0" w:after="0" w:afterAutospacing="0" w:line="13" w:lineRule="atLeast"/>
        <w:ind w:left="420" w:right="0" w:hanging="420"/>
        <w:jc w:val="both"/>
      </w:pPr>
      <w:r>
        <w:t xml:space="preserve"> </w:t>
      </w:r>
      <w:r>
        <w:rPr>
          <w:rFonts w:hint="eastAsia" w:ascii="宋体" w:hAnsi="宋体" w:eastAsia="宋体" w:cs="宋体"/>
          <w:b w:val="0"/>
          <w:bCs w:val="0"/>
          <w:i w:val="0"/>
          <w:iCs w:val="0"/>
          <w:color w:val="000000"/>
          <w:spacing w:val="0"/>
          <w:w w:val="100"/>
          <w:sz w:val="24"/>
          <w:szCs w:val="24"/>
          <w:vertAlign w:val="baseline"/>
        </w:rPr>
        <w:t xml:space="preserve">“软实力”反超“硬指标”： </w:t>
      </w:r>
    </w:p>
    <w:p w14:paraId="2AF0A338">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与 SEM 宏观模型中“硬件系数最高”的结论形成鲜明对比，在微观个体的决策归因中，“人员服务”跃升至重要性榜首（SHAP=1.42）。这看似矛盾，实则揭示了认知的双重性：在宏观评价时，市民倾向于关注看得见的硬件；但在实际使用体验中，缺乏专业指导（人员缺失）和反馈机制（数据缺失）才是导致低分的罪魁祸首。市民进入驿站后，最渴望的是“有人教我怎么练”和“知道练得怎么样”，而这恰恰是当前无人值守模式下的最大痛点 。</w:t>
      </w:r>
    </w:p>
    <w:p w14:paraId="186D9335">
      <w:pPr>
        <w:pStyle w:val="2"/>
        <w:keepNext w:val="0"/>
        <w:keepLines w:val="0"/>
        <w:widowControl/>
        <w:numPr>
          <w:ilvl w:val="0"/>
          <w:numId w:val="20"/>
        </w:numPr>
        <w:suppressLineNumbers w:val="0"/>
        <w:spacing w:before="156" w:beforeAutospacing="0" w:after="0" w:afterAutospacing="0" w:line="13" w:lineRule="atLeast"/>
        <w:ind w:left="420" w:right="0" w:hanging="420"/>
        <w:jc w:val="both"/>
      </w:pPr>
      <w:r>
        <w:t xml:space="preserve"> </w:t>
      </w:r>
      <w:r>
        <w:rPr>
          <w:rFonts w:hint="eastAsia" w:ascii="宋体" w:hAnsi="宋体" w:eastAsia="宋体" w:cs="宋体"/>
          <w:b w:val="0"/>
          <w:bCs w:val="0"/>
          <w:i w:val="0"/>
          <w:iCs w:val="0"/>
          <w:color w:val="000000"/>
          <w:spacing w:val="0"/>
          <w:w w:val="100"/>
          <w:sz w:val="24"/>
          <w:szCs w:val="24"/>
          <w:vertAlign w:val="baseline"/>
        </w:rPr>
        <w:t xml:space="preserve">数字化体验的分水岭效应： </w:t>
      </w:r>
    </w:p>
    <w:p w14:paraId="2F7C67EF">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“数据服务”与“智能设备”高居第二、第四位。这直接证明了上海推行“城市数字化转型”在体育领域的必要性 。市民已不再满足于单纯的机械运动，对运动数据的可视化、智能化反馈有着强烈需求。这也解释了为何传统驿站效能评分不高——“哑终端”设备已无法匹配数字化时代的消费习惯。数据服务不再是锦上添花，而是成为了核心服务的一环。</w:t>
      </w:r>
    </w:p>
    <w:p w14:paraId="38A943DA">
      <w:pPr>
        <w:pStyle w:val="2"/>
        <w:keepNext w:val="0"/>
        <w:keepLines w:val="0"/>
        <w:widowControl/>
        <w:numPr>
          <w:ilvl w:val="0"/>
          <w:numId w:val="20"/>
        </w:numPr>
        <w:suppressLineNumbers w:val="0"/>
        <w:spacing w:before="156" w:beforeAutospacing="0" w:after="0" w:afterAutospacing="0" w:line="13" w:lineRule="atLeast"/>
        <w:ind w:left="420" w:right="0" w:hanging="420"/>
        <w:jc w:val="both"/>
      </w:pPr>
      <w:r>
        <w:t xml:space="preserve"> </w:t>
      </w:r>
      <w:r>
        <w:rPr>
          <w:rFonts w:hint="eastAsia" w:ascii="宋体" w:hAnsi="宋体" w:eastAsia="宋体" w:cs="宋体"/>
          <w:b w:val="0"/>
          <w:bCs w:val="0"/>
          <w:i w:val="0"/>
          <w:iCs w:val="0"/>
          <w:color w:val="000000"/>
          <w:spacing w:val="0"/>
          <w:w w:val="100"/>
          <w:sz w:val="24"/>
          <w:szCs w:val="24"/>
          <w:vertAlign w:val="baseline"/>
        </w:rPr>
        <w:t>距离因素的“保健因子”属性：</w:t>
      </w:r>
    </w:p>
    <w:p w14:paraId="08C2D8C6">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“距离便利性”在 SHAP 排名中相对靠后，未能进入前五。根据赫兹伯格双因素理论，这说明在上海“15分钟社区生活圈”高覆盖背景下，距离已成为“保健因子”——具备了市民觉得理所应当，不会显著加分；但如果缺失，则会带来不满。</w:t>
      </w:r>
      <w:r>
        <w:rPr>
          <w:rFonts w:hint="eastAsia" w:ascii="宋体" w:hAnsi="宋体" w:eastAsia="宋体" w:cs="宋体"/>
          <w:b w:val="0"/>
          <w:bCs w:val="0"/>
          <w:i w:val="0"/>
          <w:iCs w:val="0"/>
          <w:color w:val="000000"/>
          <w:spacing w:val="0"/>
          <w:w w:val="100"/>
          <w:sz w:val="24"/>
          <w:szCs w:val="24"/>
          <w:vertAlign w:val="baseline"/>
        </w:rPr>
        <w:br w:type="textWrapping"/>
      </w:r>
      <w:r>
        <w:rPr>
          <w:rFonts w:hint="eastAsia" w:ascii="黑体" w:hAnsi="宋体" w:eastAsia="黑体" w:cs="黑体"/>
          <w:b w:val="0"/>
          <w:bCs w:val="0"/>
          <w:i w:val="0"/>
          <w:iCs w:val="0"/>
          <w:color w:val="1F2329"/>
          <w:spacing w:val="0"/>
          <w:w w:val="100"/>
          <w:sz w:val="28"/>
          <w:szCs w:val="28"/>
          <w:shd w:val="clear" w:fill="FFFFFF"/>
          <w:vertAlign w:val="baseline"/>
        </w:rPr>
        <w:t>（五）阈值效应与物理边界：基于PDP的深度挖掘</w:t>
      </w:r>
    </w:p>
    <w:p w14:paraId="6361FE0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为了精准回答“距离多远才合适？”、“维护差到什么程度会崩盘？”等具体的治理问题，单纯的重要性排名是不够的。本研究利用部分依赖图（Partial Dependence Plot, PDP）结合 SHAP 散点图，挖掘关键变量的非线性阈值，为政策制定提供量化红线。</w:t>
      </w:r>
    </w:p>
    <w:p w14:paraId="5506DC57">
      <w:pPr>
        <w:pStyle w:val="2"/>
        <w:keepNext w:val="0"/>
        <w:keepLines w:val="0"/>
        <w:widowControl/>
        <w:numPr>
          <w:ilvl w:val="0"/>
          <w:numId w:val="21"/>
        </w:numPr>
        <w:suppressLineNumbers w:val="0"/>
        <w:spacing w:before="156" w:beforeAutospacing="0" w:after="0" w:afterAutospacing="0" w:line="13" w:lineRule="atLeast"/>
        <w:ind w:left="420" w:right="0" w:hanging="420"/>
        <w:jc w:val="both"/>
      </w:pPr>
      <w:r>
        <w:t xml:space="preserve"> </w:t>
      </w:r>
      <w:r>
        <w:rPr>
          <w:rFonts w:hint="eastAsia" w:ascii="宋体" w:hAnsi="宋体" w:eastAsia="宋体" w:cs="宋体"/>
          <w:b w:val="0"/>
          <w:bCs w:val="0"/>
          <w:i w:val="0"/>
          <w:iCs w:val="0"/>
          <w:color w:val="000000"/>
          <w:spacing w:val="0"/>
          <w:w w:val="100"/>
          <w:sz w:val="24"/>
          <w:szCs w:val="24"/>
          <w:vertAlign w:val="baseline"/>
        </w:rPr>
        <w:t>步行时间的“15分钟断崖效应”：</w:t>
      </w:r>
    </w:p>
    <w:p w14:paraId="7732F572">
      <w:pPr>
        <w:pStyle w:val="2"/>
        <w:keepNext w:val="0"/>
        <w:keepLines w:val="0"/>
        <w:widowControl/>
        <w:suppressLineNumbers w:val="0"/>
        <w:spacing w:before="156" w:beforeAutospacing="0" w:after="0" w:afterAutospacing="0" w:line="13" w:lineRule="atLeast"/>
        <w:ind w:left="420" w:right="0"/>
        <w:jc w:val="both"/>
      </w:pPr>
      <w:r>
        <w:rPr>
          <w:rFonts w:hint="eastAsia" w:ascii="宋体" w:hAnsi="宋体" w:eastAsia="宋体" w:cs="宋体"/>
          <w:b w:val="0"/>
          <w:bCs w:val="0"/>
          <w:i w:val="0"/>
          <w:iCs w:val="0"/>
          <w:color w:val="000000"/>
          <w:spacing w:val="0"/>
          <w:w w:val="100"/>
          <w:sz w:val="24"/>
          <w:szCs w:val="24"/>
          <w:vertAlign w:val="baseline"/>
        </w:rPr>
        <w:t>步行时间（Q13a）与服务效能的非线性关系如图所示。</w:t>
      </w:r>
    </w:p>
    <w:p w14:paraId="77023D26">
      <w:pPr>
        <w:pStyle w:val="2"/>
        <w:keepNext w:val="0"/>
        <w:keepLines w:val="0"/>
        <w:widowControl/>
        <w:numPr>
          <w:ilvl w:val="0"/>
          <w:numId w:val="22"/>
        </w:numPr>
        <w:suppressLineNumbers w:val="0"/>
        <w:spacing w:before="156" w:beforeAutospacing="0" w:after="0" w:afterAutospacing="0" w:line="13" w:lineRule="atLeast"/>
        <w:ind w:left="840" w:right="0" w:hanging="420"/>
        <w:jc w:val="both"/>
      </w:pPr>
      <w:r>
        <w:rPr>
          <w:rFonts w:hint="eastAsia" w:ascii="宋体" w:hAnsi="宋体" w:eastAsia="宋体" w:cs="宋体"/>
          <w:b/>
          <w:bCs/>
          <w:i w:val="0"/>
          <w:iCs w:val="0"/>
          <w:color w:val="000000"/>
          <w:spacing w:val="0"/>
          <w:w w:val="100"/>
          <w:sz w:val="24"/>
          <w:szCs w:val="24"/>
          <w:vertAlign w:val="baseline"/>
        </w:rPr>
        <w:t xml:space="preserve">舒适区（0-14 分钟）： </w:t>
      </w:r>
      <w:r>
        <w:rPr>
          <w:rFonts w:hint="eastAsia" w:ascii="宋体" w:hAnsi="宋体" w:eastAsia="宋体" w:cs="宋体"/>
          <w:b w:val="0"/>
          <w:bCs w:val="0"/>
          <w:i w:val="0"/>
          <w:iCs w:val="0"/>
          <w:color w:val="000000"/>
          <w:spacing w:val="0"/>
          <w:w w:val="100"/>
          <w:sz w:val="24"/>
          <w:szCs w:val="24"/>
          <w:vertAlign w:val="baseline"/>
        </w:rPr>
        <w:t>当步行时间控制在 14 分钟以内时，SHAP 值稳定在 0 轴上方的高位区间，PDP 曲线保持平稳。说明在此范围内，市民对距离的敏感度较低，均处于“心理舒适区”。</w:t>
      </w:r>
    </w:p>
    <w:p w14:paraId="6D1982C5">
      <w:pPr>
        <w:pStyle w:val="2"/>
        <w:keepNext w:val="0"/>
        <w:keepLines w:val="0"/>
        <w:widowControl/>
        <w:numPr>
          <w:ilvl w:val="0"/>
          <w:numId w:val="22"/>
        </w:numPr>
        <w:suppressLineNumbers w:val="0"/>
        <w:spacing w:before="156" w:beforeAutospacing="0" w:after="0" w:afterAutospacing="0" w:line="13" w:lineRule="atLeast"/>
        <w:ind w:left="840" w:right="0" w:hanging="420"/>
        <w:jc w:val="both"/>
      </w:pPr>
      <w:r>
        <w:rPr>
          <w:rFonts w:hint="eastAsia" w:ascii="宋体" w:hAnsi="宋体" w:eastAsia="宋体" w:cs="宋体"/>
          <w:b/>
          <w:bCs/>
          <w:i w:val="0"/>
          <w:iCs w:val="0"/>
          <w:color w:val="000000"/>
          <w:spacing w:val="0"/>
          <w:w w:val="100"/>
          <w:sz w:val="24"/>
          <w:szCs w:val="24"/>
          <w:vertAlign w:val="baseline"/>
        </w:rPr>
        <w:t>断崖点（x = 15 分钟）：</w:t>
      </w:r>
      <w:r>
        <w:rPr>
          <w:rFonts w:hint="eastAsia" w:ascii="宋体" w:hAnsi="宋体" w:eastAsia="宋体" w:cs="宋体"/>
          <w:b w:val="0"/>
          <w:bCs w:val="0"/>
          <w:i w:val="0"/>
          <w:iCs w:val="0"/>
          <w:color w:val="000000"/>
          <w:spacing w:val="0"/>
          <w:w w:val="100"/>
          <w:sz w:val="24"/>
          <w:szCs w:val="24"/>
          <w:vertAlign w:val="baseline"/>
        </w:rPr>
        <w:t xml:space="preserve"> 一旦步行时间突破 15 分钟 这一临界值，SHAP 值瞬间跌入负值区间，PDP 曲线呈现断崖式垂直下跌。</w:t>
      </w:r>
    </w:p>
    <w:p w14:paraId="12FCB584">
      <w:pPr>
        <w:pStyle w:val="2"/>
        <w:keepNext w:val="0"/>
        <w:keepLines w:val="0"/>
        <w:widowControl/>
        <w:numPr>
          <w:ilvl w:val="0"/>
          <w:numId w:val="22"/>
        </w:numPr>
        <w:suppressLineNumbers w:val="0"/>
        <w:spacing w:before="156" w:beforeAutospacing="0" w:after="0" w:afterAutospacing="0" w:line="13" w:lineRule="atLeast"/>
        <w:ind w:left="840" w:right="0" w:hanging="420"/>
        <w:jc w:val="both"/>
      </w:pPr>
      <w:r>
        <w:drawing>
          <wp:inline distT="0" distB="0" distL="114300" distR="114300">
            <wp:extent cx="4953000" cy="4076700"/>
            <wp:effectExtent l="0" t="0" r="0" b="0"/>
            <wp:docPr id="56" name="图片 62"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2" descr="IMG_272"/>
                    <pic:cNvPicPr>
                      <a:picLocks noChangeAspect="1"/>
                    </pic:cNvPicPr>
                  </pic:nvPicPr>
                  <pic:blipFill>
                    <a:blip r:embed="rId17"/>
                    <a:stretch>
                      <a:fillRect/>
                    </a:stretch>
                  </pic:blipFill>
                  <pic:spPr>
                    <a:xfrm>
                      <a:off x="0" y="0"/>
                      <a:ext cx="4953000" cy="4076700"/>
                    </a:xfrm>
                    <a:prstGeom prst="rect">
                      <a:avLst/>
                    </a:prstGeom>
                    <a:noFill/>
                    <a:ln w="9525">
                      <a:noFill/>
                    </a:ln>
                  </pic:spPr>
                </pic:pic>
              </a:graphicData>
            </a:graphic>
          </wp:inline>
        </w:drawing>
      </w:r>
      <w:r>
        <w:rPr>
          <w:rFonts w:hint="eastAsia" w:ascii="宋体" w:hAnsi="宋体" w:eastAsia="宋体" w:cs="宋体"/>
          <w:b/>
          <w:bCs/>
          <w:i w:val="0"/>
          <w:iCs w:val="0"/>
          <w:color w:val="000000"/>
          <w:spacing w:val="0"/>
          <w:w w:val="100"/>
          <w:sz w:val="24"/>
          <w:szCs w:val="24"/>
          <w:vertAlign w:val="baseline"/>
        </w:rPr>
        <w:t>治理启示：</w:t>
      </w:r>
      <w:r>
        <w:rPr>
          <w:rFonts w:hint="eastAsia" w:ascii="宋体" w:hAnsi="宋体" w:eastAsia="宋体" w:cs="宋体"/>
          <w:b w:val="0"/>
          <w:bCs w:val="0"/>
          <w:i w:val="0"/>
          <w:iCs w:val="0"/>
          <w:color w:val="000000"/>
          <w:spacing w:val="0"/>
          <w:w w:val="100"/>
          <w:sz w:val="24"/>
          <w:szCs w:val="24"/>
          <w:vertAlign w:val="baseline"/>
        </w:rPr>
        <w:t xml:space="preserve"> 这一发现用实证数据精准标定了上海“15分钟社区生活圈”的物理边界 。它警示规划者：15分钟不仅是一个政策口号，更是市民参与意愿的“生死线”。 超出此半径的布点，其服务效能将面临边际效用归零的风险，单纯增加此类站点的数量无法有效提升服务覆盖。</w:t>
      </w:r>
    </w:p>
    <w:p w14:paraId="4CED6BF1">
      <w:pPr>
        <w:pStyle w:val="2"/>
        <w:keepNext w:val="0"/>
        <w:keepLines w:val="0"/>
        <w:widowControl/>
        <w:suppressLineNumbers w:val="0"/>
        <w:spacing w:before="156" w:beforeAutospacing="0" w:after="0" w:afterAutospacing="0" w:line="13" w:lineRule="atLeast"/>
        <w:ind w:left="420" w:right="0"/>
        <w:jc w:val="center"/>
      </w:pPr>
      <w:r>
        <w:rPr>
          <w:rFonts w:hint="eastAsia" w:ascii="宋体" w:hAnsi="宋体" w:eastAsia="宋体" w:cs="宋体"/>
          <w:b w:val="0"/>
          <w:bCs w:val="0"/>
          <w:i w:val="0"/>
          <w:iCs w:val="0"/>
          <w:color w:val="000000"/>
          <w:spacing w:val="0"/>
          <w:w w:val="100"/>
          <w:sz w:val="24"/>
          <w:szCs w:val="24"/>
          <w:vertAlign w:val="baseline"/>
        </w:rPr>
        <w:t>步行时间和服务效能关系图</w:t>
      </w:r>
    </w:p>
    <w:p w14:paraId="0D33B4BC">
      <w:pPr>
        <w:pStyle w:val="2"/>
        <w:keepNext w:val="0"/>
        <w:keepLines w:val="0"/>
        <w:widowControl/>
        <w:numPr>
          <w:ilvl w:val="0"/>
          <w:numId w:val="21"/>
        </w:numPr>
        <w:suppressLineNumbers w:val="0"/>
        <w:spacing w:before="156" w:beforeAutospacing="0" w:after="0" w:afterAutospacing="0" w:line="13" w:lineRule="atLeast"/>
        <w:ind w:left="420" w:right="0" w:hanging="420"/>
        <w:jc w:val="both"/>
      </w:pPr>
      <w:r>
        <w:t xml:space="preserve"> </w:t>
      </w:r>
      <w:r>
        <w:rPr>
          <w:rFonts w:hint="eastAsia" w:ascii="宋体" w:hAnsi="宋体" w:eastAsia="宋体" w:cs="宋体"/>
          <w:b w:val="0"/>
          <w:bCs w:val="0"/>
          <w:i w:val="0"/>
          <w:iCs w:val="0"/>
          <w:color w:val="000000"/>
          <w:spacing w:val="0"/>
          <w:w w:val="100"/>
          <w:sz w:val="24"/>
          <w:szCs w:val="24"/>
          <w:vertAlign w:val="baseline"/>
        </w:rPr>
        <w:t>设施维护的“3分底线法则”：</w:t>
      </w:r>
    </w:p>
    <w:p w14:paraId="74D97541">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设施维护评分（Q15）与效能的关系呈现出显著的 “S型”底线特征（图 4-5）。</w:t>
      </w:r>
    </w:p>
    <w:p w14:paraId="55D0B3E5">
      <w:pPr>
        <w:pStyle w:val="2"/>
        <w:keepNext w:val="0"/>
        <w:keepLines w:val="0"/>
        <w:widowControl/>
        <w:numPr>
          <w:ilvl w:val="0"/>
          <w:numId w:val="23"/>
        </w:numPr>
        <w:suppressLineNumbers w:val="0"/>
        <w:spacing w:before="156" w:beforeAutospacing="0" w:after="0" w:afterAutospacing="0" w:line="13" w:lineRule="atLeast"/>
        <w:ind w:left="900" w:right="0" w:hanging="420"/>
        <w:jc w:val="both"/>
      </w:pPr>
      <w:r>
        <w:rPr>
          <w:rFonts w:hint="eastAsia" w:ascii="宋体" w:hAnsi="宋体" w:eastAsia="宋体" w:cs="宋体"/>
          <w:b/>
          <w:bCs/>
          <w:i w:val="0"/>
          <w:iCs w:val="0"/>
          <w:color w:val="000000"/>
          <w:spacing w:val="0"/>
          <w:w w:val="100"/>
          <w:sz w:val="24"/>
          <w:szCs w:val="24"/>
          <w:vertAlign w:val="baseline"/>
        </w:rPr>
        <w:t xml:space="preserve">塌陷区（&lt; 3 分）： </w:t>
      </w:r>
      <w:r>
        <w:rPr>
          <w:rFonts w:hint="eastAsia" w:ascii="宋体" w:hAnsi="宋体" w:eastAsia="宋体" w:cs="宋体"/>
          <w:b w:val="0"/>
          <w:bCs w:val="0"/>
          <w:i w:val="0"/>
          <w:iCs w:val="0"/>
          <w:color w:val="000000"/>
          <w:spacing w:val="0"/>
          <w:w w:val="100"/>
          <w:sz w:val="24"/>
          <w:szCs w:val="24"/>
          <w:vertAlign w:val="baseline"/>
        </w:rPr>
        <w:t>当维护评分低于 3 分（满分 5 分）时，对效能的负向贡献极大且曲线极陡。这意味着卫生差、器械损坏具有 “一票否决权”，会瞬间击穿市民的满意度底线。</w:t>
      </w:r>
    </w:p>
    <w:p w14:paraId="79E6AE1A">
      <w:pPr>
        <w:pStyle w:val="2"/>
        <w:keepNext w:val="0"/>
        <w:keepLines w:val="0"/>
        <w:widowControl/>
        <w:numPr>
          <w:ilvl w:val="0"/>
          <w:numId w:val="23"/>
        </w:numPr>
        <w:suppressLineNumbers w:val="0"/>
        <w:spacing w:before="156" w:beforeAutospacing="0" w:after="0" w:afterAutospacing="0" w:line="13" w:lineRule="atLeast"/>
        <w:ind w:left="900" w:right="0" w:hanging="420"/>
        <w:jc w:val="both"/>
      </w:pPr>
      <w:r>
        <w:rPr>
          <w:rFonts w:hint="eastAsia" w:ascii="宋体" w:hAnsi="宋体" w:eastAsia="宋体" w:cs="宋体"/>
          <w:b/>
          <w:bCs/>
          <w:i w:val="0"/>
          <w:iCs w:val="0"/>
          <w:color w:val="000000"/>
          <w:spacing w:val="0"/>
          <w:w w:val="100"/>
          <w:sz w:val="24"/>
          <w:szCs w:val="24"/>
          <w:vertAlign w:val="baseline"/>
        </w:rPr>
        <w:t xml:space="preserve">敏感区（3-5 分）： </w:t>
      </w:r>
      <w:r>
        <w:rPr>
          <w:rFonts w:hint="eastAsia" w:ascii="宋体" w:hAnsi="宋体" w:eastAsia="宋体" w:cs="宋体"/>
          <w:b w:val="0"/>
          <w:bCs w:val="0"/>
          <w:i w:val="0"/>
          <w:iCs w:val="0"/>
          <w:color w:val="000000"/>
          <w:spacing w:val="0"/>
          <w:w w:val="100"/>
          <w:sz w:val="24"/>
          <w:szCs w:val="24"/>
          <w:vertAlign w:val="baseline"/>
        </w:rPr>
        <w:t>评分从 3 分提升至 5 分的过程中，曲线斜率最大，说明这是投入产出比最高的改进区间。</w:t>
      </w:r>
    </w:p>
    <w:p w14:paraId="73CE99B8">
      <w:pPr>
        <w:pStyle w:val="2"/>
        <w:keepNext w:val="0"/>
        <w:keepLines w:val="0"/>
        <w:widowControl/>
        <w:numPr>
          <w:ilvl w:val="0"/>
          <w:numId w:val="23"/>
        </w:numPr>
        <w:suppressLineNumbers w:val="0"/>
        <w:spacing w:before="156" w:beforeAutospacing="0" w:after="0" w:afterAutospacing="0" w:line="13" w:lineRule="atLeast"/>
        <w:ind w:left="900" w:right="0" w:hanging="420"/>
        <w:jc w:val="both"/>
      </w:pPr>
      <w:r>
        <w:rPr>
          <w:rFonts w:hint="eastAsia" w:ascii="宋体" w:hAnsi="宋体" w:eastAsia="宋体" w:cs="宋体"/>
          <w:b/>
          <w:bCs/>
          <w:i w:val="0"/>
          <w:iCs w:val="0"/>
          <w:color w:val="000000"/>
          <w:spacing w:val="0"/>
          <w:w w:val="100"/>
          <w:sz w:val="24"/>
          <w:szCs w:val="24"/>
          <w:vertAlign w:val="baseline"/>
        </w:rPr>
        <w:t>治理启示：</w:t>
      </w:r>
      <w:r>
        <w:rPr>
          <w:rFonts w:hint="eastAsia" w:ascii="宋体" w:hAnsi="宋体" w:eastAsia="宋体" w:cs="宋体"/>
          <w:b w:val="0"/>
          <w:bCs w:val="0"/>
          <w:i w:val="0"/>
          <w:iCs w:val="0"/>
          <w:color w:val="000000"/>
          <w:spacing w:val="0"/>
          <w:w w:val="100"/>
          <w:sz w:val="24"/>
          <w:szCs w:val="24"/>
          <w:vertAlign w:val="baseline"/>
        </w:rPr>
        <w:t xml:space="preserve"> 设施完好率是服务效能的基石。建立“快速响应机制”，确保设备维护评分始终维持在 3 分以上，是保障驿站正常运转的底线要求 。</w:t>
      </w:r>
    </w:p>
    <w:p w14:paraId="06269250">
      <w:pPr>
        <w:pStyle w:val="2"/>
        <w:keepNext w:val="0"/>
        <w:keepLines w:val="0"/>
        <w:widowControl/>
        <w:numPr>
          <w:ilvl w:val="0"/>
          <w:numId w:val="21"/>
        </w:numPr>
        <w:suppressLineNumbers w:val="0"/>
        <w:spacing w:before="156" w:beforeAutospacing="0" w:after="0" w:afterAutospacing="0" w:line="13" w:lineRule="atLeast"/>
        <w:ind w:left="420" w:right="0" w:hanging="420"/>
        <w:jc w:val="both"/>
      </w:pPr>
      <w:r>
        <w:t xml:space="preserve"> </w:t>
      </w:r>
      <w:r>
        <w:rPr>
          <w:rFonts w:hint="eastAsia" w:ascii="宋体" w:hAnsi="宋体" w:eastAsia="宋体" w:cs="宋体"/>
          <w:b w:val="0"/>
          <w:bCs w:val="0"/>
          <w:i w:val="0"/>
          <w:iCs w:val="0"/>
          <w:color w:val="000000"/>
          <w:spacing w:val="0"/>
          <w:w w:val="100"/>
          <w:sz w:val="24"/>
          <w:szCs w:val="24"/>
          <w:vertAlign w:val="baseline"/>
        </w:rPr>
        <w:t>智能设备的“S型非线性激活”：</w:t>
      </w:r>
    </w:p>
    <w:p w14:paraId="40EEFF0C">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智能设备（Q16_Device）对效能的影响呈现显著的“S型”非线性特征。</w:t>
      </w:r>
    </w:p>
    <w:p w14:paraId="6C568F24">
      <w:pPr>
        <w:pStyle w:val="2"/>
        <w:keepNext w:val="0"/>
        <w:keepLines w:val="0"/>
        <w:widowControl/>
        <w:numPr>
          <w:ilvl w:val="0"/>
          <w:numId w:val="24"/>
        </w:numPr>
        <w:suppressLineNumbers w:val="0"/>
        <w:spacing w:before="156" w:beforeAutospacing="0" w:after="0" w:afterAutospacing="0" w:line="13" w:lineRule="atLeast"/>
        <w:ind w:left="900" w:right="0" w:hanging="420"/>
        <w:jc w:val="both"/>
      </w:pPr>
      <w:r>
        <w:rPr>
          <w:rFonts w:hint="eastAsia" w:ascii="宋体" w:hAnsi="宋体" w:eastAsia="宋体" w:cs="宋体"/>
          <w:b/>
          <w:bCs/>
          <w:i w:val="0"/>
          <w:iCs w:val="0"/>
          <w:color w:val="000000"/>
          <w:spacing w:val="0"/>
          <w:w w:val="100"/>
          <w:sz w:val="24"/>
          <w:szCs w:val="24"/>
          <w:vertAlign w:val="baseline"/>
        </w:rPr>
        <w:t>沉寂区（1-2分）：</w:t>
      </w:r>
      <w:r>
        <w:rPr>
          <w:rFonts w:hint="eastAsia" w:ascii="宋体" w:hAnsi="宋体" w:eastAsia="宋体" w:cs="宋体"/>
          <w:b w:val="0"/>
          <w:bCs w:val="0"/>
          <w:i w:val="0"/>
          <w:iCs w:val="0"/>
          <w:color w:val="000000"/>
          <w:spacing w:val="0"/>
          <w:w w:val="100"/>
          <w:sz w:val="24"/>
          <w:szCs w:val="24"/>
          <w:vertAlign w:val="baseline"/>
        </w:rPr>
        <w:t xml:space="preserve"> 低水平的智能化配置（如仅有基础电子屏）难以触动用户，效能提升微乎其微。</w:t>
      </w:r>
    </w:p>
    <w:p w14:paraId="5E607E97">
      <w:pPr>
        <w:pStyle w:val="2"/>
        <w:keepNext w:val="0"/>
        <w:keepLines w:val="0"/>
        <w:widowControl/>
        <w:numPr>
          <w:ilvl w:val="0"/>
          <w:numId w:val="24"/>
        </w:numPr>
        <w:suppressLineNumbers w:val="0"/>
        <w:spacing w:before="156" w:beforeAutospacing="0" w:after="0" w:afterAutospacing="0" w:line="13" w:lineRule="atLeast"/>
        <w:ind w:left="900" w:right="0" w:hanging="420"/>
        <w:jc w:val="both"/>
      </w:pPr>
      <w:r>
        <w:rPr>
          <w:rFonts w:hint="eastAsia" w:ascii="宋体" w:hAnsi="宋体" w:eastAsia="宋体" w:cs="宋体"/>
          <w:b/>
          <w:bCs/>
          <w:i w:val="0"/>
          <w:iCs w:val="0"/>
          <w:color w:val="000000"/>
          <w:spacing w:val="0"/>
          <w:w w:val="100"/>
          <w:sz w:val="24"/>
          <w:szCs w:val="24"/>
          <w:vertAlign w:val="baseline"/>
        </w:rPr>
        <w:t xml:space="preserve">爆发区（2-6分）： </w:t>
      </w:r>
      <w:r>
        <w:rPr>
          <w:rFonts w:hint="eastAsia" w:ascii="宋体" w:hAnsi="宋体" w:eastAsia="宋体" w:cs="宋体"/>
          <w:b w:val="0"/>
          <w:bCs w:val="0"/>
          <w:i w:val="0"/>
          <w:iCs w:val="0"/>
          <w:color w:val="000000"/>
          <w:spacing w:val="0"/>
          <w:w w:val="100"/>
          <w:sz w:val="24"/>
          <w:szCs w:val="24"/>
          <w:vertAlign w:val="baseline"/>
        </w:rPr>
        <w:t>这是曲线斜率最陡峭的区间，意味着从“基础智能”向“深度智能”（如数据互联、AI指导）跨越时，市民的获得感最强，投入产出比最高。</w:t>
      </w:r>
    </w:p>
    <w:p w14:paraId="77E1314F">
      <w:pPr>
        <w:pStyle w:val="2"/>
        <w:keepNext w:val="0"/>
        <w:keepLines w:val="0"/>
        <w:widowControl/>
        <w:numPr>
          <w:ilvl w:val="0"/>
          <w:numId w:val="24"/>
        </w:numPr>
        <w:suppressLineNumbers w:val="0"/>
        <w:spacing w:before="156" w:beforeAutospacing="0" w:after="0" w:afterAutospacing="0" w:line="13" w:lineRule="atLeast"/>
        <w:ind w:left="900" w:right="0" w:hanging="420"/>
        <w:jc w:val="both"/>
      </w:pPr>
      <w:r>
        <w:rPr>
          <w:rFonts w:hint="eastAsia" w:ascii="宋体" w:hAnsi="宋体" w:eastAsia="宋体" w:cs="宋体"/>
          <w:b/>
          <w:bCs/>
          <w:i w:val="0"/>
          <w:iCs w:val="0"/>
          <w:color w:val="000000"/>
          <w:spacing w:val="0"/>
          <w:w w:val="100"/>
          <w:sz w:val="24"/>
          <w:szCs w:val="24"/>
          <w:vertAlign w:val="baseline"/>
        </w:rPr>
        <w:t xml:space="preserve">饱和区（&gt;6分）： </w:t>
      </w:r>
      <w:r>
        <w:rPr>
          <w:rFonts w:hint="eastAsia" w:ascii="宋体" w:hAnsi="宋体" w:eastAsia="宋体" w:cs="宋体"/>
          <w:b w:val="0"/>
          <w:bCs w:val="0"/>
          <w:i w:val="0"/>
          <w:iCs w:val="0"/>
          <w:color w:val="000000"/>
          <w:spacing w:val="0"/>
          <w:w w:val="100"/>
          <w:sz w:val="24"/>
          <w:szCs w:val="24"/>
          <w:vertAlign w:val="baseline"/>
        </w:rPr>
        <w:t>当评分突破 6 分后，曲线趋于平缓，出现“边际效用递减”。</w:t>
      </w:r>
    </w:p>
    <w:p w14:paraId="57FD839A">
      <w:pPr>
        <w:pStyle w:val="2"/>
        <w:keepNext w:val="0"/>
        <w:keepLines w:val="0"/>
        <w:widowControl/>
        <w:suppressLineNumbers w:val="0"/>
        <w:spacing w:before="156" w:beforeAutospacing="0" w:after="0" w:afterAutospacing="0" w:line="13" w:lineRule="atLeast"/>
        <w:ind w:left="0" w:right="0" w:firstLine="420"/>
        <w:jc w:val="both"/>
      </w:pPr>
      <w:r>
        <w:drawing>
          <wp:inline distT="0" distB="0" distL="114300" distR="114300">
            <wp:extent cx="6029325" cy="2457450"/>
            <wp:effectExtent l="0" t="0" r="3175" b="6350"/>
            <wp:docPr id="60" name="图片 63"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3" descr="IMG_273"/>
                    <pic:cNvPicPr>
                      <a:picLocks noChangeAspect="1"/>
                    </pic:cNvPicPr>
                  </pic:nvPicPr>
                  <pic:blipFill>
                    <a:blip r:embed="rId18"/>
                    <a:stretch>
                      <a:fillRect/>
                    </a:stretch>
                  </pic:blipFill>
                  <pic:spPr>
                    <a:xfrm>
                      <a:off x="0" y="0"/>
                      <a:ext cx="6029325" cy="2457450"/>
                    </a:xfrm>
                    <a:prstGeom prst="rect">
                      <a:avLst/>
                    </a:prstGeom>
                    <a:noFill/>
                    <a:ln w="9525">
                      <a:noFill/>
                    </a:ln>
                  </pic:spPr>
                </pic:pic>
              </a:graphicData>
            </a:graphic>
          </wp:inline>
        </w:drawing>
      </w:r>
      <w:r>
        <w:rPr>
          <w:rFonts w:hint="eastAsia" w:ascii="宋体" w:hAnsi="宋体" w:eastAsia="宋体" w:cs="宋体"/>
          <w:b w:val="0"/>
          <w:bCs w:val="0"/>
          <w:i w:val="0"/>
          <w:iCs w:val="0"/>
          <w:color w:val="000000"/>
          <w:spacing w:val="0"/>
          <w:w w:val="100"/>
          <w:sz w:val="24"/>
          <w:szCs w:val="24"/>
          <w:vertAlign w:val="baseline"/>
        </w:rPr>
        <w:t>结论：这表明智能化建设并非越高端越好，而是要追求“恰到好处”的6分及格线。当前上海市民对智能化的需求正处于“爆发区”爬坡阶段，因此加大数智化投入将直接带动整体效能的快速跃升。</w:t>
      </w:r>
    </w:p>
    <w:p w14:paraId="0985BE51">
      <w:pPr>
        <w:pStyle w:val="2"/>
        <w:keepNext w:val="0"/>
        <w:keepLines w:val="0"/>
        <w:widowControl/>
        <w:suppressLineNumbers w:val="0"/>
        <w:spacing w:before="156" w:beforeAutospacing="0" w:after="0" w:afterAutospacing="0" w:line="13" w:lineRule="atLeast"/>
        <w:ind w:left="0" w:right="0" w:firstLine="420"/>
        <w:jc w:val="center"/>
      </w:pPr>
      <w:r>
        <w:rPr>
          <w:rFonts w:hint="eastAsia" w:ascii="宋体" w:hAnsi="宋体" w:eastAsia="宋体" w:cs="宋体"/>
          <w:b w:val="0"/>
          <w:bCs w:val="0"/>
          <w:i w:val="0"/>
          <w:iCs w:val="0"/>
          <w:color w:val="000000"/>
          <w:spacing w:val="0"/>
          <w:w w:val="100"/>
          <w:sz w:val="24"/>
          <w:szCs w:val="24"/>
          <w:vertAlign w:val="baseline"/>
        </w:rPr>
        <w:t>设施维护和智能设备与服务效能关系对比图</w:t>
      </w:r>
    </w:p>
    <w:p w14:paraId="4A10D40E">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（六）情感挖掘：基于文本评论的痛点验证</w:t>
      </w:r>
    </w:p>
    <w:p w14:paraId="4409805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为了验证上述量化模型的结论，本研究爬取了大众点评及“上海体育”公众号关于健身驿站的 877 条用户评论，利用 Python 中的 SnowNLP 库进行情感分析及 TF-IDF 关键词提取 。</w:t>
      </w:r>
    </w:p>
    <w:p w14:paraId="71F65832">
      <w:pPr>
        <w:pStyle w:val="2"/>
        <w:keepNext w:val="0"/>
        <w:keepLines w:val="0"/>
        <w:widowControl/>
        <w:numPr>
          <w:ilvl w:val="0"/>
          <w:numId w:val="25"/>
        </w:numPr>
        <w:suppressLineNumbers w:val="0"/>
        <w:spacing w:before="156" w:beforeAutospacing="0" w:after="0" w:afterAutospacing="0" w:line="13" w:lineRule="atLeast"/>
        <w:ind w:left="900" w:right="0" w:hanging="420"/>
        <w:jc w:val="both"/>
      </w:pPr>
      <w:r>
        <w:rPr>
          <w:rFonts w:hint="eastAsia" w:ascii="宋体" w:hAnsi="宋体" w:eastAsia="宋体" w:cs="宋体"/>
          <w:b w:val="0"/>
          <w:bCs w:val="0"/>
          <w:i w:val="0"/>
          <w:iCs w:val="0"/>
          <w:color w:val="000000"/>
          <w:spacing w:val="0"/>
          <w:w w:val="100"/>
          <w:sz w:val="24"/>
          <w:szCs w:val="24"/>
          <w:vertAlign w:val="baseline"/>
        </w:rPr>
        <w:t>情感倾向： 正面评论占比 68.9%，负面评论占比 21.3%。</w:t>
      </w:r>
    </w:p>
    <w:p w14:paraId="3CB7AD76">
      <w:pPr>
        <w:pStyle w:val="2"/>
        <w:keepNext w:val="0"/>
        <w:keepLines w:val="0"/>
        <w:widowControl/>
        <w:numPr>
          <w:ilvl w:val="0"/>
          <w:numId w:val="25"/>
        </w:numPr>
        <w:suppressLineNumbers w:val="0"/>
        <w:spacing w:before="156" w:beforeAutospacing="0" w:after="0" w:afterAutospacing="0" w:line="13" w:lineRule="atLeast"/>
        <w:ind w:left="900" w:right="0" w:hanging="420"/>
        <w:jc w:val="both"/>
      </w:pPr>
      <w:r>
        <w:rPr>
          <w:rFonts w:hint="eastAsia" w:ascii="宋体" w:hAnsi="宋体" w:eastAsia="宋体" w:cs="宋体"/>
          <w:b w:val="0"/>
          <w:bCs w:val="0"/>
          <w:i w:val="0"/>
          <w:iCs w:val="0"/>
          <w:color w:val="000000"/>
          <w:spacing w:val="0"/>
          <w:w w:val="100"/>
          <w:sz w:val="24"/>
          <w:szCs w:val="24"/>
          <w:vertAlign w:val="baseline"/>
        </w:rPr>
        <w:t>高频词云分析：</w:t>
      </w:r>
    </w:p>
    <w:p w14:paraId="3474F3AF">
      <w:pPr>
        <w:pStyle w:val="2"/>
        <w:keepNext w:val="0"/>
        <w:keepLines w:val="0"/>
        <w:widowControl/>
        <w:numPr>
          <w:ilvl w:val="0"/>
          <w:numId w:val="25"/>
        </w:numPr>
        <w:suppressLineNumbers w:val="0"/>
        <w:spacing w:before="156" w:beforeAutospacing="0" w:after="0" w:afterAutospacing="0" w:line="13" w:lineRule="atLeast"/>
        <w:ind w:left="900" w:right="0" w:hanging="420"/>
        <w:jc w:val="both"/>
      </w:pPr>
      <w:r>
        <w:rPr>
          <w:rFonts w:hint="eastAsia" w:ascii="宋体" w:hAnsi="宋体" w:eastAsia="宋体" w:cs="宋体"/>
          <w:b w:val="0"/>
          <w:bCs w:val="0"/>
          <w:i w:val="0"/>
          <w:iCs w:val="0"/>
          <w:color w:val="000000"/>
          <w:spacing w:val="0"/>
          <w:w w:val="100"/>
          <w:sz w:val="24"/>
          <w:szCs w:val="24"/>
          <w:vertAlign w:val="baseline"/>
        </w:rPr>
        <w:t>正面词汇集中在“方便”、“免费”、“近”、“家门口”。这印证了便利性与公益性已得到认可。</w:t>
      </w:r>
    </w:p>
    <w:p w14:paraId="7EBA71A0">
      <w:pPr>
        <w:pStyle w:val="2"/>
        <w:keepNext w:val="0"/>
        <w:keepLines w:val="0"/>
        <w:widowControl/>
        <w:numPr>
          <w:ilvl w:val="0"/>
          <w:numId w:val="25"/>
        </w:numPr>
        <w:suppressLineNumbers w:val="0"/>
        <w:spacing w:before="156" w:beforeAutospacing="0" w:after="0" w:afterAutospacing="0" w:line="13" w:lineRule="atLeast"/>
        <w:ind w:left="900" w:right="0" w:hanging="420"/>
        <w:jc w:val="both"/>
      </w:pPr>
      <w:r>
        <w:rPr>
          <w:rFonts w:hint="eastAsia" w:ascii="宋体" w:hAnsi="宋体" w:eastAsia="宋体" w:cs="宋体"/>
          <w:b w:val="0"/>
          <w:bCs w:val="0"/>
          <w:i w:val="0"/>
          <w:iCs w:val="0"/>
          <w:color w:val="000000"/>
          <w:spacing w:val="0"/>
          <w:w w:val="100"/>
          <w:sz w:val="24"/>
          <w:szCs w:val="24"/>
          <w:vertAlign w:val="baseline"/>
        </w:rPr>
        <w:t>负面词汇集中在“不开门”（对应营业时间）、“坏了/老旧”（对应维护）、“没人管/不会用”（对应人员服务）、“不知道怎么连手机”（对应数据服务）。</w:t>
      </w:r>
    </w:p>
    <w:p w14:paraId="1A25871C">
      <w:pPr>
        <w:pStyle w:val="2"/>
        <w:keepNext w:val="0"/>
        <w:keepLines w:val="0"/>
        <w:widowControl/>
        <w:numPr>
          <w:ilvl w:val="0"/>
          <w:numId w:val="25"/>
        </w:numPr>
        <w:suppressLineNumbers w:val="0"/>
        <w:spacing w:before="156" w:beforeAutospacing="0" w:after="0" w:afterAutospacing="0" w:line="13" w:lineRule="atLeast"/>
        <w:ind w:left="900" w:right="0" w:hanging="420"/>
        <w:jc w:val="both"/>
      </w:pPr>
      <w:r>
        <w:rPr>
          <w:rFonts w:hint="eastAsia" w:ascii="宋体" w:hAnsi="宋体" w:eastAsia="宋体" w:cs="宋体"/>
          <w:b w:val="0"/>
          <w:bCs w:val="0"/>
          <w:i w:val="0"/>
          <w:iCs w:val="0"/>
          <w:color w:val="000000"/>
          <w:spacing w:val="0"/>
          <w:w w:val="100"/>
          <w:sz w:val="24"/>
          <w:szCs w:val="24"/>
          <w:vertAlign w:val="baseline"/>
        </w:rPr>
        <w:t>结论互证： 文本分析结果与 SHAP 分析高度一致，进一步印证了“距离已不是主要矛盾，运营服务、数据交互与维护管理才是核心痛点”的判断。</w:t>
      </w:r>
      <w:r>
        <w:rPr>
          <w:rFonts w:hint="eastAsia" w:ascii="宋体" w:hAnsi="宋体" w:eastAsia="宋体" w:cs="宋体"/>
          <w:b w:val="0"/>
          <w:bCs w:val="0"/>
          <w:i w:val="0"/>
          <w:iCs w:val="0"/>
          <w:color w:val="000000"/>
          <w:spacing w:val="0"/>
          <w:w w:val="100"/>
          <w:sz w:val="24"/>
          <w:szCs w:val="24"/>
          <w:vertAlign w:val="baseline"/>
        </w:rPr>
        <w:br w:type="textWrapping"/>
      </w:r>
    </w:p>
    <w:p w14:paraId="76FCF57D">
      <w:pPr>
        <w:pStyle w:val="2"/>
        <w:keepNext w:val="0"/>
        <w:keepLines w:val="0"/>
        <w:widowControl/>
        <w:suppressLineNumbers w:val="0"/>
        <w:spacing w:before="156" w:beforeAutospacing="0" w:after="0" w:afterAutospacing="0" w:line="13" w:lineRule="atLeast"/>
        <w:ind w:left="0" w:right="0" w:firstLine="420"/>
        <w:jc w:val="both"/>
      </w:pPr>
      <w:r>
        <w:rPr>
          <w:rFonts w:hint="eastAsia" w:ascii="黑体" w:hAnsi="宋体" w:eastAsia="黑体" w:cs="黑体"/>
          <w:b w:val="0"/>
          <w:bCs w:val="0"/>
          <w:i w:val="0"/>
          <w:iCs w:val="0"/>
          <w:color w:val="1F2329"/>
          <w:spacing w:val="0"/>
          <w:w w:val="100"/>
          <w:sz w:val="28"/>
          <w:szCs w:val="28"/>
          <w:shd w:val="clear" w:fill="FFFFFF"/>
          <w:vertAlign w:val="baseline"/>
          <w:lang w:val="en-US"/>
        </w:rPr>
        <w:t> </w:t>
      </w:r>
    </w:p>
    <w:p w14:paraId="73191923">
      <w:pPr>
        <w:pStyle w:val="2"/>
        <w:keepNext w:val="0"/>
        <w:keepLines w:val="0"/>
        <w:widowControl/>
        <w:suppressLineNumbers w:val="0"/>
        <w:spacing w:before="156" w:beforeAutospacing="0" w:after="0" w:afterAutospacing="0" w:line="13" w:lineRule="atLeast"/>
        <w:ind w:left="0" w:right="0" w:firstLine="420"/>
        <w:jc w:val="center"/>
      </w:pPr>
      <w:r>
        <w:rPr>
          <w:rFonts w:hint="eastAsia" w:ascii="黑体" w:hAnsi="宋体" w:eastAsia="黑体" w:cs="黑体"/>
          <w:b w:val="0"/>
          <w:bCs w:val="0"/>
          <w:i w:val="0"/>
          <w:iCs w:val="0"/>
          <w:color w:val="000000"/>
          <w:spacing w:val="0"/>
          <w:w w:val="100"/>
          <w:sz w:val="30"/>
          <w:szCs w:val="30"/>
          <w:vertAlign w:val="baseline"/>
        </w:rPr>
        <w:t>五、破局与重塑：上海市民健身驿站服务效能提升策略</w:t>
      </w:r>
    </w:p>
    <w:p w14:paraId="6BB45788">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基于第 3 章模糊综合评价（FCE）揭示的</w:t>
      </w:r>
      <w:r>
        <w:rPr>
          <w:rFonts w:hint="eastAsia" w:ascii="宋体" w:hAnsi="宋体" w:eastAsia="宋体" w:cs="宋体"/>
          <w:b/>
          <w:bCs/>
          <w:i w:val="0"/>
          <w:iCs w:val="0"/>
          <w:color w:val="000000"/>
          <w:spacing w:val="0"/>
          <w:w w:val="100"/>
          <w:sz w:val="24"/>
          <w:szCs w:val="24"/>
          <w:vertAlign w:val="baseline"/>
        </w:rPr>
        <w:t xml:space="preserve"> 56.88 </w:t>
      </w:r>
      <w:r>
        <w:rPr>
          <w:rFonts w:hint="eastAsia" w:ascii="宋体" w:hAnsi="宋体" w:eastAsia="宋体" w:cs="宋体"/>
          <w:b w:val="0"/>
          <w:bCs w:val="0"/>
          <w:i w:val="0"/>
          <w:iCs w:val="0"/>
          <w:color w:val="000000"/>
          <w:spacing w:val="0"/>
          <w:w w:val="100"/>
          <w:sz w:val="24"/>
          <w:szCs w:val="24"/>
          <w:vertAlign w:val="baseline"/>
        </w:rPr>
        <w:t xml:space="preserve">分 效能现状，以及第 4 章 XGBoost-SHAP 模型挖掘出的 </w:t>
      </w:r>
      <w:r>
        <w:rPr>
          <w:rFonts w:hint="eastAsia" w:ascii="宋体" w:hAnsi="宋体" w:eastAsia="宋体" w:cs="宋体"/>
          <w:b/>
          <w:bCs/>
          <w:i w:val="0"/>
          <w:iCs w:val="0"/>
          <w:color w:val="000000"/>
          <w:spacing w:val="0"/>
          <w:w w:val="100"/>
          <w:sz w:val="24"/>
          <w:szCs w:val="24"/>
          <w:vertAlign w:val="baseline"/>
        </w:rPr>
        <w:t>“软实力缺失”</w:t>
      </w:r>
      <w:r>
        <w:rPr>
          <w:rFonts w:hint="eastAsia" w:ascii="宋体" w:hAnsi="宋体" w:eastAsia="宋体" w:cs="宋体"/>
          <w:b w:val="0"/>
          <w:bCs w:val="0"/>
          <w:i w:val="0"/>
          <w:iCs w:val="0"/>
          <w:color w:val="000000"/>
          <w:spacing w:val="0"/>
          <w:w w:val="100"/>
          <w:sz w:val="24"/>
          <w:szCs w:val="24"/>
          <w:vertAlign w:val="baseline"/>
        </w:rPr>
        <w:t xml:space="preserve"> 与 </w:t>
      </w:r>
      <w:r>
        <w:rPr>
          <w:rFonts w:hint="eastAsia" w:ascii="宋体" w:hAnsi="宋体" w:eastAsia="宋体" w:cs="宋体"/>
          <w:b/>
          <w:bCs/>
          <w:i w:val="0"/>
          <w:iCs w:val="0"/>
          <w:color w:val="000000"/>
          <w:spacing w:val="0"/>
          <w:w w:val="100"/>
          <w:sz w:val="24"/>
          <w:szCs w:val="24"/>
          <w:vertAlign w:val="baseline"/>
        </w:rPr>
        <w:t>“15分钟断崖”</w:t>
      </w:r>
      <w:r>
        <w:rPr>
          <w:rFonts w:hint="eastAsia" w:ascii="宋体" w:hAnsi="宋体" w:eastAsia="宋体" w:cs="宋体"/>
          <w:b w:val="0"/>
          <w:bCs w:val="0"/>
          <w:i w:val="0"/>
          <w:iCs w:val="0"/>
          <w:color w:val="000000"/>
          <w:spacing w:val="0"/>
          <w:w w:val="100"/>
          <w:sz w:val="24"/>
          <w:szCs w:val="24"/>
          <w:vertAlign w:val="baseline"/>
        </w:rPr>
        <w:t xml:space="preserve"> 效应，本章遵循“问题导向—精准施策”的逻辑，构建修正版 SHAP-IPA 决策矩阵。结合 4P 营销理论（Product, Price, Place, Promotion）进行公共服务视角的适应性改造，提出“空间精准填盲、数智深度赋能、运营潮汐升维、底线动态治理”四大提升策略，并设计“驿动申城”数字化应用原型，以期实现上海市民健身驿站服务效能的跃迁。</w:t>
      </w:r>
    </w:p>
    <w:p w14:paraId="5C981AC8">
      <w:pPr>
        <w:pStyle w:val="2"/>
        <w:keepNext w:val="0"/>
        <w:keepLines w:val="0"/>
        <w:widowControl/>
        <w:numPr>
          <w:ilvl w:val="0"/>
          <w:numId w:val="26"/>
        </w:numPr>
        <w:suppressLineNumbers w:val="0"/>
        <w:spacing w:before="156" w:beforeAutospacing="0" w:after="0" w:afterAutospacing="0" w:line="13" w:lineRule="atLeast"/>
        <w:ind w:left="720" w:right="0" w:hanging="720"/>
        <w:jc w:val="both"/>
      </w:pPr>
      <w:r>
        <w:t xml:space="preserve"> </w:t>
      </w:r>
      <w:r>
        <w:rPr>
          <w:rFonts w:hint="eastAsia" w:ascii="黑体" w:hAnsi="宋体" w:eastAsia="黑体" w:cs="黑体"/>
          <w:b w:val="0"/>
          <w:bCs w:val="0"/>
          <w:i w:val="0"/>
          <w:iCs w:val="0"/>
          <w:color w:val="1F2329"/>
          <w:spacing w:val="0"/>
          <w:w w:val="100"/>
          <w:sz w:val="28"/>
          <w:szCs w:val="28"/>
          <w:shd w:val="clear" w:fill="FFFFFF"/>
          <w:vertAlign w:val="baseline"/>
        </w:rPr>
        <w:t>策略定位：基于 SHAP-IPA 的精准治理矩阵</w:t>
      </w:r>
    </w:p>
    <w:p w14:paraId="3A8F8178">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为避免“头痛医头”的片面治理，本研究将第 3 章得出的 现状满意度（Performance，X轴） 与第 4 章得出的 SHAP 全局重要性（Importance，Y轴） 相结合，绘制上海市民健身驿站的精准治理策略矩阵（SHAP-IPA Matrix），如图 5-1 所示。该矩阵将所有服务指标划分为四个策略象限。</w:t>
      </w:r>
    </w:p>
    <w:p w14:paraId="1B995119">
      <w:pPr>
        <w:pStyle w:val="2"/>
        <w:keepNext w:val="0"/>
        <w:keepLines w:val="0"/>
        <w:widowControl/>
        <w:suppressLineNumbers w:val="0"/>
        <w:spacing w:before="156" w:beforeAutospacing="0" w:after="0" w:afterAutospacing="0" w:line="13" w:lineRule="atLeast"/>
        <w:ind w:left="0" w:right="0"/>
        <w:jc w:val="both"/>
      </w:pPr>
      <w:r>
        <w:drawing>
          <wp:inline distT="0" distB="0" distL="114300" distR="114300">
            <wp:extent cx="5248275" cy="4362450"/>
            <wp:effectExtent l="0" t="0" r="9525" b="6350"/>
            <wp:docPr id="61" name="图片 64"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4" descr="IMG_274"/>
                    <pic:cNvPicPr>
                      <a:picLocks noChangeAspect="1"/>
                    </pic:cNvPicPr>
                  </pic:nvPicPr>
                  <pic:blipFill>
                    <a:blip r:embed="rId19"/>
                    <a:stretch>
                      <a:fillRect/>
                    </a:stretch>
                  </pic:blipFill>
                  <pic:spPr>
                    <a:xfrm>
                      <a:off x="0" y="0"/>
                      <a:ext cx="5248275" cy="4362450"/>
                    </a:xfrm>
                    <a:prstGeom prst="rect">
                      <a:avLst/>
                    </a:prstGeom>
                    <a:noFill/>
                    <a:ln w="9525">
                      <a:noFill/>
                    </a:ln>
                  </pic:spPr>
                </pic:pic>
              </a:graphicData>
            </a:graphic>
          </wp:inline>
        </w:drawing>
      </w:r>
    </w:p>
    <w:p w14:paraId="0C53DF0F">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表12 基于SHAP-IPA的上海市民健身驿站精准治理策略矩阵</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507"/>
        <w:gridCol w:w="1546"/>
        <w:gridCol w:w="1729"/>
        <w:gridCol w:w="1723"/>
        <w:gridCol w:w="1023"/>
      </w:tblGrid>
      <w:tr w14:paraId="05128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507"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3745275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象限</w:t>
            </w:r>
          </w:p>
        </w:tc>
        <w:tc>
          <w:tcPr>
            <w:tcW w:w="1546"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59D9AFD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名称</w:t>
            </w:r>
          </w:p>
        </w:tc>
        <w:tc>
          <w:tcPr>
            <w:tcW w:w="1729"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0A7BE1E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特征描述</w:t>
            </w:r>
          </w:p>
        </w:tc>
        <w:tc>
          <w:tcPr>
            <w:tcW w:w="172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400E6F8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落点指标</w:t>
            </w:r>
          </w:p>
        </w:tc>
        <w:tc>
          <w:tcPr>
            <w:tcW w:w="1023"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36FBAB4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战略导向</w:t>
            </w:r>
          </w:p>
        </w:tc>
      </w:tr>
      <w:tr w14:paraId="5903F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507"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E84096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I</w:t>
            </w:r>
          </w:p>
        </w:tc>
        <w:tc>
          <w:tcPr>
            <w:tcW w:w="1546"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44A443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亟待改进区</w:t>
            </w:r>
            <w:r>
              <w:rPr>
                <w:rFonts w:hint="eastAsia" w:ascii="宋体" w:hAnsi="宋体" w:eastAsia="宋体" w:cs="宋体"/>
                <w:b w:val="0"/>
                <w:bCs w:val="0"/>
                <w:i w:val="0"/>
                <w:iCs w:val="0"/>
                <w:color w:val="000000"/>
                <w:spacing w:val="0"/>
                <w:w w:val="100"/>
                <w:sz w:val="21"/>
                <w:szCs w:val="21"/>
                <w:vertAlign w:val="baseline"/>
              </w:rPr>
              <w:t xml:space="preserve"> (Priority)</w:t>
            </w:r>
          </w:p>
        </w:tc>
        <w:tc>
          <w:tcPr>
            <w:tcW w:w="1729"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11D651A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高重要性 - 低满意度</w:t>
            </w:r>
          </w:p>
          <w:p w14:paraId="6B9FA3B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效能提升的“主战场”，痛点最集中。</w:t>
            </w:r>
          </w:p>
        </w:tc>
        <w:tc>
          <w:tcPr>
            <w:tcW w:w="172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E699DB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营业时间、智能设备、数据服务、人员服务</w:t>
            </w:r>
          </w:p>
        </w:tc>
        <w:tc>
          <w:tcPr>
            <w:tcW w:w="102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339D2FC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集中资源，优先突破</w:t>
            </w:r>
          </w:p>
        </w:tc>
      </w:tr>
      <w:tr w14:paraId="49D97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07"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6136026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II</w:t>
            </w:r>
          </w:p>
        </w:tc>
        <w:tc>
          <w:tcPr>
            <w:tcW w:w="1546"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4422339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优势保持区</w:t>
            </w:r>
            <w:r>
              <w:rPr>
                <w:rFonts w:hint="eastAsia" w:ascii="宋体" w:hAnsi="宋体" w:eastAsia="宋体" w:cs="宋体"/>
                <w:b w:val="0"/>
                <w:bCs w:val="0"/>
                <w:i w:val="0"/>
                <w:iCs w:val="0"/>
                <w:color w:val="000000"/>
                <w:spacing w:val="0"/>
                <w:w w:val="100"/>
                <w:sz w:val="21"/>
                <w:szCs w:val="21"/>
                <w:vertAlign w:val="baseline"/>
              </w:rPr>
              <w:t xml:space="preserve"> (Keep)</w:t>
            </w:r>
          </w:p>
        </w:tc>
        <w:tc>
          <w:tcPr>
            <w:tcW w:w="1729"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41CB21C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高重要性 - 高满意度</w:t>
            </w:r>
          </w:p>
          <w:p w14:paraId="2B1ABC2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服务的“压舱石”，一旦滑落影响巨大。</w:t>
            </w:r>
          </w:p>
        </w:tc>
        <w:tc>
          <w:tcPr>
            <w:tcW w:w="172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1B2314F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配套设施、器材维护</w:t>
            </w:r>
          </w:p>
        </w:tc>
        <w:tc>
          <w:tcPr>
            <w:tcW w:w="1023"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77EF65E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标准固化，防止滑坡</w:t>
            </w:r>
          </w:p>
        </w:tc>
      </w:tr>
      <w:tr w14:paraId="29076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507"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D443E8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III</w:t>
            </w:r>
          </w:p>
        </w:tc>
        <w:tc>
          <w:tcPr>
            <w:tcW w:w="1546"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4922F8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次要改进区</w:t>
            </w:r>
            <w:r>
              <w:rPr>
                <w:rFonts w:hint="eastAsia" w:ascii="宋体" w:hAnsi="宋体" w:eastAsia="宋体" w:cs="宋体"/>
                <w:b w:val="0"/>
                <w:bCs w:val="0"/>
                <w:i w:val="0"/>
                <w:iCs w:val="0"/>
                <w:color w:val="000000"/>
                <w:spacing w:val="0"/>
                <w:w w:val="100"/>
                <w:sz w:val="21"/>
                <w:szCs w:val="21"/>
                <w:vertAlign w:val="baseline"/>
              </w:rPr>
              <w:t xml:space="preserve"> (Low Priority)</w:t>
            </w:r>
          </w:p>
        </w:tc>
        <w:tc>
          <w:tcPr>
            <w:tcW w:w="1729"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634307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低重要性 - 低满意度</w:t>
            </w:r>
          </w:p>
          <w:p w14:paraId="3B9D88B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影响相对较小，非当前核心矛盾。</w:t>
            </w:r>
          </w:p>
        </w:tc>
        <w:tc>
          <w:tcPr>
            <w:tcW w:w="172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FD4599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价格费用、信息发布</w:t>
            </w:r>
          </w:p>
        </w:tc>
        <w:tc>
          <w:tcPr>
            <w:tcW w:w="1023"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55469B1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长期优化，循序渐进</w:t>
            </w:r>
          </w:p>
        </w:tc>
      </w:tr>
      <w:tr w14:paraId="20D6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507" w:type="dxa"/>
            <w:tcBorders>
              <w:top w:val="single" w:color="auto" w:sz="2" w:space="0"/>
              <w:left w:val="single" w:color="CBCDD1" w:sz="2" w:space="0"/>
              <w:bottom w:val="single" w:color="auto" w:sz="8" w:space="0"/>
              <w:right w:val="single" w:color="auto" w:sz="2" w:space="0"/>
            </w:tcBorders>
            <w:shd w:val="clear"/>
            <w:tcMar>
              <w:top w:w="0" w:type="dxa"/>
              <w:left w:w="72" w:type="dxa"/>
              <w:bottom w:w="0" w:type="dxa"/>
              <w:right w:w="72" w:type="dxa"/>
            </w:tcMar>
            <w:vAlign w:val="center"/>
          </w:tcPr>
          <w:p w14:paraId="0B37A9E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IV</w:t>
            </w:r>
          </w:p>
        </w:tc>
        <w:tc>
          <w:tcPr>
            <w:tcW w:w="1546"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11471184">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供给过度区</w:t>
            </w:r>
            <w:r>
              <w:rPr>
                <w:rFonts w:hint="eastAsia" w:ascii="宋体" w:hAnsi="宋体" w:eastAsia="宋体" w:cs="宋体"/>
                <w:b w:val="0"/>
                <w:bCs w:val="0"/>
                <w:i w:val="0"/>
                <w:iCs w:val="0"/>
                <w:color w:val="000000"/>
                <w:spacing w:val="0"/>
                <w:w w:val="100"/>
                <w:sz w:val="21"/>
                <w:szCs w:val="21"/>
                <w:vertAlign w:val="baseline"/>
              </w:rPr>
              <w:t xml:space="preserve"> (Possible Overkill)</w:t>
            </w:r>
          </w:p>
        </w:tc>
        <w:tc>
          <w:tcPr>
            <w:tcW w:w="1729"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585598F7">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低重要性 - 高满意度</w:t>
            </w:r>
          </w:p>
          <w:p w14:paraId="69C438B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边际效益递减，资源配置过剩。</w:t>
            </w:r>
          </w:p>
        </w:tc>
        <w:tc>
          <w:tcPr>
            <w:tcW w:w="1723"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33BE0D7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距离便利性、交通通达性</w:t>
            </w:r>
          </w:p>
        </w:tc>
        <w:tc>
          <w:tcPr>
            <w:tcW w:w="1023" w:type="dxa"/>
            <w:tcBorders>
              <w:top w:val="single" w:color="auto" w:sz="2" w:space="0"/>
              <w:left w:val="single" w:color="auto" w:sz="2" w:space="0"/>
              <w:bottom w:val="single" w:color="auto" w:sz="8" w:space="0"/>
              <w:right w:val="single" w:color="CBCDD1" w:sz="2" w:space="0"/>
            </w:tcBorders>
            <w:shd w:val="clear"/>
            <w:tcMar>
              <w:top w:w="0" w:type="dxa"/>
              <w:left w:w="72" w:type="dxa"/>
              <w:bottom w:w="0" w:type="dxa"/>
              <w:right w:w="72" w:type="dxa"/>
            </w:tcMar>
            <w:vAlign w:val="center"/>
          </w:tcPr>
          <w:p w14:paraId="434C5F8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存量优化，控制增量</w:t>
            </w:r>
          </w:p>
        </w:tc>
      </w:tr>
    </w:tbl>
    <w:p w14:paraId="6A560DEB">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bCs/>
          <w:i w:val="0"/>
          <w:iCs w:val="0"/>
          <w:color w:val="000000"/>
          <w:spacing w:val="0"/>
          <w:w w:val="100"/>
          <w:sz w:val="24"/>
          <w:szCs w:val="24"/>
          <w:vertAlign w:val="baseline"/>
        </w:rPr>
        <w:t xml:space="preserve">矩阵核心分析： </w:t>
      </w:r>
    </w:p>
    <w:p w14:paraId="7DB083E6">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当前的矛盾主要集中在第</w:t>
      </w:r>
      <w:r>
        <w:rPr>
          <w:rFonts w:hint="eastAsia" w:ascii="宋体" w:hAnsi="宋体" w:eastAsia="宋体" w:cs="宋体"/>
          <w:b/>
          <w:bCs/>
          <w:i w:val="0"/>
          <w:iCs w:val="0"/>
          <w:color w:val="000000"/>
          <w:spacing w:val="0"/>
          <w:w w:val="100"/>
          <w:sz w:val="24"/>
          <w:szCs w:val="24"/>
          <w:vertAlign w:val="baseline"/>
        </w:rPr>
        <w:t xml:space="preserve"> I </w:t>
      </w:r>
      <w:r>
        <w:rPr>
          <w:rFonts w:hint="eastAsia" w:ascii="宋体" w:hAnsi="宋体" w:eastAsia="宋体" w:cs="宋体"/>
          <w:b w:val="0"/>
          <w:bCs w:val="0"/>
          <w:i w:val="0"/>
          <w:iCs w:val="0"/>
          <w:color w:val="000000"/>
          <w:spacing w:val="0"/>
          <w:w w:val="100"/>
          <w:sz w:val="24"/>
          <w:szCs w:val="24"/>
          <w:vertAlign w:val="baseline"/>
        </w:rPr>
        <w:t>象限。市民最看重的</w:t>
      </w:r>
      <w:r>
        <w:rPr>
          <w:rFonts w:hint="eastAsia" w:ascii="宋体" w:hAnsi="宋体" w:eastAsia="宋体" w:cs="宋体"/>
          <w:b/>
          <w:bCs/>
          <w:i w:val="0"/>
          <w:iCs w:val="0"/>
          <w:color w:val="000000"/>
          <w:spacing w:val="0"/>
          <w:w w:val="100"/>
          <w:sz w:val="24"/>
          <w:szCs w:val="24"/>
          <w:vertAlign w:val="baseline"/>
        </w:rPr>
        <w:t>“软性服务”</w:t>
      </w:r>
      <w:r>
        <w:rPr>
          <w:rFonts w:hint="eastAsia" w:ascii="宋体" w:hAnsi="宋体" w:eastAsia="宋体" w:cs="宋体"/>
          <w:b w:val="0"/>
          <w:bCs w:val="0"/>
          <w:i w:val="0"/>
          <w:iCs w:val="0"/>
          <w:color w:val="000000"/>
          <w:spacing w:val="0"/>
          <w:w w:val="100"/>
          <w:sz w:val="24"/>
          <w:szCs w:val="24"/>
          <w:vertAlign w:val="baseline"/>
        </w:rPr>
        <w:t>和</w:t>
      </w:r>
      <w:r>
        <w:rPr>
          <w:rFonts w:hint="eastAsia" w:ascii="宋体" w:hAnsi="宋体" w:eastAsia="宋体" w:cs="宋体"/>
          <w:b/>
          <w:bCs/>
          <w:i w:val="0"/>
          <w:iCs w:val="0"/>
          <w:color w:val="000000"/>
          <w:spacing w:val="0"/>
          <w:w w:val="100"/>
          <w:sz w:val="24"/>
          <w:szCs w:val="24"/>
          <w:vertAlign w:val="baseline"/>
        </w:rPr>
        <w:t>“数智体验”</w:t>
      </w:r>
      <w:r>
        <w:rPr>
          <w:rFonts w:hint="eastAsia" w:ascii="宋体" w:hAnsi="宋体" w:eastAsia="宋体" w:cs="宋体"/>
          <w:b w:val="0"/>
          <w:bCs w:val="0"/>
          <w:i w:val="0"/>
          <w:iCs w:val="0"/>
          <w:color w:val="000000"/>
          <w:spacing w:val="0"/>
          <w:w w:val="100"/>
          <w:sz w:val="24"/>
          <w:szCs w:val="24"/>
          <w:vertAlign w:val="baseline"/>
        </w:rPr>
        <w:t>恰恰是表现最差的领域。而第 IV 象限的“距离便利性”表明，上海中心城区的物理站点覆盖已趋于饱和，单纯增加站点密度的边际收益递减 。因此，未来的策略重心必须从“铺摊子”转向“提质量”。</w:t>
      </w:r>
    </w:p>
    <w:p w14:paraId="58ACF62E">
      <w:pPr>
        <w:pStyle w:val="2"/>
        <w:keepNext w:val="0"/>
        <w:keepLines w:val="0"/>
        <w:widowControl/>
        <w:numPr>
          <w:ilvl w:val="0"/>
          <w:numId w:val="26"/>
        </w:numPr>
        <w:suppressLineNumbers w:val="0"/>
        <w:spacing w:before="156" w:beforeAutospacing="0" w:after="0" w:afterAutospacing="0" w:line="13" w:lineRule="atLeast"/>
        <w:ind w:left="720" w:right="0" w:hanging="720"/>
        <w:jc w:val="both"/>
      </w:pPr>
      <w:r>
        <w:t xml:space="preserve"> </w:t>
      </w:r>
      <w:r>
        <w:rPr>
          <w:rFonts w:hint="eastAsia" w:ascii="黑体" w:hAnsi="宋体" w:eastAsia="黑体" w:cs="黑体"/>
          <w:b w:val="0"/>
          <w:bCs w:val="0"/>
          <w:i w:val="0"/>
          <w:iCs w:val="0"/>
          <w:color w:val="1F2329"/>
          <w:spacing w:val="0"/>
          <w:w w:val="100"/>
          <w:sz w:val="28"/>
          <w:szCs w:val="28"/>
          <w:shd w:val="clear" w:fill="FFFFFF"/>
          <w:vertAlign w:val="baseline"/>
        </w:rPr>
        <w:t>实践路径：基于4P理论的全链条优化方案</w:t>
      </w:r>
    </w:p>
    <w:p w14:paraId="1E1908AB">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针对 SHAP-IPA 矩阵揭示的结构性矛盾，本研究引入市场营销 4P 理论，并将其转化为公共体育服务的治理语言：产品（服务内容）、价格（成本机制）、渠道（空间布局）、促销（数智推广）。</w:t>
      </w:r>
    </w:p>
    <w:p w14:paraId="7A5865AF">
      <w:pPr>
        <w:pStyle w:val="2"/>
        <w:keepNext w:val="0"/>
        <w:keepLines w:val="0"/>
        <w:widowControl/>
        <w:numPr>
          <w:ilvl w:val="0"/>
          <w:numId w:val="27"/>
        </w:numPr>
        <w:suppressLineNumbers w:val="0"/>
        <w:spacing w:before="156" w:beforeAutospacing="0" w:after="0" w:afterAutospacing="0" w:line="13" w:lineRule="atLeast"/>
        <w:ind w:left="380" w:right="0" w:hanging="380"/>
        <w:jc w:val="both"/>
      </w:pPr>
      <w:r>
        <w:t xml:space="preserve"> </w:t>
      </w:r>
      <w:r>
        <w:rPr>
          <w:rFonts w:hint="eastAsia" w:ascii="宋体" w:hAnsi="宋体" w:eastAsia="宋体" w:cs="宋体"/>
          <w:b/>
          <w:bCs/>
          <w:i w:val="0"/>
          <w:iCs w:val="0"/>
          <w:color w:val="000000"/>
          <w:spacing w:val="0"/>
          <w:w w:val="100"/>
          <w:sz w:val="24"/>
          <w:szCs w:val="24"/>
          <w:vertAlign w:val="baseline"/>
        </w:rPr>
        <w:t>产品策略 (Product)：数智赋能，从“硬件堆砌”转向“数据闭环”</w:t>
      </w:r>
    </w:p>
    <w:p w14:paraId="2129F9B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针对“数智体验”处于亟待改进区的问题，需重塑驿站的“产品”定义，从提供单一的健身器材向提供全生命周期健康服务转变 。</w:t>
      </w:r>
    </w:p>
    <w:p w14:paraId="6E6E2553">
      <w:pPr>
        <w:pStyle w:val="2"/>
        <w:keepNext w:val="0"/>
        <w:keepLines w:val="0"/>
        <w:widowControl/>
        <w:numPr>
          <w:ilvl w:val="0"/>
          <w:numId w:val="28"/>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构建全生命周期“AI 运动处方”：</w:t>
      </w:r>
      <w:r>
        <w:rPr>
          <w:rFonts w:hint="eastAsia" w:ascii="宋体" w:hAnsi="宋体" w:eastAsia="宋体" w:cs="宋体"/>
          <w:b w:val="0"/>
          <w:bCs w:val="0"/>
          <w:i w:val="0"/>
          <w:iCs w:val="0"/>
          <w:color w:val="000000"/>
          <w:spacing w:val="0"/>
          <w:w w:val="100"/>
          <w:sz w:val="24"/>
          <w:szCs w:val="24"/>
          <w:vertAlign w:val="baseline"/>
        </w:rPr>
        <w:t xml:space="preserve"> 针对 SHAP 分析中“人员服务”缺失的痛点，实施“物联网+”改造计划。对存量跑步机、力量器械加装智能传感模块，实现运动数据（卡路里、频次、负荷、心率）的自动采集。引入 AI 算法，基于《国家体育锻炼标准》及用户体测数据，自动生成个性化运动处方，解决“不会练”的难题。让设备充当“隐形教练” 。</w:t>
      </w:r>
    </w:p>
    <w:p w14:paraId="3ED476D7">
      <w:pPr>
        <w:pStyle w:val="2"/>
        <w:keepNext w:val="0"/>
        <w:keepLines w:val="0"/>
        <w:widowControl/>
        <w:numPr>
          <w:ilvl w:val="0"/>
          <w:numId w:val="28"/>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打造“互联互通”数据驾驶舱：</w:t>
      </w:r>
      <w:r>
        <w:rPr>
          <w:rFonts w:hint="eastAsia" w:ascii="宋体" w:hAnsi="宋体" w:eastAsia="宋体" w:cs="宋体"/>
          <w:b w:val="0"/>
          <w:bCs w:val="0"/>
          <w:i w:val="0"/>
          <w:iCs w:val="0"/>
          <w:color w:val="000000"/>
          <w:spacing w:val="0"/>
          <w:w w:val="100"/>
          <w:sz w:val="24"/>
          <w:szCs w:val="24"/>
          <w:vertAlign w:val="baseline"/>
        </w:rPr>
        <w:t>打破各街镇数据孤岛，建立市级健身大数据底座。</w:t>
      </w:r>
    </w:p>
    <w:p w14:paraId="0119AE5D">
      <w:pPr>
        <w:pStyle w:val="2"/>
        <w:keepNext w:val="0"/>
        <w:keepLines w:val="0"/>
        <w:widowControl/>
        <w:numPr>
          <w:ilvl w:val="0"/>
          <w:numId w:val="29"/>
        </w:numPr>
        <w:suppressLineNumbers w:val="0"/>
        <w:spacing w:before="156" w:beforeAutospacing="0" w:after="0" w:afterAutospacing="0" w:line="13" w:lineRule="atLeast"/>
        <w:ind w:left="902" w:right="0" w:hanging="420"/>
        <w:jc w:val="both"/>
      </w:pPr>
      <w:r>
        <w:rPr>
          <w:rFonts w:hint="eastAsia" w:ascii="宋体" w:hAnsi="宋体" w:eastAsia="宋体" w:cs="宋体"/>
          <w:b/>
          <w:bCs/>
          <w:i w:val="0"/>
          <w:iCs w:val="0"/>
          <w:color w:val="000000"/>
          <w:spacing w:val="0"/>
          <w:w w:val="100"/>
          <w:sz w:val="24"/>
          <w:szCs w:val="24"/>
          <w:vertAlign w:val="baseline"/>
        </w:rPr>
        <w:t>C端（市民端）：</w:t>
      </w:r>
      <w:r>
        <w:rPr>
          <w:rFonts w:hint="eastAsia" w:ascii="宋体" w:hAnsi="宋体" w:eastAsia="宋体" w:cs="宋体"/>
          <w:b w:val="0"/>
          <w:bCs w:val="0"/>
          <w:i w:val="0"/>
          <w:iCs w:val="0"/>
          <w:color w:val="000000"/>
          <w:spacing w:val="0"/>
          <w:w w:val="100"/>
          <w:sz w:val="24"/>
          <w:szCs w:val="24"/>
          <w:vertAlign w:val="baseline"/>
        </w:rPr>
        <w:t xml:space="preserve"> 开放个人健康账户（Data Dashboard），让运动成效可视化。例如，用户可以看到“本周消耗热量相当于 3 杯奶茶”，通过游戏化反馈提升粘性。</w:t>
      </w:r>
    </w:p>
    <w:p w14:paraId="5772EC3F">
      <w:pPr>
        <w:pStyle w:val="2"/>
        <w:keepNext w:val="0"/>
        <w:keepLines w:val="0"/>
        <w:widowControl/>
        <w:numPr>
          <w:ilvl w:val="0"/>
          <w:numId w:val="29"/>
        </w:numPr>
        <w:suppressLineNumbers w:val="0"/>
        <w:spacing w:before="156" w:beforeAutospacing="0" w:after="0" w:afterAutospacing="0" w:line="13" w:lineRule="atLeast"/>
        <w:ind w:left="902" w:right="0" w:hanging="420"/>
        <w:jc w:val="both"/>
      </w:pPr>
      <w:r>
        <w:rPr>
          <w:rFonts w:hint="eastAsia" w:ascii="宋体" w:hAnsi="宋体" w:eastAsia="宋体" w:cs="宋体"/>
          <w:b/>
          <w:bCs/>
          <w:i w:val="0"/>
          <w:iCs w:val="0"/>
          <w:color w:val="000000"/>
          <w:spacing w:val="0"/>
          <w:w w:val="100"/>
          <w:sz w:val="24"/>
          <w:szCs w:val="24"/>
          <w:vertAlign w:val="baseline"/>
        </w:rPr>
        <w:t>G端（管理端）：</w:t>
      </w:r>
      <w:r>
        <w:rPr>
          <w:rFonts w:hint="eastAsia" w:ascii="宋体" w:hAnsi="宋体" w:eastAsia="宋体" w:cs="宋体"/>
          <w:b w:val="0"/>
          <w:bCs w:val="0"/>
          <w:i w:val="0"/>
          <w:iCs w:val="0"/>
          <w:color w:val="000000"/>
          <w:spacing w:val="0"/>
          <w:w w:val="100"/>
          <w:sz w:val="24"/>
          <w:szCs w:val="24"/>
          <w:vertAlign w:val="baseline"/>
        </w:rPr>
        <w:t xml:space="preserve"> 提供区域效能热力图，实现设备利用率的实时监测与精准调度。例如，发现某站点椭圆机闲置率高而跑步机排队，可依据数据进行跨站点调拨 。</w:t>
      </w:r>
    </w:p>
    <w:p w14:paraId="126FFA84">
      <w:pPr>
        <w:pStyle w:val="2"/>
        <w:keepNext w:val="0"/>
        <w:keepLines w:val="0"/>
        <w:widowControl/>
        <w:numPr>
          <w:ilvl w:val="0"/>
          <w:numId w:val="30"/>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增设“虚拟私教”服务：</w:t>
      </w:r>
      <w:r>
        <w:rPr>
          <w:rFonts w:hint="eastAsia" w:ascii="宋体" w:hAnsi="宋体" w:eastAsia="宋体" w:cs="宋体"/>
          <w:b w:val="0"/>
          <w:bCs w:val="0"/>
          <w:i w:val="0"/>
          <w:iCs w:val="0"/>
          <w:color w:val="000000"/>
          <w:spacing w:val="0"/>
          <w:w w:val="100"/>
          <w:sz w:val="24"/>
          <w:szCs w:val="24"/>
          <w:vertAlign w:val="baseline"/>
        </w:rPr>
        <w:t>利用 AR/VR 技术，在驿站内设置虚拟教练屏或支持佩戴 AR 眼镜，提供太极拳、瑜伽等课程的动作捕捉与实时纠错服务。以低成本的技术手段替代高昂的人力成本，填补专业指导的空白。</w:t>
      </w:r>
    </w:p>
    <w:p w14:paraId="5C350697">
      <w:pPr>
        <w:pStyle w:val="2"/>
        <w:keepNext w:val="0"/>
        <w:keepLines w:val="0"/>
        <w:widowControl/>
        <w:numPr>
          <w:ilvl w:val="0"/>
          <w:numId w:val="27"/>
        </w:numPr>
        <w:suppressLineNumbers w:val="0"/>
        <w:spacing w:before="156" w:beforeAutospacing="0" w:after="0" w:afterAutospacing="0" w:line="13" w:lineRule="atLeast"/>
        <w:ind w:left="380" w:right="0" w:hanging="380"/>
        <w:jc w:val="both"/>
      </w:pPr>
      <w:r>
        <w:t xml:space="preserve"> </w:t>
      </w:r>
      <w:r>
        <w:rPr>
          <w:rFonts w:hint="eastAsia" w:ascii="宋体" w:hAnsi="宋体" w:eastAsia="宋体" w:cs="宋体"/>
          <w:b/>
          <w:bCs/>
          <w:i w:val="0"/>
          <w:iCs w:val="0"/>
          <w:color w:val="000000"/>
          <w:spacing w:val="0"/>
          <w:w w:val="100"/>
          <w:sz w:val="24"/>
          <w:szCs w:val="24"/>
          <w:vertAlign w:val="baseline"/>
        </w:rPr>
        <w:t>价格策略 (Price)：潮汐运营，从“行政定价”转向“动态调节”</w:t>
      </w:r>
    </w:p>
    <w:p w14:paraId="65C127CF">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这里的“价格”不仅指收费，更包含市民的时间成本（营业时间）和心理成本（维护状况）。针对“营业时间”痛点，推行灵活的运营机制 。</w:t>
      </w:r>
    </w:p>
    <w:p w14:paraId="6C5EB716">
      <w:pPr>
        <w:pStyle w:val="2"/>
        <w:keepNext w:val="0"/>
        <w:keepLines w:val="0"/>
        <w:widowControl/>
        <w:numPr>
          <w:ilvl w:val="0"/>
          <w:numId w:val="30"/>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实施“潮汐式”错峰开放</w:t>
      </w:r>
      <w:r>
        <w:rPr>
          <w:rFonts w:hint="eastAsia" w:ascii="宋体" w:hAnsi="宋体" w:eastAsia="宋体" w:cs="宋体"/>
          <w:b w:val="0"/>
          <w:bCs w:val="0"/>
          <w:i w:val="0"/>
          <w:iCs w:val="0"/>
          <w:color w:val="000000"/>
          <w:spacing w:val="0"/>
          <w:w w:val="100"/>
          <w:sz w:val="24"/>
          <w:szCs w:val="24"/>
          <w:vertAlign w:val="baseline"/>
        </w:rPr>
        <w:t>：摒弃“朝九晚五”的行政化时刻表。基于人流大数据分析，实行分时段运营：</w:t>
      </w:r>
    </w:p>
    <w:p w14:paraId="465C993D">
      <w:pPr>
        <w:pStyle w:val="2"/>
        <w:keepNext w:val="0"/>
        <w:keepLines w:val="0"/>
        <w:widowControl/>
        <w:numPr>
          <w:ilvl w:val="0"/>
          <w:numId w:val="31"/>
        </w:numPr>
        <w:suppressLineNumbers w:val="0"/>
        <w:spacing w:before="156" w:beforeAutospacing="0" w:after="0" w:afterAutospacing="0" w:line="13" w:lineRule="atLeast"/>
        <w:ind w:left="900" w:right="0" w:hanging="420"/>
        <w:jc w:val="both"/>
      </w:pPr>
      <w:r>
        <w:rPr>
          <w:rFonts w:hint="eastAsia" w:ascii="宋体" w:hAnsi="宋体" w:eastAsia="宋体" w:cs="宋体"/>
          <w:b w:val="0"/>
          <w:bCs w:val="0"/>
          <w:i w:val="0"/>
          <w:iCs w:val="0"/>
          <w:color w:val="000000"/>
          <w:spacing w:val="0"/>
          <w:w w:val="100"/>
          <w:sz w:val="24"/>
          <w:szCs w:val="24"/>
          <w:vertAlign w:val="baseline"/>
        </w:rPr>
        <w:t>商务区驿站： 重点延长午间（12:00-14:00）与晚间（18:00-22:00）开放时段，服务白领群体的“碎片化健身”需求。</w:t>
      </w:r>
    </w:p>
    <w:p w14:paraId="6008A65A">
      <w:pPr>
        <w:pStyle w:val="2"/>
        <w:keepNext w:val="0"/>
        <w:keepLines w:val="0"/>
        <w:widowControl/>
        <w:numPr>
          <w:ilvl w:val="0"/>
          <w:numId w:val="31"/>
        </w:numPr>
        <w:suppressLineNumbers w:val="0"/>
        <w:spacing w:before="156" w:beforeAutospacing="0" w:after="0" w:afterAutospacing="0" w:line="13" w:lineRule="atLeast"/>
        <w:ind w:left="900" w:right="0" w:hanging="420"/>
        <w:jc w:val="both"/>
      </w:pPr>
      <w:r>
        <w:rPr>
          <w:rFonts w:hint="eastAsia" w:ascii="宋体" w:hAnsi="宋体" w:eastAsia="宋体" w:cs="宋体"/>
          <w:b w:val="0"/>
          <w:bCs w:val="0"/>
          <w:i w:val="0"/>
          <w:iCs w:val="0"/>
          <w:color w:val="000000"/>
          <w:spacing w:val="0"/>
          <w:w w:val="100"/>
          <w:sz w:val="24"/>
          <w:szCs w:val="24"/>
          <w:vertAlign w:val="baseline"/>
        </w:rPr>
        <w:t>居住区驿站： 前移晨练时段（如 06:00 开始），服务银发族。</w:t>
      </w:r>
    </w:p>
    <w:p w14:paraId="5A58C3B7">
      <w:pPr>
        <w:pStyle w:val="2"/>
        <w:keepNext w:val="0"/>
        <w:keepLines w:val="0"/>
        <w:widowControl/>
        <w:numPr>
          <w:ilvl w:val="0"/>
          <w:numId w:val="30"/>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推广“无人值守 + 云端监管”：</w:t>
      </w:r>
      <w:r>
        <w:rPr>
          <w:rFonts w:hint="eastAsia" w:ascii="宋体" w:hAnsi="宋体" w:eastAsia="宋体" w:cs="宋体"/>
          <w:b w:val="0"/>
          <w:bCs w:val="0"/>
          <w:i w:val="0"/>
          <w:iCs w:val="0"/>
          <w:color w:val="000000"/>
          <w:spacing w:val="0"/>
          <w:w w:val="100"/>
          <w:sz w:val="24"/>
          <w:szCs w:val="24"/>
          <w:vertAlign w:val="baseline"/>
        </w:rPr>
        <w:t xml:space="preserve"> 针对夜间及清晨时段人力成本高的问题，全面引入人脸识别门禁与智能灯控系统，推行非核心时段的无人值守服务。建立远程云监管中心，利用 AI 视频分析技术实时识别跌倒、冲突等异常情况，以“技防代人防”降低运营成本，实现降本增效，从而支撑更长的开放时间 。</w:t>
      </w:r>
    </w:p>
    <w:p w14:paraId="3E2046EA">
      <w:pPr>
        <w:pStyle w:val="2"/>
        <w:keepNext w:val="0"/>
        <w:keepLines w:val="0"/>
        <w:widowControl/>
        <w:numPr>
          <w:ilvl w:val="0"/>
          <w:numId w:val="30"/>
        </w:numPr>
        <w:suppressLineNumbers w:val="0"/>
        <w:spacing w:before="156" w:beforeAutospacing="0" w:after="0" w:afterAutospacing="0" w:line="13" w:lineRule="atLeast"/>
        <w:ind w:left="420" w:right="0" w:hanging="420"/>
        <w:jc w:val="both"/>
      </w:pPr>
      <w:r>
        <w:rPr>
          <w:rFonts w:hint="eastAsia" w:ascii="宋体" w:hAnsi="宋体" w:eastAsia="宋体" w:cs="宋体"/>
          <w:b/>
          <w:bCs/>
          <w:i w:val="0"/>
          <w:iCs w:val="0"/>
          <w:color w:val="000000"/>
          <w:spacing w:val="0"/>
          <w:w w:val="100"/>
          <w:sz w:val="24"/>
          <w:szCs w:val="24"/>
          <w:vertAlign w:val="baseline"/>
        </w:rPr>
        <w:t>推行“公益 + 低偿”阶梯收费：</w:t>
      </w:r>
      <w:r>
        <w:rPr>
          <w:rFonts w:hint="eastAsia" w:ascii="宋体" w:hAnsi="宋体" w:eastAsia="宋体" w:cs="宋体"/>
          <w:b w:val="0"/>
          <w:bCs w:val="0"/>
          <w:i w:val="0"/>
          <w:iCs w:val="0"/>
          <w:color w:val="000000"/>
          <w:spacing w:val="0"/>
          <w:w w:val="100"/>
          <w:sz w:val="24"/>
          <w:szCs w:val="24"/>
          <w:vertAlign w:val="baseline"/>
        </w:rPr>
        <w:t>为了保证可持续运营，建议采用“基本服务免费，增值服务低偿”的模式。基础体能训练区保持免费；增值服务区（如智能体测、AI 私教课程、淋浴设施）实行低收费，收入用于补贴设备维护与水电成本，形成自我造血机制。</w:t>
      </w:r>
    </w:p>
    <w:p w14:paraId="2F66AEC8">
      <w:pPr>
        <w:pStyle w:val="2"/>
        <w:keepNext w:val="0"/>
        <w:keepLines w:val="0"/>
        <w:widowControl/>
        <w:numPr>
          <w:ilvl w:val="0"/>
          <w:numId w:val="27"/>
        </w:numPr>
        <w:suppressLineNumbers w:val="0"/>
        <w:spacing w:before="156" w:beforeAutospacing="0" w:after="0" w:afterAutospacing="0" w:line="13" w:lineRule="atLeast"/>
        <w:ind w:left="380" w:right="0" w:hanging="380"/>
        <w:jc w:val="both"/>
      </w:pPr>
      <w:r>
        <w:t xml:space="preserve"> </w:t>
      </w:r>
      <w:r>
        <w:rPr>
          <w:rFonts w:hint="eastAsia" w:ascii="宋体" w:hAnsi="宋体" w:eastAsia="宋体" w:cs="宋体"/>
          <w:b/>
          <w:bCs/>
          <w:i w:val="0"/>
          <w:iCs w:val="0"/>
          <w:color w:val="000000"/>
          <w:spacing w:val="0"/>
          <w:w w:val="100"/>
          <w:sz w:val="24"/>
          <w:szCs w:val="24"/>
          <w:vertAlign w:val="baseline"/>
        </w:rPr>
        <w:t>渠道策略 (Place)：空间重构，从“盲目加密”转向“精准填盲”</w:t>
      </w:r>
    </w:p>
    <w:p w14:paraId="37C6202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针对“距离便利性”位于供给过度区且存在“15分钟断崖”的特征，空间布局需从增量转向提质 。</w:t>
      </w:r>
    </w:p>
    <w:p w14:paraId="7DB3AEC1">
      <w:pPr>
        <w:pStyle w:val="2"/>
        <w:keepNext w:val="0"/>
        <w:keepLines w:val="0"/>
        <w:widowControl/>
        <w:numPr>
          <w:ilvl w:val="0"/>
          <w:numId w:val="32"/>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基于 GIS 的“反向填盲”：</w:t>
      </w:r>
      <w:r>
        <w:rPr>
          <w:rFonts w:hint="eastAsia" w:ascii="宋体" w:hAnsi="宋体" w:eastAsia="宋体" w:cs="宋体"/>
          <w:b w:val="0"/>
          <w:bCs w:val="0"/>
          <w:i w:val="0"/>
          <w:iCs w:val="0"/>
          <w:color w:val="000000"/>
          <w:spacing w:val="0"/>
          <w:w w:val="100"/>
          <w:sz w:val="24"/>
          <w:szCs w:val="24"/>
          <w:vertAlign w:val="baseline"/>
        </w:rPr>
        <w:t xml:space="preserve">停止“撒胡椒面”式的布点。利用 GIS 地理信息系统叠加人口热力图与现有站点 15 分钟等时圈，精准识别步行时间超过 15 分钟的 </w:t>
      </w:r>
      <w:r>
        <w:rPr>
          <w:rFonts w:hint="eastAsia" w:ascii="宋体" w:hAnsi="宋体" w:eastAsia="宋体" w:cs="宋体"/>
          <w:b/>
          <w:bCs/>
          <w:i w:val="0"/>
          <w:iCs w:val="0"/>
          <w:color w:val="000000"/>
          <w:spacing w:val="0"/>
          <w:w w:val="100"/>
          <w:sz w:val="24"/>
          <w:szCs w:val="24"/>
          <w:vertAlign w:val="baseline"/>
        </w:rPr>
        <w:t>“绝对盲区”</w:t>
      </w:r>
      <w:r>
        <w:rPr>
          <w:rFonts w:hint="eastAsia" w:ascii="宋体" w:hAnsi="宋体" w:eastAsia="宋体" w:cs="宋体"/>
          <w:b w:val="0"/>
          <w:bCs w:val="0"/>
          <w:i w:val="0"/>
          <w:iCs w:val="0"/>
          <w:color w:val="000000"/>
          <w:spacing w:val="0"/>
          <w:w w:val="100"/>
          <w:sz w:val="24"/>
          <w:szCs w:val="24"/>
          <w:vertAlign w:val="baseline"/>
        </w:rPr>
        <w:t>。仅在这些区域利用社区“金角银边”、闲置用房、桥下空间进行微型嵌入式布点，确保资源投向边际效益最高的区域。</w:t>
      </w:r>
    </w:p>
    <w:p w14:paraId="0A0AAF98">
      <w:pPr>
        <w:pStyle w:val="2"/>
        <w:keepNext w:val="0"/>
        <w:keepLines w:val="0"/>
        <w:widowControl/>
        <w:numPr>
          <w:ilvl w:val="0"/>
          <w:numId w:val="32"/>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构建“15分钟物理圈 + 24小时数字圈”：</w:t>
      </w:r>
      <w:r>
        <w:rPr>
          <w:rFonts w:hint="eastAsia" w:ascii="宋体" w:hAnsi="宋体" w:eastAsia="宋体" w:cs="宋体"/>
          <w:b w:val="0"/>
          <w:bCs w:val="0"/>
          <w:i w:val="0"/>
          <w:iCs w:val="0"/>
          <w:color w:val="000000"/>
          <w:spacing w:val="0"/>
          <w:w w:val="100"/>
          <w:sz w:val="24"/>
          <w:szCs w:val="24"/>
          <w:vertAlign w:val="baseline"/>
        </w:rPr>
        <w:t>对于物理空间确实无法覆盖的区域（如人口稀疏的远郊），不再强行建设实体驿站，而是依托“居家健身”场景。开发数字孪生平台，让市民在家即可连接社区驿站的在线课程，以“24小时触手可及”的数字服务弥补物理距离的短板。</w:t>
      </w:r>
    </w:p>
    <w:p w14:paraId="029A912E">
      <w:pPr>
        <w:pStyle w:val="2"/>
        <w:keepNext w:val="0"/>
        <w:keepLines w:val="0"/>
        <w:widowControl/>
        <w:numPr>
          <w:ilvl w:val="0"/>
          <w:numId w:val="32"/>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融合多业态嵌入：</w:t>
      </w:r>
      <w:r>
        <w:rPr>
          <w:rFonts w:hint="eastAsia" w:ascii="宋体" w:hAnsi="宋体" w:eastAsia="宋体" w:cs="宋体"/>
          <w:b w:val="0"/>
          <w:bCs w:val="0"/>
          <w:i w:val="0"/>
          <w:iCs w:val="0"/>
          <w:color w:val="000000"/>
          <w:spacing w:val="0"/>
          <w:w w:val="100"/>
          <w:sz w:val="24"/>
          <w:szCs w:val="24"/>
          <w:vertAlign w:val="baseline"/>
        </w:rPr>
        <w:t xml:space="preserve"> 鼓励驿站进商圈、进园区、进党群服务中心、进长者照护之家。实现“体医融合”（与社区卫生中心结合）、“体教融合”（与学校资源共享），提升单点服务效能与辐射半径 。</w:t>
      </w:r>
    </w:p>
    <w:p w14:paraId="43C69FA4">
      <w:pPr>
        <w:pStyle w:val="2"/>
        <w:keepNext w:val="0"/>
        <w:keepLines w:val="0"/>
        <w:widowControl/>
        <w:numPr>
          <w:ilvl w:val="0"/>
          <w:numId w:val="27"/>
        </w:numPr>
        <w:suppressLineNumbers w:val="0"/>
        <w:spacing w:before="156" w:beforeAutospacing="0" w:after="0" w:afterAutospacing="0" w:line="13" w:lineRule="atLeast"/>
        <w:ind w:left="380" w:right="0" w:hanging="380"/>
        <w:jc w:val="both"/>
      </w:pPr>
      <w:r>
        <w:t xml:space="preserve"> </w:t>
      </w:r>
      <w:r>
        <w:rPr>
          <w:rFonts w:hint="eastAsia" w:ascii="宋体" w:hAnsi="宋体" w:eastAsia="宋体" w:cs="宋体"/>
          <w:b/>
          <w:bCs/>
          <w:i w:val="0"/>
          <w:iCs w:val="0"/>
          <w:color w:val="000000"/>
          <w:spacing w:val="0"/>
          <w:w w:val="100"/>
          <w:sz w:val="24"/>
          <w:szCs w:val="24"/>
          <w:vertAlign w:val="baseline"/>
        </w:rPr>
        <w:t>推广策略 (Promotion)：底线治理，从“被动维修”转向“动态预警”</w:t>
      </w:r>
    </w:p>
    <w:p w14:paraId="7E3C5FD4">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这里的“推广”侧重于通过品牌化和标准化服务建立市民信任，核心是守住 SHAP 分析揭示的“3分维护底线”。</w:t>
      </w:r>
    </w:p>
    <w:p w14:paraId="25AA0917">
      <w:pPr>
        <w:pStyle w:val="2"/>
        <w:keepNext w:val="0"/>
        <w:keepLines w:val="0"/>
        <w:widowControl/>
        <w:numPr>
          <w:ilvl w:val="0"/>
          <w:numId w:val="33"/>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推行设备健康度“三色码”管理：</w:t>
      </w:r>
      <w:r>
        <w:rPr>
          <w:rFonts w:hint="eastAsia" w:ascii="宋体" w:hAnsi="宋体" w:eastAsia="宋体" w:cs="宋体"/>
          <w:b w:val="0"/>
          <w:bCs w:val="0"/>
          <w:i w:val="0"/>
          <w:iCs w:val="0"/>
          <w:color w:val="000000"/>
          <w:spacing w:val="0"/>
          <w:w w:val="100"/>
          <w:sz w:val="24"/>
          <w:szCs w:val="24"/>
          <w:vertAlign w:val="baseline"/>
        </w:rPr>
        <w:t xml:space="preserve"> 建立器材全生命周期管理档案，根据使用频次、年限与维修记录，动态赋予设备</w:t>
      </w:r>
      <w:r>
        <w:rPr>
          <w:rFonts w:hint="eastAsia" w:ascii="宋体" w:hAnsi="宋体" w:eastAsia="宋体" w:cs="宋体"/>
          <w:b/>
          <w:bCs/>
          <w:i w:val="0"/>
          <w:iCs w:val="0"/>
          <w:color w:val="000000"/>
          <w:spacing w:val="0"/>
          <w:w w:val="100"/>
          <w:sz w:val="24"/>
          <w:szCs w:val="24"/>
          <w:vertAlign w:val="baseline"/>
        </w:rPr>
        <w:t>红（故障停用）、黄（需保养）、绿（正常）</w:t>
      </w:r>
      <w:r>
        <w:rPr>
          <w:rFonts w:hint="eastAsia" w:ascii="宋体" w:hAnsi="宋体" w:eastAsia="宋体" w:cs="宋体"/>
          <w:b w:val="0"/>
          <w:bCs w:val="0"/>
          <w:i w:val="0"/>
          <w:iCs w:val="0"/>
          <w:color w:val="000000"/>
          <w:spacing w:val="0"/>
          <w:w w:val="100"/>
          <w:sz w:val="24"/>
          <w:szCs w:val="24"/>
          <w:vertAlign w:val="baseline"/>
        </w:rPr>
        <w:t>三色状态码。重点监控“黄码”设备，强制启动预防性维护，杜绝“带病运行”，确保设备完好率始终在市民的心理底线之上 。</w:t>
      </w:r>
    </w:p>
    <w:p w14:paraId="4CEBCF1B">
      <w:pPr>
        <w:pStyle w:val="2"/>
        <w:keepNext w:val="0"/>
        <w:keepLines w:val="0"/>
        <w:widowControl/>
        <w:numPr>
          <w:ilvl w:val="0"/>
          <w:numId w:val="33"/>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建立“一键报修”极速响应闭环：</w:t>
      </w:r>
      <w:r>
        <w:rPr>
          <w:rFonts w:hint="eastAsia" w:ascii="宋体" w:hAnsi="宋体" w:eastAsia="宋体" w:cs="宋体"/>
          <w:b w:val="0"/>
          <w:bCs w:val="0"/>
          <w:i w:val="0"/>
          <w:iCs w:val="0"/>
          <w:color w:val="000000"/>
          <w:spacing w:val="0"/>
          <w:w w:val="100"/>
          <w:sz w:val="24"/>
          <w:szCs w:val="24"/>
          <w:vertAlign w:val="baseline"/>
        </w:rPr>
        <w:t>在每个器械上张贴专属二维码，市民扫码即可由“使用者”转变为“监督者”。将报修响应速度（如 48 小时闭环率）纳入对第三方运营机构的 KPI 核心考核体系。一旦超时，系统自动升级投诉至区级管理部门，倒逼运营方提升维护效率。</w:t>
      </w:r>
    </w:p>
    <w:p w14:paraId="065120D3">
      <w:pPr>
        <w:pStyle w:val="2"/>
        <w:keepNext w:val="0"/>
        <w:keepLines w:val="0"/>
        <w:widowControl/>
        <w:numPr>
          <w:ilvl w:val="0"/>
          <w:numId w:val="26"/>
        </w:numPr>
        <w:suppressLineNumbers w:val="0"/>
        <w:spacing w:before="156" w:beforeAutospacing="0" w:after="0" w:afterAutospacing="0" w:line="13" w:lineRule="atLeast"/>
        <w:ind w:left="720" w:right="0" w:hanging="720"/>
        <w:jc w:val="both"/>
      </w:pPr>
      <w:r>
        <w:t xml:space="preserve"> </w:t>
      </w:r>
      <w:r>
        <w:rPr>
          <w:rFonts w:hint="eastAsia" w:ascii="黑体" w:hAnsi="宋体" w:eastAsia="黑体" w:cs="黑体"/>
          <w:b w:val="0"/>
          <w:bCs w:val="0"/>
          <w:i w:val="0"/>
          <w:iCs w:val="0"/>
          <w:color w:val="1F2329"/>
          <w:spacing w:val="0"/>
          <w:w w:val="100"/>
          <w:sz w:val="28"/>
          <w:szCs w:val="28"/>
          <w:shd w:val="clear" w:fill="FFFFFF"/>
          <w:vertAlign w:val="baseline"/>
        </w:rPr>
        <w:t>落地工具：“驿动申城”小程序设计与功能规划</w:t>
      </w:r>
    </w:p>
    <w:p w14:paraId="6D2EEA71">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为了将上述策略转化为可落地的抓手，打通 C 端服务与 G 端管理，本研究设计了</w:t>
      </w:r>
      <w:r>
        <w:rPr>
          <w:rFonts w:hint="eastAsia" w:ascii="宋体" w:hAnsi="宋体" w:eastAsia="宋体" w:cs="宋体"/>
          <w:b/>
          <w:bCs/>
          <w:i w:val="0"/>
          <w:iCs w:val="0"/>
          <w:color w:val="000000"/>
          <w:spacing w:val="0"/>
          <w:w w:val="100"/>
          <w:sz w:val="24"/>
          <w:szCs w:val="24"/>
          <w:vertAlign w:val="baseline"/>
        </w:rPr>
        <w:t>“驿动申城（Yi-Move Shanghai）”</w:t>
      </w:r>
      <w:r>
        <w:rPr>
          <w:rFonts w:hint="eastAsia" w:ascii="宋体" w:hAnsi="宋体" w:eastAsia="宋体" w:cs="宋体"/>
          <w:b w:val="0"/>
          <w:bCs w:val="0"/>
          <w:i w:val="0"/>
          <w:iCs w:val="0"/>
          <w:color w:val="000000"/>
          <w:spacing w:val="0"/>
          <w:w w:val="100"/>
          <w:sz w:val="24"/>
          <w:szCs w:val="24"/>
          <w:vertAlign w:val="baseline"/>
        </w:rPr>
        <w:t>微信小程序概念原型。该平台不仅是服务入口，更是数据治理的中枢，旨在解决“信息不对称”与“服务不闭环”的问题 。</w:t>
      </w:r>
    </w:p>
    <w:p w14:paraId="2FCE970D">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1.系统架构与设计理念</w:t>
      </w:r>
    </w:p>
    <w:p w14:paraId="6E33768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小程序遵循“极简、适老、互联”的设计理念。后端接入上海市体育公共数据中台，前端通过微信生态触达用户。系统架构包含用户层（C端）、管理层（G端/B端）与设备层（IoT）。</w:t>
      </w:r>
    </w:p>
    <w:p w14:paraId="73D23C07">
      <w:pPr>
        <w:pStyle w:val="2"/>
        <w:keepNext w:val="0"/>
        <w:keepLines w:val="0"/>
        <w:widowControl/>
        <w:suppressLineNumbers w:val="0"/>
        <w:spacing w:before="156" w:beforeAutospacing="0" w:after="0" w:afterAutospacing="0" w:line="13" w:lineRule="atLeast"/>
        <w:ind w:left="0" w:right="0" w:firstLine="420"/>
        <w:jc w:val="center"/>
      </w:pPr>
      <w:r>
        <w:rPr>
          <w:rFonts w:hint="eastAsia" w:ascii="宋体" w:hAnsi="宋体" w:eastAsia="宋体" w:cs="宋体"/>
          <w:b w:val="0"/>
          <w:bCs w:val="0"/>
          <w:i w:val="0"/>
          <w:iCs w:val="0"/>
          <w:color w:val="000000"/>
          <w:spacing w:val="0"/>
          <w:w w:val="100"/>
          <w:sz w:val="24"/>
          <w:szCs w:val="24"/>
          <w:vertAlign w:val="baseline"/>
        </w:rPr>
        <w:t>“驿动申城”</w:t>
      </w:r>
      <w:r>
        <w:drawing>
          <wp:inline distT="0" distB="0" distL="114300" distR="114300">
            <wp:extent cx="5934075" cy="3267075"/>
            <wp:effectExtent l="0" t="0" r="9525" b="9525"/>
            <wp:docPr id="62" name="图片 65"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5" descr="IMG_275"/>
                    <pic:cNvPicPr>
                      <a:picLocks noChangeAspect="1"/>
                    </pic:cNvPicPr>
                  </pic:nvPicPr>
                  <pic:blipFill>
                    <a:blip r:embed="rId20"/>
                    <a:stretch>
                      <a:fillRect/>
                    </a:stretch>
                  </pic:blipFill>
                  <pic:spPr>
                    <a:xfrm>
                      <a:off x="0" y="0"/>
                      <a:ext cx="5934075" cy="3267075"/>
                    </a:xfrm>
                    <a:prstGeom prst="rect">
                      <a:avLst/>
                    </a:prstGeom>
                    <a:noFill/>
                    <a:ln w="9525">
                      <a:noFill/>
                    </a:ln>
                  </pic:spPr>
                </pic:pic>
              </a:graphicData>
            </a:graphic>
          </wp:inline>
        </w:drawing>
      </w:r>
      <w:r>
        <w:rPr>
          <w:rFonts w:hint="eastAsia" w:ascii="宋体" w:hAnsi="宋体" w:eastAsia="宋体" w:cs="宋体"/>
          <w:b w:val="0"/>
          <w:bCs w:val="0"/>
          <w:i w:val="0"/>
          <w:iCs w:val="0"/>
          <w:color w:val="000000"/>
          <w:spacing w:val="0"/>
          <w:w w:val="100"/>
          <w:sz w:val="24"/>
          <w:szCs w:val="24"/>
          <w:vertAlign w:val="baseline"/>
        </w:rPr>
        <w:t>小程序架构示例图</w:t>
      </w:r>
    </w:p>
    <w:p w14:paraId="7897723D">
      <w:pPr>
        <w:pStyle w:val="2"/>
        <w:keepNext w:val="0"/>
        <w:keepLines w:val="0"/>
        <w:widowControl/>
        <w:numPr>
          <w:ilvl w:val="0"/>
          <w:numId w:val="19"/>
        </w:numPr>
        <w:suppressLineNumbers w:val="0"/>
        <w:spacing w:before="156" w:beforeAutospacing="0" w:after="0" w:afterAutospacing="0" w:line="13" w:lineRule="atLeast"/>
        <w:ind w:left="360" w:right="0" w:hanging="360"/>
        <w:jc w:val="both"/>
      </w:pPr>
      <w:r>
        <w:t xml:space="preserve"> </w:t>
      </w:r>
      <w:r>
        <w:rPr>
          <w:rFonts w:hint="eastAsia" w:ascii="宋体" w:hAnsi="宋体" w:eastAsia="宋体" w:cs="宋体"/>
          <w:b w:val="0"/>
          <w:bCs w:val="0"/>
          <w:i w:val="0"/>
          <w:iCs w:val="0"/>
          <w:color w:val="000000"/>
          <w:spacing w:val="0"/>
          <w:w w:val="100"/>
          <w:sz w:val="24"/>
          <w:szCs w:val="24"/>
          <w:vertAlign w:val="baseline"/>
        </w:rPr>
        <w:t>核心功能模块设计</w:t>
      </w:r>
    </w:p>
    <w:p w14:paraId="3F0CEEED">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表13 核心功能模块设计表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76"/>
        <w:gridCol w:w="905"/>
        <w:gridCol w:w="2604"/>
        <w:gridCol w:w="1799"/>
      </w:tblGrid>
      <w:tr w14:paraId="609F4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76"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74E76C3C">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模块名称</w:t>
            </w:r>
          </w:p>
        </w:tc>
        <w:tc>
          <w:tcPr>
            <w:tcW w:w="905"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78AB3A7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对应策略</w:t>
            </w:r>
          </w:p>
        </w:tc>
        <w:tc>
          <w:tcPr>
            <w:tcW w:w="2604"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0771FF9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核心功能点描述</w:t>
            </w:r>
          </w:p>
        </w:tc>
        <w:tc>
          <w:tcPr>
            <w:tcW w:w="1799"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7320D75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FFFFFF"/>
                <w:spacing w:val="0"/>
                <w:w w:val="100"/>
                <w:sz w:val="21"/>
                <w:szCs w:val="21"/>
                <w:vertAlign w:val="baseline"/>
              </w:rPr>
              <w:t>预期解决痛点</w:t>
            </w:r>
          </w:p>
        </w:tc>
      </w:tr>
      <w:tr w14:paraId="12C59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76"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415DF5C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GIS 动态导航</w:t>
            </w:r>
          </w:p>
        </w:tc>
        <w:tc>
          <w:tcPr>
            <w:tcW w:w="90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57BA3D9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渠道策略</w:t>
            </w:r>
          </w:p>
        </w:tc>
        <w:tc>
          <w:tcPr>
            <w:tcW w:w="260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87ACB0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红绿灯状态导航：</w:t>
            </w:r>
            <w:r>
              <w:rPr>
                <w:rFonts w:hint="eastAsia" w:ascii="宋体" w:hAnsi="宋体" w:eastAsia="宋体" w:cs="宋体"/>
                <w:b w:val="0"/>
                <w:bCs w:val="0"/>
                <w:i w:val="0"/>
                <w:iCs w:val="0"/>
                <w:color w:val="000000"/>
                <w:spacing w:val="0"/>
                <w:w w:val="100"/>
                <w:sz w:val="21"/>
                <w:szCs w:val="21"/>
                <w:vertAlign w:val="baseline"/>
              </w:rPr>
              <w:t xml:space="preserve"> 基于实时门禁数据，地图上显示驿站“空闲（绿）/拥挤（红）”状态。</w:t>
            </w:r>
          </w:p>
          <w:p w14:paraId="1ABF0D1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15分钟圈层图：</w:t>
            </w:r>
            <w:r>
              <w:rPr>
                <w:rFonts w:hint="eastAsia" w:ascii="宋体" w:hAnsi="宋体" w:eastAsia="宋体" w:cs="宋体"/>
                <w:b w:val="0"/>
                <w:bCs w:val="0"/>
                <w:i w:val="0"/>
                <w:iCs w:val="0"/>
                <w:color w:val="000000"/>
                <w:spacing w:val="0"/>
                <w:w w:val="100"/>
                <w:sz w:val="21"/>
                <w:szCs w:val="21"/>
                <w:vertAlign w:val="baseline"/>
              </w:rPr>
              <w:t xml:space="preserve"> 自动定位并显示用户周边的 15 分钟健身圈范围及最佳路径。</w:t>
            </w:r>
          </w:p>
        </w:tc>
        <w:tc>
          <w:tcPr>
            <w:tcW w:w="1799"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748030D5">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解决物理空间供需错配，引导错峰锻炼，避免市民“跑空”或“扎堆”。</w:t>
            </w:r>
          </w:p>
        </w:tc>
      </w:tr>
      <w:tr w14:paraId="6A15C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76"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05A05EA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数据驾驶舱</w:t>
            </w:r>
          </w:p>
        </w:tc>
        <w:tc>
          <w:tcPr>
            <w:tcW w:w="90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745A002">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产品策略</w:t>
            </w:r>
          </w:p>
        </w:tc>
        <w:tc>
          <w:tcPr>
            <w:tcW w:w="2604"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6DF2D22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个人运动画像：</w:t>
            </w:r>
            <w:r>
              <w:rPr>
                <w:rFonts w:hint="eastAsia" w:ascii="宋体" w:hAnsi="宋体" w:eastAsia="宋体" w:cs="宋体"/>
                <w:b w:val="0"/>
                <w:bCs w:val="0"/>
                <w:i w:val="0"/>
                <w:iCs w:val="0"/>
                <w:color w:val="000000"/>
                <w:spacing w:val="0"/>
                <w:w w:val="100"/>
                <w:sz w:val="21"/>
                <w:szCs w:val="21"/>
                <w:vertAlign w:val="baseline"/>
              </w:rPr>
              <w:t xml:space="preserve"> 自动同步 IoT 设备数据，集成卡路里、心率、频次，生成可视化周/月报。</w:t>
            </w:r>
          </w:p>
          <w:p w14:paraId="695B089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设备互联：</w:t>
            </w:r>
            <w:r>
              <w:rPr>
                <w:rFonts w:hint="eastAsia" w:ascii="宋体" w:hAnsi="宋体" w:eastAsia="宋体" w:cs="宋体"/>
                <w:b w:val="0"/>
                <w:bCs w:val="0"/>
                <w:i w:val="0"/>
                <w:iCs w:val="0"/>
                <w:color w:val="000000"/>
                <w:spacing w:val="0"/>
                <w:w w:val="100"/>
                <w:sz w:val="21"/>
                <w:szCs w:val="21"/>
                <w:vertAlign w:val="baseline"/>
              </w:rPr>
              <w:t xml:space="preserve"> 支持扫码启动智能跑步机，数据自动云端同步。</w:t>
            </w:r>
          </w:p>
        </w:tc>
        <w:tc>
          <w:tcPr>
            <w:tcW w:w="1799"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50A9DA7D">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解决“数据服务”缺失问题，将“哑终端”升级为智能终端，提升获得感。</w:t>
            </w:r>
          </w:p>
        </w:tc>
      </w:tr>
      <w:tr w14:paraId="0BDDC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076"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2FC5A5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AI 运动处方</w:t>
            </w:r>
          </w:p>
        </w:tc>
        <w:tc>
          <w:tcPr>
            <w:tcW w:w="905"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3D2808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产品策略</w:t>
            </w:r>
          </w:p>
        </w:tc>
        <w:tc>
          <w:tcPr>
            <w:tcW w:w="2604"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86F1330">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体测评估：</w:t>
            </w:r>
            <w:r>
              <w:rPr>
                <w:rFonts w:hint="eastAsia" w:ascii="宋体" w:hAnsi="宋体" w:eastAsia="宋体" w:cs="宋体"/>
                <w:b w:val="0"/>
                <w:bCs w:val="0"/>
                <w:i w:val="0"/>
                <w:iCs w:val="0"/>
                <w:color w:val="000000"/>
                <w:spacing w:val="0"/>
                <w:w w:val="100"/>
                <w:sz w:val="21"/>
                <w:szCs w:val="21"/>
                <w:vertAlign w:val="baseline"/>
              </w:rPr>
              <w:t xml:space="preserve"> 输入或同步体测数据（BMI、肺活量等），AI 生成个性化训练计划（如“减脂初级计划”）。</w:t>
            </w:r>
          </w:p>
          <w:p w14:paraId="3A8215DE">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视频指导：</w:t>
            </w:r>
            <w:r>
              <w:rPr>
                <w:rFonts w:hint="eastAsia" w:ascii="宋体" w:hAnsi="宋体" w:eastAsia="宋体" w:cs="宋体"/>
                <w:b w:val="0"/>
                <w:bCs w:val="0"/>
                <w:i w:val="0"/>
                <w:iCs w:val="0"/>
                <w:color w:val="000000"/>
                <w:spacing w:val="0"/>
                <w:w w:val="100"/>
                <w:sz w:val="21"/>
                <w:szCs w:val="21"/>
                <w:vertAlign w:val="baseline"/>
              </w:rPr>
              <w:t xml:space="preserve"> 提供标准动作视频库，支持扫码观看器械使用教程。</w:t>
            </w:r>
          </w:p>
        </w:tc>
        <w:tc>
          <w:tcPr>
            <w:tcW w:w="1799"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5054F90A">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弥补现场“人员服务”不足，指导科学健身，降低运动损伤风险。</w:t>
            </w:r>
          </w:p>
        </w:tc>
      </w:tr>
      <w:tr w14:paraId="03963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76"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1D6129B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一键报修</w:t>
            </w:r>
          </w:p>
        </w:tc>
        <w:tc>
          <w:tcPr>
            <w:tcW w:w="905"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449873F3">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推广策略</w:t>
            </w:r>
          </w:p>
        </w:tc>
        <w:tc>
          <w:tcPr>
            <w:tcW w:w="2604"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E05A30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扫码报修：</w:t>
            </w:r>
            <w:r>
              <w:rPr>
                <w:rFonts w:hint="eastAsia" w:ascii="宋体" w:hAnsi="宋体" w:eastAsia="宋体" w:cs="宋体"/>
                <w:b w:val="0"/>
                <w:bCs w:val="0"/>
                <w:i w:val="0"/>
                <w:iCs w:val="0"/>
                <w:color w:val="000000"/>
                <w:spacing w:val="0"/>
                <w:w w:val="100"/>
                <w:sz w:val="21"/>
                <w:szCs w:val="21"/>
                <w:vertAlign w:val="baseline"/>
              </w:rPr>
              <w:t xml:space="preserve"> 扫描器材二维码直接上报故障，支持拍照上传。</w:t>
            </w:r>
          </w:p>
          <w:p w14:paraId="680C5BD8">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进度追踪：</w:t>
            </w:r>
            <w:r>
              <w:rPr>
                <w:rFonts w:hint="eastAsia" w:ascii="宋体" w:hAnsi="宋体" w:eastAsia="宋体" w:cs="宋体"/>
                <w:b w:val="0"/>
                <w:bCs w:val="0"/>
                <w:i w:val="0"/>
                <w:iCs w:val="0"/>
                <w:color w:val="000000"/>
                <w:spacing w:val="0"/>
                <w:w w:val="100"/>
                <w:sz w:val="21"/>
                <w:szCs w:val="21"/>
                <w:vertAlign w:val="baseline"/>
              </w:rPr>
              <w:t xml:space="preserve"> 实时查看维修进度（已接单、维修中、已修复），超时自动报警。</w:t>
            </w:r>
          </w:p>
        </w:tc>
        <w:tc>
          <w:tcPr>
            <w:tcW w:w="1799"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72B46E26">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守住“3分维护底线”，构建全民监督机制，解决“报修无门”的焦虑。</w:t>
            </w:r>
          </w:p>
        </w:tc>
      </w:tr>
      <w:tr w14:paraId="61BB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076" w:type="dxa"/>
            <w:tcBorders>
              <w:top w:val="single" w:color="auto" w:sz="2" w:space="0"/>
              <w:left w:val="single" w:color="CBCDD1" w:sz="2" w:space="0"/>
              <w:bottom w:val="single" w:color="auto" w:sz="8" w:space="0"/>
              <w:right w:val="single" w:color="auto" w:sz="2" w:space="0"/>
            </w:tcBorders>
            <w:shd w:val="clear" w:color="auto" w:fill="DEEAF6"/>
            <w:tcMar>
              <w:top w:w="0" w:type="dxa"/>
              <w:left w:w="72" w:type="dxa"/>
              <w:bottom w:w="0" w:type="dxa"/>
              <w:right w:w="72" w:type="dxa"/>
            </w:tcMar>
            <w:vAlign w:val="center"/>
          </w:tcPr>
          <w:p w14:paraId="14648E6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全域监管端</w:t>
            </w:r>
          </w:p>
        </w:tc>
        <w:tc>
          <w:tcPr>
            <w:tcW w:w="905"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4C7BAA41">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价格/管理</w:t>
            </w:r>
          </w:p>
        </w:tc>
        <w:tc>
          <w:tcPr>
            <w:tcW w:w="2604" w:type="dxa"/>
            <w:tcBorders>
              <w:top w:val="single" w:color="auto" w:sz="2" w:space="0"/>
              <w:left w:val="single" w:color="auto" w:sz="2" w:space="0"/>
              <w:bottom w:val="single" w:color="auto" w:sz="8" w:space="0"/>
              <w:right w:val="single" w:color="auto" w:sz="2" w:space="0"/>
            </w:tcBorders>
            <w:shd w:val="clear" w:color="auto" w:fill="DEEAF6"/>
            <w:tcMar>
              <w:top w:w="0" w:type="dxa"/>
              <w:left w:w="72" w:type="dxa"/>
              <w:bottom w:w="0" w:type="dxa"/>
              <w:right w:w="72" w:type="dxa"/>
            </w:tcMar>
            <w:vAlign w:val="center"/>
          </w:tcPr>
          <w:p w14:paraId="4C61ABBF">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效能热力图：</w:t>
            </w:r>
            <w:r>
              <w:rPr>
                <w:rFonts w:hint="eastAsia" w:ascii="宋体" w:hAnsi="宋体" w:eastAsia="宋体" w:cs="宋体"/>
                <w:b w:val="0"/>
                <w:bCs w:val="0"/>
                <w:i w:val="0"/>
                <w:iCs w:val="0"/>
                <w:color w:val="000000"/>
                <w:spacing w:val="0"/>
                <w:w w:val="100"/>
                <w:sz w:val="21"/>
                <w:szCs w:val="21"/>
                <w:vertAlign w:val="baseline"/>
              </w:rPr>
              <w:t xml:space="preserve"> 管理者查看全市驿站 SEI 指数分布。</w:t>
            </w:r>
          </w:p>
          <w:p w14:paraId="2A60B61B">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bCs/>
                <w:i w:val="0"/>
                <w:iCs w:val="0"/>
                <w:color w:val="000000"/>
                <w:spacing w:val="0"/>
                <w:w w:val="100"/>
                <w:sz w:val="21"/>
                <w:szCs w:val="21"/>
                <w:vertAlign w:val="baseline"/>
              </w:rPr>
              <w:t>异常预警：</w:t>
            </w:r>
            <w:r>
              <w:rPr>
                <w:rFonts w:hint="eastAsia" w:ascii="宋体" w:hAnsi="宋体" w:eastAsia="宋体" w:cs="宋体"/>
                <w:b w:val="0"/>
                <w:bCs w:val="0"/>
                <w:i w:val="0"/>
                <w:iCs w:val="0"/>
                <w:color w:val="000000"/>
                <w:spacing w:val="0"/>
                <w:w w:val="100"/>
                <w:sz w:val="21"/>
                <w:szCs w:val="21"/>
                <w:vertAlign w:val="baseline"/>
              </w:rPr>
              <w:t xml:space="preserve"> 监控设备离线率、客流超载、跌倒报警、深夜未关门等异常。</w:t>
            </w:r>
          </w:p>
        </w:tc>
        <w:tc>
          <w:tcPr>
            <w:tcW w:w="1799" w:type="dxa"/>
            <w:tcBorders>
              <w:top w:val="single" w:color="auto" w:sz="2" w:space="0"/>
              <w:left w:val="single" w:color="auto" w:sz="2" w:space="0"/>
              <w:bottom w:val="single" w:color="auto" w:sz="8" w:space="0"/>
              <w:right w:val="single" w:color="CBCDD1" w:sz="2" w:space="0"/>
            </w:tcBorders>
            <w:shd w:val="clear" w:color="auto" w:fill="DEEAF6"/>
            <w:tcMar>
              <w:top w:w="0" w:type="dxa"/>
              <w:left w:w="72" w:type="dxa"/>
              <w:bottom w:w="0" w:type="dxa"/>
              <w:right w:w="72" w:type="dxa"/>
            </w:tcMar>
            <w:vAlign w:val="center"/>
          </w:tcPr>
          <w:p w14:paraId="11D21709">
            <w:pPr>
              <w:pStyle w:val="2"/>
              <w:keepNext w:val="0"/>
              <w:keepLines w:val="0"/>
              <w:widowControl/>
              <w:suppressLineNumbers w:val="0"/>
              <w:spacing w:before="156" w:beforeAutospacing="0" w:after="0" w:afterAutospacing="0"/>
              <w:ind w:left="0" w:right="0"/>
              <w:jc w:val="center"/>
            </w:pPr>
            <w:r>
              <w:rPr>
                <w:rFonts w:hint="eastAsia" w:ascii="宋体" w:hAnsi="宋体" w:eastAsia="宋体" w:cs="宋体"/>
                <w:b w:val="0"/>
                <w:bCs w:val="0"/>
                <w:i w:val="0"/>
                <w:iCs w:val="0"/>
                <w:color w:val="000000"/>
                <w:spacing w:val="0"/>
                <w:w w:val="100"/>
                <w:sz w:val="21"/>
                <w:szCs w:val="21"/>
                <w:vertAlign w:val="baseline"/>
              </w:rPr>
              <w:t>实现从“被动管理”到“主动预警”的治理转型，降低无人值守风险。</w:t>
            </w:r>
          </w:p>
        </w:tc>
      </w:tr>
    </w:tbl>
    <w:p w14:paraId="385AB577">
      <w:pPr>
        <w:pStyle w:val="2"/>
        <w:keepNext w:val="0"/>
        <w:keepLines w:val="0"/>
        <w:widowControl/>
        <w:suppressLineNumbers w:val="0"/>
        <w:spacing w:before="156" w:beforeAutospacing="0" w:after="0" w:afterAutospacing="0" w:line="13" w:lineRule="atLeast"/>
        <w:ind w:left="0" w:right="0"/>
        <w:jc w:val="center"/>
      </w:pPr>
      <w:r>
        <w:drawing>
          <wp:inline distT="0" distB="0" distL="114300" distR="114300">
            <wp:extent cx="2181225" cy="4314825"/>
            <wp:effectExtent l="0" t="0" r="3175" b="3175"/>
            <wp:docPr id="71" name="图片 66"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6" descr="IMG_276"/>
                    <pic:cNvPicPr>
                      <a:picLocks noChangeAspect="1"/>
                    </pic:cNvPicPr>
                  </pic:nvPicPr>
                  <pic:blipFill>
                    <a:blip r:embed="rId21"/>
                    <a:stretch>
                      <a:fillRect/>
                    </a:stretch>
                  </pic:blipFill>
                  <pic:spPr>
                    <a:xfrm>
                      <a:off x="0" y="0"/>
                      <a:ext cx="2181225" cy="4314825"/>
                    </a:xfrm>
                    <a:prstGeom prst="rect">
                      <a:avLst/>
                    </a:prstGeom>
                    <a:noFill/>
                    <a:ln w="9525">
                      <a:noFill/>
                    </a:ln>
                  </pic:spPr>
                </pic:pic>
              </a:graphicData>
            </a:graphic>
          </wp:inline>
        </w:drawing>
      </w:r>
      <w:r>
        <w:drawing>
          <wp:inline distT="0" distB="0" distL="114300" distR="114300">
            <wp:extent cx="2190750" cy="4314825"/>
            <wp:effectExtent l="0" t="0" r="6350" b="3175"/>
            <wp:docPr id="72" name="图片 67"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7" descr="IMG_277"/>
                    <pic:cNvPicPr>
                      <a:picLocks noChangeAspect="1"/>
                    </pic:cNvPicPr>
                  </pic:nvPicPr>
                  <pic:blipFill>
                    <a:blip r:embed="rId22"/>
                    <a:stretch>
                      <a:fillRect/>
                    </a:stretch>
                  </pic:blipFill>
                  <pic:spPr>
                    <a:xfrm>
                      <a:off x="0" y="0"/>
                      <a:ext cx="2190750" cy="4314825"/>
                    </a:xfrm>
                    <a:prstGeom prst="rect">
                      <a:avLst/>
                    </a:prstGeom>
                    <a:noFill/>
                    <a:ln w="9525">
                      <a:noFill/>
                    </a:ln>
                  </pic:spPr>
                </pic:pic>
              </a:graphicData>
            </a:graphic>
          </wp:inline>
        </w:drawing>
      </w:r>
    </w:p>
    <w:p w14:paraId="16D44647">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小程序搜索功能和“我的数据”功能展示图</w:t>
      </w:r>
    </w:p>
    <w:p w14:paraId="5DE71FA4">
      <w:pPr>
        <w:pStyle w:val="2"/>
        <w:keepNext w:val="0"/>
        <w:keepLines w:val="0"/>
        <w:widowControl/>
        <w:suppressLineNumbers w:val="0"/>
        <w:spacing w:before="156" w:beforeAutospacing="0" w:after="0" w:afterAutospacing="0" w:line="13" w:lineRule="atLeast"/>
        <w:ind w:left="0" w:right="0"/>
        <w:jc w:val="center"/>
      </w:pPr>
      <w:r>
        <w:drawing>
          <wp:inline distT="0" distB="0" distL="114300" distR="114300">
            <wp:extent cx="2114550" cy="3952875"/>
            <wp:effectExtent l="0" t="0" r="6350" b="9525"/>
            <wp:docPr id="73" name="图片 68"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8" descr="IMG_278"/>
                    <pic:cNvPicPr>
                      <a:picLocks noChangeAspect="1"/>
                    </pic:cNvPicPr>
                  </pic:nvPicPr>
                  <pic:blipFill>
                    <a:blip r:embed="rId23"/>
                    <a:stretch>
                      <a:fillRect/>
                    </a:stretch>
                  </pic:blipFill>
                  <pic:spPr>
                    <a:xfrm>
                      <a:off x="0" y="0"/>
                      <a:ext cx="2114550" cy="3952875"/>
                    </a:xfrm>
                    <a:prstGeom prst="rect">
                      <a:avLst/>
                    </a:prstGeom>
                    <a:noFill/>
                    <a:ln w="9525">
                      <a:noFill/>
                    </a:ln>
                  </pic:spPr>
                </pic:pic>
              </a:graphicData>
            </a:graphic>
          </wp:inline>
        </w:drawing>
      </w:r>
      <w:r>
        <w:drawing>
          <wp:inline distT="0" distB="0" distL="114300" distR="114300">
            <wp:extent cx="1943100" cy="3971925"/>
            <wp:effectExtent l="0" t="0" r="0" b="3175"/>
            <wp:docPr id="50" name="图片 69"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9" descr="IMG_279"/>
                    <pic:cNvPicPr>
                      <a:picLocks noChangeAspect="1"/>
                    </pic:cNvPicPr>
                  </pic:nvPicPr>
                  <pic:blipFill>
                    <a:blip r:embed="rId24"/>
                    <a:stretch>
                      <a:fillRect/>
                    </a:stretch>
                  </pic:blipFill>
                  <pic:spPr>
                    <a:xfrm>
                      <a:off x="0" y="0"/>
                      <a:ext cx="1943100" cy="3971925"/>
                    </a:xfrm>
                    <a:prstGeom prst="rect">
                      <a:avLst/>
                    </a:prstGeom>
                    <a:noFill/>
                    <a:ln w="9525">
                      <a:noFill/>
                    </a:ln>
                  </pic:spPr>
                </pic:pic>
              </a:graphicData>
            </a:graphic>
          </wp:inline>
        </w:drawing>
      </w:r>
    </w:p>
    <w:p w14:paraId="019C10AE">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小程序“智能服务”功能和个人页面展示图</w:t>
      </w:r>
    </w:p>
    <w:p w14:paraId="7F63273A">
      <w:pPr>
        <w:pStyle w:val="2"/>
        <w:keepNext w:val="0"/>
        <w:keepLines w:val="0"/>
        <w:widowControl/>
        <w:suppressLineNumbers w:val="0"/>
        <w:spacing w:before="156" w:beforeAutospacing="0" w:after="0" w:afterAutospacing="0" w:line="13" w:lineRule="atLeast"/>
        <w:ind w:left="0" w:right="0"/>
        <w:jc w:val="both"/>
      </w:pPr>
      <w:r>
        <w:drawing>
          <wp:inline distT="0" distB="0" distL="114300" distR="114300">
            <wp:extent cx="5267325" cy="2895600"/>
            <wp:effectExtent l="0" t="0" r="3175" b="0"/>
            <wp:docPr id="46" name="图片 70"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0" descr="IMG_280"/>
                    <pic:cNvPicPr>
                      <a:picLocks noChangeAspect="1"/>
                    </pic:cNvPicPr>
                  </pic:nvPicPr>
                  <pic:blipFill>
                    <a:blip r:embed="rId25"/>
                    <a:stretch>
                      <a:fillRect/>
                    </a:stretch>
                  </pic:blipFill>
                  <pic:spPr>
                    <a:xfrm>
                      <a:off x="0" y="0"/>
                      <a:ext cx="5267325" cy="2895600"/>
                    </a:xfrm>
                    <a:prstGeom prst="rect">
                      <a:avLst/>
                    </a:prstGeom>
                    <a:noFill/>
                    <a:ln w="9525">
                      <a:noFill/>
                    </a:ln>
                  </pic:spPr>
                </pic:pic>
              </a:graphicData>
            </a:graphic>
          </wp:inline>
        </w:drawing>
      </w:r>
    </w:p>
    <w:p w14:paraId="52752CDB">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小程序智慧监管云图示意图</w:t>
      </w:r>
    </w:p>
    <w:p w14:paraId="55C3E9E8">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3.用户体验流程 (User Journey)</w:t>
      </w:r>
    </w:p>
    <w:p w14:paraId="5CA3BCC1">
      <w:pPr>
        <w:pStyle w:val="2"/>
        <w:keepNext w:val="0"/>
        <w:keepLines w:val="0"/>
        <w:widowControl/>
        <w:numPr>
          <w:ilvl w:val="0"/>
          <w:numId w:val="34"/>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出发前：</w:t>
      </w:r>
      <w:r>
        <w:rPr>
          <w:rFonts w:hint="eastAsia" w:ascii="宋体" w:hAnsi="宋体" w:eastAsia="宋体" w:cs="宋体"/>
          <w:b w:val="0"/>
          <w:bCs w:val="0"/>
          <w:i w:val="0"/>
          <w:iCs w:val="0"/>
          <w:color w:val="000000"/>
          <w:spacing w:val="0"/>
          <w:w w:val="100"/>
          <w:sz w:val="24"/>
          <w:szCs w:val="24"/>
          <w:vertAlign w:val="baseline"/>
        </w:rPr>
        <w:t xml:space="preserve"> 用户打开小程序，查看“附近驿站”，发现最近的驿站显示“拥挤（红色）”，系统推荐 500 米外另一个显示“空闲（绿色）”的驿站。</w:t>
      </w:r>
    </w:p>
    <w:p w14:paraId="51A15103">
      <w:pPr>
        <w:pStyle w:val="2"/>
        <w:keepNext w:val="0"/>
        <w:keepLines w:val="0"/>
        <w:widowControl/>
        <w:numPr>
          <w:ilvl w:val="0"/>
          <w:numId w:val="34"/>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到达后：</w:t>
      </w:r>
      <w:r>
        <w:rPr>
          <w:rFonts w:hint="eastAsia" w:ascii="宋体" w:hAnsi="宋体" w:eastAsia="宋体" w:cs="宋体"/>
          <w:b w:val="0"/>
          <w:bCs w:val="0"/>
          <w:i w:val="0"/>
          <w:iCs w:val="0"/>
          <w:color w:val="000000"/>
          <w:spacing w:val="0"/>
          <w:w w:val="100"/>
          <w:sz w:val="24"/>
          <w:szCs w:val="24"/>
          <w:vertAlign w:val="baseline"/>
        </w:rPr>
        <w:t xml:space="preserve"> 用户通过“刷脸”或“扫码”开门（无人值守）。</w:t>
      </w:r>
    </w:p>
    <w:p w14:paraId="3206B68B">
      <w:pPr>
        <w:pStyle w:val="2"/>
        <w:keepNext w:val="0"/>
        <w:keepLines w:val="0"/>
        <w:widowControl/>
        <w:numPr>
          <w:ilvl w:val="0"/>
          <w:numId w:val="34"/>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运动中：</w:t>
      </w:r>
      <w:r>
        <w:rPr>
          <w:rFonts w:hint="eastAsia" w:ascii="宋体" w:hAnsi="宋体" w:eastAsia="宋体" w:cs="宋体"/>
          <w:b w:val="0"/>
          <w:bCs w:val="0"/>
          <w:i w:val="0"/>
          <w:iCs w:val="0"/>
          <w:color w:val="000000"/>
          <w:spacing w:val="0"/>
          <w:w w:val="100"/>
          <w:sz w:val="24"/>
          <w:szCs w:val="24"/>
          <w:vertAlign w:val="baseline"/>
        </w:rPr>
        <w:t xml:space="preserve"> 走到智能跑步机前，微信扫码登录，开始跑步。数据实时传输至手机。遇到不会用的力量器械，扫码观看 30 秒教学视频。</w:t>
      </w:r>
    </w:p>
    <w:p w14:paraId="58940D71">
      <w:pPr>
        <w:pStyle w:val="2"/>
        <w:keepNext w:val="0"/>
        <w:keepLines w:val="0"/>
        <w:widowControl/>
        <w:numPr>
          <w:ilvl w:val="0"/>
          <w:numId w:val="34"/>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结束后：</w:t>
      </w:r>
      <w:r>
        <w:rPr>
          <w:rFonts w:hint="eastAsia" w:ascii="宋体" w:hAnsi="宋体" w:eastAsia="宋体" w:cs="宋体"/>
          <w:b w:val="0"/>
          <w:bCs w:val="0"/>
          <w:i w:val="0"/>
          <w:iCs w:val="0"/>
          <w:color w:val="000000"/>
          <w:spacing w:val="0"/>
          <w:w w:val="100"/>
          <w:sz w:val="24"/>
          <w:szCs w:val="24"/>
          <w:vertAlign w:val="baseline"/>
        </w:rPr>
        <w:t xml:space="preserve"> 手机收到“今日运动日报”，显示消耗 300 千卡，并获得“健身达人”勋章。发现更衣柜门锁损坏，点击“一键报修”拍照上传，系统提示“已派单，预计 24 小时内修复”。</w:t>
      </w:r>
    </w:p>
    <w:p w14:paraId="7918D00A">
      <w:pPr>
        <w:pStyle w:val="2"/>
        <w:keepNext w:val="0"/>
        <w:keepLines w:val="0"/>
        <w:widowControl/>
        <w:numPr>
          <w:ilvl w:val="0"/>
          <w:numId w:val="34"/>
        </w:numPr>
        <w:suppressLineNumbers w:val="0"/>
        <w:spacing w:before="156" w:beforeAutospacing="0" w:after="0" w:afterAutospacing="0" w:line="13" w:lineRule="atLeast"/>
        <w:ind w:left="480" w:right="0" w:hanging="360"/>
        <w:jc w:val="both"/>
      </w:pPr>
      <w:r>
        <w:rPr>
          <w:rFonts w:hint="eastAsia" w:ascii="宋体" w:hAnsi="宋体" w:eastAsia="宋体" w:cs="宋体"/>
          <w:b/>
          <w:bCs/>
          <w:i w:val="0"/>
          <w:iCs w:val="0"/>
          <w:color w:val="000000"/>
          <w:spacing w:val="0"/>
          <w:w w:val="100"/>
          <w:sz w:val="24"/>
          <w:szCs w:val="24"/>
          <w:vertAlign w:val="baseline"/>
        </w:rPr>
        <w:t>离场：</w:t>
      </w:r>
      <w:r>
        <w:rPr>
          <w:rFonts w:hint="eastAsia" w:ascii="宋体" w:hAnsi="宋体" w:eastAsia="宋体" w:cs="宋体"/>
          <w:b w:val="0"/>
          <w:bCs w:val="0"/>
          <w:i w:val="0"/>
          <w:iCs w:val="0"/>
          <w:color w:val="000000"/>
          <w:spacing w:val="0"/>
          <w:w w:val="100"/>
          <w:sz w:val="24"/>
          <w:szCs w:val="24"/>
          <w:vertAlign w:val="baseline"/>
        </w:rPr>
        <w:t xml:space="preserve"> 刷脸出门，系统自动扣除低偿服务费（如有），并推送明日运动建议。</w:t>
      </w:r>
    </w:p>
    <w:p w14:paraId="5209F47A">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（四）总结与展望</w:t>
      </w:r>
    </w:p>
    <w:p w14:paraId="40CD50AC">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本研究通过构建“宏观 SEM + 微观 XGBoost-SHAP”的组合模型，精准量化了上海市民健身驿站的服务效能及其影响机制。研究发现，在物理空间覆盖已趋于饱和的背景下，</w:t>
      </w:r>
      <w:r>
        <w:rPr>
          <w:rFonts w:hint="eastAsia" w:ascii="宋体" w:hAnsi="宋体" w:eastAsia="宋体" w:cs="宋体"/>
          <w:b/>
          <w:bCs/>
          <w:i w:val="0"/>
          <w:iCs w:val="0"/>
          <w:color w:val="000000"/>
          <w:spacing w:val="0"/>
          <w:w w:val="100"/>
          <w:sz w:val="24"/>
          <w:szCs w:val="24"/>
          <w:vertAlign w:val="baseline"/>
        </w:rPr>
        <w:t>“15分钟”是选址的空间红线，“3分维护”是运营的生存底线，而“数智化服务”与“人员指导”是打破 56.88 分瓶颈的关键增长极。</w:t>
      </w:r>
    </w:p>
    <w:p w14:paraId="5CB05A8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未来，随着“驿动申城”等数字化工具的落地，上海市民健身驿站将实现从“物理空间的嵌入”到“数字生活的融入”，真正成为“15分钟社区生活圈”中充满活力的城市微单元，为建设全球著名体育城市提供坚实的基层支撑。这不仅是上海的实践，也为全国超大城市公共体育服务的精细化治理提供了可复制的范本。</w:t>
      </w:r>
    </w:p>
    <w:p w14:paraId="693E4D8B">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lang w:val="en-US"/>
        </w:rPr>
        <w:t> </w:t>
      </w:r>
    </w:p>
    <w:p w14:paraId="4122A71A">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lang w:val="en-US"/>
        </w:rPr>
        <w:t> </w:t>
      </w:r>
    </w:p>
    <w:p w14:paraId="5CDBD641">
      <w:pPr>
        <w:pStyle w:val="2"/>
        <w:keepNext w:val="0"/>
        <w:keepLines w:val="0"/>
        <w:widowControl/>
        <w:suppressLineNumbers w:val="0"/>
        <w:spacing w:before="156" w:beforeAutospacing="0" w:after="0" w:afterAutospacing="0" w:line="13" w:lineRule="atLeast"/>
        <w:ind w:left="0" w:right="0"/>
        <w:jc w:val="center"/>
      </w:pPr>
      <w:r>
        <w:rPr>
          <w:rFonts w:hint="eastAsia" w:ascii="黑体" w:hAnsi="宋体" w:eastAsia="黑体" w:cs="黑体"/>
          <w:b w:val="0"/>
          <w:bCs w:val="0"/>
          <w:i w:val="0"/>
          <w:iCs w:val="0"/>
          <w:color w:val="000000"/>
          <w:spacing w:val="0"/>
          <w:w w:val="100"/>
          <w:sz w:val="30"/>
          <w:szCs w:val="30"/>
          <w:vertAlign w:val="baseline"/>
        </w:rPr>
        <w:t>六、健身驿站服务效能提升与市场潜力分析</w:t>
      </w:r>
    </w:p>
    <w:p w14:paraId="6197C481">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（一）战略分析：TOWS 框架下的服务优化与发展策略</w:t>
      </w:r>
    </w:p>
    <w:p w14:paraId="11F7D865">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 环境扫描：先外部，后内部的格局分析</w:t>
      </w:r>
    </w:p>
    <w:p w14:paraId="49262721">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在进行战略分析前，本文拟采用 </w:t>
      </w:r>
      <w:r>
        <w:rPr>
          <w:rFonts w:hint="eastAsia" w:ascii="宋体" w:hAnsi="宋体" w:eastAsia="宋体" w:cs="宋体"/>
          <w:b/>
          <w:bCs/>
          <w:i w:val="0"/>
          <w:iCs w:val="0"/>
          <w:color w:val="000000"/>
          <w:spacing w:val="0"/>
          <w:w w:val="100"/>
          <w:sz w:val="24"/>
          <w:szCs w:val="24"/>
          <w:vertAlign w:val="baseline"/>
        </w:rPr>
        <w:t>TOWS 分析</w:t>
      </w:r>
      <w:r>
        <w:rPr>
          <w:rFonts w:hint="eastAsia" w:ascii="宋体" w:hAnsi="宋体" w:eastAsia="宋体" w:cs="宋体"/>
          <w:b w:val="0"/>
          <w:bCs w:val="0"/>
          <w:i w:val="0"/>
          <w:iCs w:val="0"/>
          <w:color w:val="000000"/>
          <w:spacing w:val="0"/>
          <w:w w:val="100"/>
          <w:sz w:val="24"/>
          <w:szCs w:val="24"/>
          <w:vertAlign w:val="baseline"/>
        </w:rPr>
        <w:t>，即先从外部环境（机会、威胁）入手，再结合内部资源（优势、劣势），系统总结当前城市公共健身服务所处的综合环境，为战略制定提供有力指导。</w:t>
      </w:r>
    </w:p>
    <w:p w14:paraId="72CC086F">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（1）外部机会（O）</w:t>
      </w:r>
    </w:p>
    <w:p w14:paraId="0575C80F">
      <w:pPr>
        <w:pStyle w:val="2"/>
        <w:keepNext w:val="0"/>
        <w:keepLines w:val="0"/>
        <w:widowControl/>
        <w:numPr>
          <w:ilvl w:val="0"/>
          <w:numId w:val="35"/>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消费升级</w:t>
      </w:r>
      <w:r>
        <w:rPr>
          <w:rFonts w:hint="eastAsia" w:ascii="宋体" w:hAnsi="宋体" w:eastAsia="宋体" w:cs="宋体"/>
          <w:b w:val="0"/>
          <w:bCs w:val="0"/>
          <w:i w:val="0"/>
          <w:iCs w:val="0"/>
          <w:color w:val="000000"/>
          <w:spacing w:val="0"/>
          <w:w w:val="100"/>
          <w:sz w:val="24"/>
          <w:szCs w:val="24"/>
          <w:vertAlign w:val="baseline"/>
        </w:rPr>
        <w:t>：全民健身意识觉醒，健康管理、社区康复等需求持续增长；</w:t>
      </w:r>
    </w:p>
    <w:p w14:paraId="4CAC9195">
      <w:pPr>
        <w:pStyle w:val="2"/>
        <w:keepNext w:val="0"/>
        <w:keepLines w:val="0"/>
        <w:widowControl/>
        <w:numPr>
          <w:ilvl w:val="0"/>
          <w:numId w:val="35"/>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政策红利</w:t>
      </w:r>
      <w:r>
        <w:rPr>
          <w:rFonts w:hint="eastAsia" w:ascii="宋体" w:hAnsi="宋体" w:eastAsia="宋体" w:cs="宋体"/>
          <w:b w:val="0"/>
          <w:bCs w:val="0"/>
          <w:i w:val="0"/>
          <w:iCs w:val="0"/>
          <w:color w:val="000000"/>
          <w:spacing w:val="0"/>
          <w:w w:val="100"/>
          <w:sz w:val="24"/>
          <w:szCs w:val="24"/>
          <w:vertAlign w:val="baseline"/>
        </w:rPr>
        <w:t>：“15 分钟健身圈”、智慧社区等政策持续推进，财政投入与试点项目为服务升级提供了坚实保障。</w:t>
      </w:r>
    </w:p>
    <w:p w14:paraId="57CBF161">
      <w:pPr>
        <w:pStyle w:val="2"/>
        <w:keepNext w:val="0"/>
        <w:keepLines w:val="0"/>
        <w:widowControl/>
        <w:numPr>
          <w:ilvl w:val="0"/>
          <w:numId w:val="35"/>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技术赋能</w:t>
      </w:r>
      <w:r>
        <w:rPr>
          <w:rFonts w:hint="eastAsia" w:ascii="宋体" w:hAnsi="宋体" w:eastAsia="宋体" w:cs="宋体"/>
          <w:b w:val="0"/>
          <w:bCs w:val="0"/>
          <w:i w:val="0"/>
          <w:iCs w:val="0"/>
          <w:color w:val="000000"/>
          <w:spacing w:val="0"/>
          <w:w w:val="100"/>
          <w:sz w:val="24"/>
          <w:szCs w:val="24"/>
          <w:vertAlign w:val="baseline"/>
        </w:rPr>
        <w:t>：智能感知等技术成熟，为健身驿站转型提供了技术支撑。</w:t>
      </w:r>
    </w:p>
    <w:p w14:paraId="69D8BA08">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（2）外部威胁（T）</w:t>
      </w:r>
    </w:p>
    <w:p w14:paraId="272BE0FC">
      <w:pPr>
        <w:pStyle w:val="2"/>
        <w:keepNext w:val="0"/>
        <w:keepLines w:val="0"/>
        <w:widowControl/>
        <w:numPr>
          <w:ilvl w:val="0"/>
          <w:numId w:val="36"/>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市场竞争</w:t>
      </w:r>
      <w:r>
        <w:rPr>
          <w:rFonts w:hint="eastAsia" w:ascii="宋体" w:hAnsi="宋体" w:eastAsia="宋体" w:cs="宋体"/>
          <w:b w:val="0"/>
          <w:bCs w:val="0"/>
          <w:i w:val="0"/>
          <w:iCs w:val="0"/>
          <w:color w:val="000000"/>
          <w:spacing w:val="0"/>
          <w:w w:val="100"/>
          <w:sz w:val="24"/>
          <w:szCs w:val="24"/>
          <w:vertAlign w:val="baseline"/>
        </w:rPr>
        <w:t>：商业健身房分流用户，对公共健身服务的吸引力提出更高要求。</w:t>
      </w:r>
    </w:p>
    <w:p w14:paraId="44052419">
      <w:pPr>
        <w:pStyle w:val="2"/>
        <w:keepNext w:val="0"/>
        <w:keepLines w:val="0"/>
        <w:widowControl/>
        <w:numPr>
          <w:ilvl w:val="0"/>
          <w:numId w:val="36"/>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运营压力</w:t>
      </w:r>
      <w:r>
        <w:rPr>
          <w:rFonts w:hint="eastAsia" w:ascii="宋体" w:hAnsi="宋体" w:eastAsia="宋体" w:cs="宋体"/>
          <w:b w:val="0"/>
          <w:bCs w:val="0"/>
          <w:i w:val="0"/>
          <w:iCs w:val="0"/>
          <w:color w:val="000000"/>
          <w:spacing w:val="0"/>
          <w:w w:val="100"/>
          <w:sz w:val="24"/>
          <w:szCs w:val="24"/>
          <w:vertAlign w:val="baseline"/>
        </w:rPr>
        <w:t>：运维资金高度依赖财政，面临较大的资金压力。</w:t>
      </w:r>
    </w:p>
    <w:p w14:paraId="595587D9">
      <w:pPr>
        <w:pStyle w:val="2"/>
        <w:keepNext w:val="0"/>
        <w:keepLines w:val="0"/>
        <w:widowControl/>
        <w:numPr>
          <w:ilvl w:val="0"/>
          <w:numId w:val="36"/>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信任壁垒</w:t>
      </w:r>
      <w:r>
        <w:rPr>
          <w:rFonts w:hint="eastAsia" w:ascii="宋体" w:hAnsi="宋体" w:eastAsia="宋体" w:cs="宋体"/>
          <w:b w:val="0"/>
          <w:bCs w:val="0"/>
          <w:i w:val="0"/>
          <w:iCs w:val="0"/>
          <w:color w:val="000000"/>
          <w:spacing w:val="0"/>
          <w:w w:val="100"/>
          <w:sz w:val="24"/>
          <w:szCs w:val="24"/>
          <w:vertAlign w:val="baseline"/>
        </w:rPr>
        <w:t>：用户对数据采集和隐私安全的顾虑，影响了智能服务的推广。</w:t>
      </w:r>
    </w:p>
    <w:p w14:paraId="30553EF8">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（3）内部优势（S）</w:t>
      </w:r>
    </w:p>
    <w:p w14:paraId="793ECF91">
      <w:pPr>
        <w:pStyle w:val="2"/>
        <w:keepNext w:val="0"/>
        <w:keepLines w:val="0"/>
        <w:widowControl/>
        <w:numPr>
          <w:ilvl w:val="0"/>
          <w:numId w:val="37"/>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网络覆盖</w:t>
      </w:r>
      <w:r>
        <w:rPr>
          <w:rFonts w:hint="eastAsia" w:ascii="宋体" w:hAnsi="宋体" w:eastAsia="宋体" w:cs="宋体"/>
          <w:b w:val="0"/>
          <w:bCs w:val="0"/>
          <w:i w:val="0"/>
          <w:iCs w:val="0"/>
          <w:color w:val="000000"/>
          <w:spacing w:val="0"/>
          <w:w w:val="100"/>
          <w:sz w:val="24"/>
          <w:szCs w:val="24"/>
          <w:vertAlign w:val="baseline"/>
        </w:rPr>
        <w:t>：健身驿站已基本实现“15 分钟健身圈”覆盖；</w:t>
      </w:r>
    </w:p>
    <w:p w14:paraId="47CBE6CB">
      <w:pPr>
        <w:pStyle w:val="2"/>
        <w:keepNext w:val="0"/>
        <w:keepLines w:val="0"/>
        <w:widowControl/>
        <w:numPr>
          <w:ilvl w:val="0"/>
          <w:numId w:val="37"/>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公共属性</w:t>
      </w:r>
      <w:r>
        <w:rPr>
          <w:rFonts w:hint="eastAsia" w:ascii="宋体" w:hAnsi="宋体" w:eastAsia="宋体" w:cs="宋体"/>
          <w:b w:val="0"/>
          <w:bCs w:val="0"/>
          <w:i w:val="0"/>
          <w:iCs w:val="0"/>
          <w:color w:val="000000"/>
          <w:spacing w:val="0"/>
          <w:w w:val="100"/>
          <w:sz w:val="24"/>
          <w:szCs w:val="24"/>
          <w:vertAlign w:val="baseline"/>
        </w:rPr>
        <w:t>：作为公共服务设施，具备天然的普惠性与社会价值，用户信任基础良好。</w:t>
      </w:r>
    </w:p>
    <w:p w14:paraId="66C92C1E">
      <w:pPr>
        <w:pStyle w:val="2"/>
        <w:keepNext w:val="0"/>
        <w:keepLines w:val="0"/>
        <w:widowControl/>
        <w:numPr>
          <w:ilvl w:val="0"/>
          <w:numId w:val="37"/>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政策支持</w:t>
      </w:r>
      <w:r>
        <w:rPr>
          <w:rFonts w:hint="eastAsia" w:ascii="宋体" w:hAnsi="宋体" w:eastAsia="宋体" w:cs="宋体"/>
          <w:b w:val="0"/>
          <w:bCs w:val="0"/>
          <w:i w:val="0"/>
          <w:iCs w:val="0"/>
          <w:color w:val="000000"/>
          <w:spacing w:val="0"/>
          <w:w w:val="100"/>
          <w:sz w:val="24"/>
          <w:szCs w:val="24"/>
          <w:vertAlign w:val="baseline"/>
        </w:rPr>
        <w:t>：顶层规划明确，财政保障有力，提供强大的政策背书。</w:t>
      </w:r>
    </w:p>
    <w:p w14:paraId="1984FEED">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（4）内部劣势（W）</w:t>
      </w:r>
    </w:p>
    <w:p w14:paraId="48FA5B44">
      <w:pPr>
        <w:pStyle w:val="2"/>
        <w:keepNext w:val="0"/>
        <w:keepLines w:val="0"/>
        <w:widowControl/>
        <w:numPr>
          <w:ilvl w:val="0"/>
          <w:numId w:val="38"/>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服务短板</w:t>
      </w:r>
      <w:r>
        <w:rPr>
          <w:rFonts w:hint="eastAsia" w:ascii="宋体" w:hAnsi="宋体" w:eastAsia="宋体" w:cs="宋体"/>
          <w:b w:val="0"/>
          <w:bCs w:val="0"/>
          <w:i w:val="0"/>
          <w:iCs w:val="0"/>
          <w:color w:val="000000"/>
          <w:spacing w:val="0"/>
          <w:w w:val="100"/>
          <w:sz w:val="24"/>
          <w:szCs w:val="24"/>
          <w:vertAlign w:val="baseline"/>
        </w:rPr>
        <w:t>：软性服务（人员管理、信息公示）不足，数智化水平偏低，用户体验有待提升。</w:t>
      </w:r>
    </w:p>
    <w:p w14:paraId="5250F6B0">
      <w:pPr>
        <w:pStyle w:val="2"/>
        <w:keepNext w:val="0"/>
        <w:keepLines w:val="0"/>
        <w:widowControl/>
        <w:numPr>
          <w:ilvl w:val="0"/>
          <w:numId w:val="38"/>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适老化不足</w:t>
      </w:r>
      <w:r>
        <w:rPr>
          <w:rFonts w:hint="eastAsia" w:ascii="宋体" w:hAnsi="宋体" w:eastAsia="宋体" w:cs="宋体"/>
          <w:b w:val="0"/>
          <w:bCs w:val="0"/>
          <w:i w:val="0"/>
          <w:iCs w:val="0"/>
          <w:color w:val="000000"/>
          <w:spacing w:val="0"/>
          <w:w w:val="100"/>
          <w:sz w:val="24"/>
          <w:szCs w:val="24"/>
          <w:vertAlign w:val="baseline"/>
        </w:rPr>
        <w:t>：操作复杂、功能单一，难以满足老年群体的使用需求，存在市场结构性短板。</w:t>
      </w:r>
    </w:p>
    <w:p w14:paraId="0C367C93">
      <w:pPr>
        <w:pStyle w:val="2"/>
        <w:keepNext w:val="0"/>
        <w:keepLines w:val="0"/>
        <w:widowControl/>
        <w:numPr>
          <w:ilvl w:val="0"/>
          <w:numId w:val="38"/>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运营模式单一</w:t>
      </w:r>
      <w:r>
        <w:rPr>
          <w:rFonts w:hint="eastAsia" w:ascii="宋体" w:hAnsi="宋体" w:eastAsia="宋体" w:cs="宋体"/>
          <w:b w:val="0"/>
          <w:bCs w:val="0"/>
          <w:i w:val="0"/>
          <w:iCs w:val="0"/>
          <w:color w:val="000000"/>
          <w:spacing w:val="0"/>
          <w:w w:val="100"/>
          <w:sz w:val="24"/>
          <w:szCs w:val="24"/>
          <w:vertAlign w:val="baseline"/>
        </w:rPr>
        <w:t>：过度依赖财政投入，市场化、社会化运营机制尚未建立，可持续性不足。</w:t>
      </w:r>
    </w:p>
    <w:p w14:paraId="7670E356">
      <w:pPr>
        <w:pStyle w:val="2"/>
        <w:keepNext w:val="0"/>
        <w:keepLines w:val="0"/>
        <w:widowControl/>
        <w:suppressLineNumbers w:val="0"/>
        <w:spacing w:before="156" w:beforeAutospacing="0" w:after="0" w:afterAutospacing="0" w:line="13" w:lineRule="atLeast"/>
        <w:ind w:left="360" w:right="0"/>
        <w:jc w:val="both"/>
      </w:pPr>
      <w:r>
        <w:drawing>
          <wp:inline distT="0" distB="0" distL="114300" distR="114300">
            <wp:extent cx="5095875" cy="3248025"/>
            <wp:effectExtent l="0" t="0" r="9525" b="3175"/>
            <wp:docPr id="47" name="图片 71"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1" descr="IMG_281"/>
                    <pic:cNvPicPr>
                      <a:picLocks noChangeAspect="1"/>
                    </pic:cNvPicPr>
                  </pic:nvPicPr>
                  <pic:blipFill>
                    <a:blip r:embed="rId26"/>
                    <a:stretch>
                      <a:fillRect/>
                    </a:stretch>
                  </pic:blipFill>
                  <pic:spPr>
                    <a:xfrm>
                      <a:off x="0" y="0"/>
                      <a:ext cx="5095875" cy="3248025"/>
                    </a:xfrm>
                    <a:prstGeom prst="rect">
                      <a:avLst/>
                    </a:prstGeom>
                    <a:noFill/>
                    <a:ln w="9525">
                      <a:noFill/>
                    </a:ln>
                  </pic:spPr>
                </pic:pic>
              </a:graphicData>
            </a:graphic>
          </wp:inline>
        </w:drawing>
      </w:r>
    </w:p>
    <w:p w14:paraId="433BA552">
      <w:pPr>
        <w:pStyle w:val="2"/>
        <w:keepNext w:val="0"/>
        <w:keepLines w:val="0"/>
        <w:widowControl/>
        <w:suppressLineNumbers w:val="0"/>
        <w:spacing w:before="156" w:beforeAutospacing="0" w:after="0" w:afterAutospacing="0" w:line="13" w:lineRule="atLeast"/>
        <w:ind w:left="360" w:right="0"/>
        <w:jc w:val="center"/>
      </w:pPr>
      <w:r>
        <w:rPr>
          <w:rFonts w:hint="eastAsia" w:ascii="宋体" w:hAnsi="宋体" w:eastAsia="宋体" w:cs="宋体"/>
          <w:b w:val="0"/>
          <w:bCs w:val="0"/>
          <w:i w:val="0"/>
          <w:iCs w:val="0"/>
          <w:color w:val="000000"/>
          <w:spacing w:val="0"/>
          <w:w w:val="100"/>
          <w:sz w:val="24"/>
          <w:szCs w:val="24"/>
          <w:vertAlign w:val="baseline"/>
        </w:rPr>
        <w:t>TOWS模型图</w:t>
      </w:r>
    </w:p>
    <w:p w14:paraId="7B9ED8F4">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战略矩阵：基于 TOWS 的差异化发展路径</w:t>
      </w:r>
    </w:p>
    <w:p w14:paraId="22E3391C">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基于上述 TOWS 分析，本文针对健身驿站在国内市场的发展提出</w:t>
      </w:r>
      <w:r>
        <w:rPr>
          <w:rFonts w:hint="eastAsia" w:ascii="宋体" w:hAnsi="宋体" w:eastAsia="宋体" w:cs="宋体"/>
          <w:b/>
          <w:bCs/>
          <w:i w:val="0"/>
          <w:iCs w:val="0"/>
          <w:color w:val="000000"/>
          <w:spacing w:val="0"/>
          <w:w w:val="100"/>
          <w:sz w:val="24"/>
          <w:szCs w:val="24"/>
          <w:vertAlign w:val="baseline"/>
        </w:rPr>
        <w:t>表14</w:t>
      </w:r>
      <w:r>
        <w:rPr>
          <w:rFonts w:hint="eastAsia" w:ascii="宋体" w:hAnsi="宋体" w:eastAsia="宋体" w:cs="宋体"/>
          <w:b w:val="0"/>
          <w:bCs w:val="0"/>
          <w:i w:val="0"/>
          <w:iCs w:val="0"/>
          <w:color w:val="000000"/>
          <w:spacing w:val="0"/>
          <w:w w:val="100"/>
          <w:sz w:val="24"/>
          <w:szCs w:val="24"/>
          <w:vertAlign w:val="baseline"/>
        </w:rPr>
        <w:t>所示的战略建议，帮助其适应环境需求。</w:t>
      </w:r>
    </w:p>
    <w:p w14:paraId="289FEC8E">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表14 市场战略定位分析</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123"/>
        <w:gridCol w:w="2226"/>
        <w:gridCol w:w="2189"/>
      </w:tblGrid>
      <w:tr w14:paraId="54B9F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12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0811438">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FFFFFF"/>
                <w:spacing w:val="0"/>
                <w:w w:val="100"/>
                <w:sz w:val="24"/>
                <w:szCs w:val="24"/>
                <w:vertAlign w:val="baseline"/>
                <w:lang w:val="en-US"/>
              </w:rPr>
              <w:t> </w:t>
            </w:r>
          </w:p>
        </w:tc>
        <w:tc>
          <w:tcPr>
            <w:tcW w:w="2226"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2C29F32C">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bCs/>
                <w:i w:val="0"/>
                <w:iCs w:val="0"/>
                <w:color w:val="FFFFFF"/>
                <w:spacing w:val="0"/>
                <w:w w:val="100"/>
                <w:sz w:val="24"/>
                <w:szCs w:val="24"/>
                <w:vertAlign w:val="baseline"/>
              </w:rPr>
              <w:t>外部因素 外部机会（O）</w:t>
            </w:r>
          </w:p>
        </w:tc>
        <w:tc>
          <w:tcPr>
            <w:tcW w:w="2189"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0C2C350B">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FFFFFF"/>
                <w:spacing w:val="0"/>
                <w:w w:val="100"/>
                <w:sz w:val="24"/>
                <w:szCs w:val="24"/>
                <w:vertAlign w:val="baseline"/>
              </w:rPr>
              <w:t>外部威胁（T）</w:t>
            </w:r>
          </w:p>
        </w:tc>
      </w:tr>
      <w:tr w14:paraId="3DA62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28" w:hRule="atLeast"/>
        </w:trPr>
        <w:tc>
          <w:tcPr>
            <w:tcW w:w="1123" w:type="dxa"/>
            <w:tcBorders>
              <w:top w:val="single" w:color="auto" w:sz="2"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03EED1A3">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FFFFFF"/>
                <w:spacing w:val="0"/>
                <w:w w:val="100"/>
                <w:sz w:val="24"/>
                <w:szCs w:val="24"/>
                <w:vertAlign w:val="baseline"/>
              </w:rPr>
              <w:t>内部因素</w:t>
            </w:r>
          </w:p>
          <w:p w14:paraId="076CBBC2">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FFFFFF"/>
                <w:spacing w:val="0"/>
                <w:w w:val="100"/>
                <w:sz w:val="24"/>
                <w:szCs w:val="24"/>
                <w:vertAlign w:val="baseline"/>
              </w:rPr>
              <w:t>内部优势（S）</w:t>
            </w:r>
          </w:p>
        </w:tc>
        <w:tc>
          <w:tcPr>
            <w:tcW w:w="2226"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3EF93151">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000000"/>
                <w:spacing w:val="0"/>
                <w:w w:val="100"/>
                <w:sz w:val="24"/>
                <w:szCs w:val="24"/>
                <w:vertAlign w:val="baseline"/>
              </w:rPr>
              <w:t>SO 策略：进取型扩张</w:t>
            </w:r>
          </w:p>
          <w:p w14:paraId="5A6D3A60">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依托政策支持与网络优势，拓展康复理疗、亲子互动等增值服务，打造 “15 分钟健康圈” 标杆项目。</w:t>
            </w:r>
          </w:p>
        </w:tc>
        <w:tc>
          <w:tcPr>
            <w:tcW w:w="2189"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283D8381">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000000"/>
                <w:spacing w:val="0"/>
                <w:w w:val="100"/>
                <w:sz w:val="24"/>
                <w:szCs w:val="24"/>
                <w:vertAlign w:val="baseline"/>
              </w:rPr>
              <w:t>ST 策略：防御型竞争</w:t>
            </w:r>
          </w:p>
          <w:p w14:paraId="534CE565">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强化公共服务属性，突出普惠性与公益性，与商业健身形成差异化竞争；加强数据安全管理，降低用户隐私顾虑。</w:t>
            </w:r>
          </w:p>
        </w:tc>
      </w:tr>
      <w:tr w14:paraId="1B912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123" w:type="dxa"/>
            <w:tcBorders>
              <w:top w:val="single" w:color="auto" w:sz="2"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428DF4BF">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FFFFFF"/>
                <w:spacing w:val="0"/>
                <w:w w:val="100"/>
                <w:sz w:val="24"/>
                <w:szCs w:val="24"/>
                <w:vertAlign w:val="baseline"/>
                <w:lang w:val="en-US"/>
              </w:rPr>
              <w:t> </w:t>
            </w:r>
          </w:p>
        </w:tc>
        <w:tc>
          <w:tcPr>
            <w:tcW w:w="2226" w:type="dxa"/>
            <w:vMerge w:val="restart"/>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72A76FC">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000000"/>
                <w:spacing w:val="0"/>
                <w:w w:val="100"/>
                <w:sz w:val="24"/>
                <w:szCs w:val="24"/>
                <w:vertAlign w:val="baseline"/>
              </w:rPr>
              <w:t>WO 策略：转型型创新</w:t>
            </w:r>
          </w:p>
          <w:p w14:paraId="6B934FB7">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引入社会资本与专业运营机构，提升软性服务质量；加大智能设备投入，构建运动数据闭环；开展适老化改造专项行动。</w:t>
            </w:r>
          </w:p>
        </w:tc>
        <w:tc>
          <w:tcPr>
            <w:tcW w:w="2189" w:type="dxa"/>
            <w:vMerge w:val="restart"/>
            <w:tcBorders>
              <w:top w:val="single" w:color="auto" w:sz="2" w:space="0"/>
              <w:left w:val="single" w:color="auto" w:sz="2" w:space="0"/>
              <w:bottom w:val="single" w:color="auto" w:sz="2" w:space="0"/>
              <w:right w:val="single" w:color="CBCDD1" w:sz="2" w:space="0"/>
            </w:tcBorders>
            <w:shd w:val="clear" w:color="auto" w:fill="FFFFFF"/>
            <w:tcMar>
              <w:top w:w="0" w:type="dxa"/>
              <w:left w:w="72" w:type="dxa"/>
              <w:bottom w:w="0" w:type="dxa"/>
              <w:right w:w="72" w:type="dxa"/>
            </w:tcMar>
            <w:vAlign w:val="center"/>
          </w:tcPr>
          <w:p w14:paraId="516620CC">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000000"/>
                <w:spacing w:val="0"/>
                <w:w w:val="100"/>
                <w:sz w:val="24"/>
                <w:szCs w:val="24"/>
                <w:vertAlign w:val="baseline"/>
              </w:rPr>
              <w:t>WT 策略：保守型防御</w:t>
            </w:r>
          </w:p>
          <w:p w14:paraId="20C82C2D">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聚焦核心服务，收缩非必要场景投入；建立 “财政 + 社会资本” 多元筹资机制，缓解财政依赖；加强用户教育，提升隐私保护透明度。</w:t>
            </w:r>
          </w:p>
        </w:tc>
      </w:tr>
      <w:tr w14:paraId="2C4F6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123" w:type="dxa"/>
            <w:tcBorders>
              <w:top w:val="single" w:color="auto" w:sz="2" w:space="0"/>
              <w:left w:val="single" w:color="CBCDD1" w:sz="2" w:space="0"/>
              <w:bottom w:val="single" w:color="auto" w:sz="8" w:space="0"/>
              <w:right w:val="single" w:color="auto" w:sz="2" w:space="0"/>
            </w:tcBorders>
            <w:shd w:val="clear" w:color="auto" w:fill="2E74B5"/>
            <w:tcMar>
              <w:top w:w="0" w:type="dxa"/>
              <w:left w:w="72" w:type="dxa"/>
              <w:bottom w:w="0" w:type="dxa"/>
              <w:right w:w="72" w:type="dxa"/>
            </w:tcMar>
            <w:vAlign w:val="center"/>
          </w:tcPr>
          <w:p w14:paraId="0A396EB2">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FFFFFF"/>
                <w:spacing w:val="0"/>
                <w:w w:val="100"/>
                <w:sz w:val="24"/>
                <w:szCs w:val="24"/>
                <w:vertAlign w:val="baseline"/>
              </w:rPr>
              <w:t>内部劣势（W）</w:t>
            </w:r>
          </w:p>
        </w:tc>
        <w:tc>
          <w:tcPr>
            <w:tcW w:w="2226" w:type="dxa"/>
            <w:vMerge w:val="continue"/>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5AA68A18">
            <w:pPr>
              <w:rPr>
                <w:rFonts w:hint="eastAsia" w:ascii="宋体"/>
                <w:sz w:val="24"/>
                <w:szCs w:val="24"/>
              </w:rPr>
            </w:pPr>
          </w:p>
        </w:tc>
        <w:tc>
          <w:tcPr>
            <w:tcW w:w="2189" w:type="dxa"/>
            <w:vMerge w:val="continue"/>
            <w:tcBorders>
              <w:top w:val="single" w:color="auto" w:sz="2" w:space="0"/>
              <w:left w:val="single" w:color="auto" w:sz="2" w:space="0"/>
              <w:bottom w:val="single" w:color="auto" w:sz="2" w:space="0"/>
              <w:right w:val="single" w:color="CBCDD1" w:sz="2" w:space="0"/>
            </w:tcBorders>
            <w:shd w:val="clear" w:color="auto" w:fill="FFFFFF"/>
            <w:tcMar>
              <w:top w:w="0" w:type="dxa"/>
              <w:left w:w="72" w:type="dxa"/>
              <w:bottom w:w="0" w:type="dxa"/>
              <w:right w:w="72" w:type="dxa"/>
            </w:tcMar>
            <w:vAlign w:val="center"/>
          </w:tcPr>
          <w:p w14:paraId="28A84BC4">
            <w:pPr>
              <w:rPr>
                <w:rFonts w:hint="eastAsia" w:ascii="宋体"/>
                <w:sz w:val="24"/>
                <w:szCs w:val="24"/>
              </w:rPr>
            </w:pPr>
          </w:p>
        </w:tc>
      </w:tr>
    </w:tbl>
    <w:p w14:paraId="4FD80655">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（二）环境扫描：政策、经济、社会、技术的宏观格局分析</w:t>
      </w:r>
    </w:p>
    <w:p w14:paraId="7809A3DC">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本文拟采用 PEST 分析，总结当前城市公共健身服务所处的综合市场环境，在此基础上提炼健身驿站在当下发展中存在的关键外部因素。</w:t>
      </w:r>
    </w:p>
    <w:p w14:paraId="4F045A73">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 政治环境</w:t>
      </w:r>
    </w:p>
    <w:p w14:paraId="0A7F7BB4">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从政治环境来看，国家及地方层面均出台了一系列重要文件为健身驿站的发展提供了坚实的政策支撑与制度保障。</w:t>
      </w:r>
    </w:p>
    <w:p w14:paraId="5E3F8B9E">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表15 健身驿站相关政策落地成效</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43"/>
        <w:gridCol w:w="1843"/>
        <w:gridCol w:w="1844"/>
      </w:tblGrid>
      <w:tr w14:paraId="3BAAC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tcBorders>
              <w:top w:val="single" w:color="auto" w:sz="8" w:space="0"/>
              <w:left w:val="single" w:color="CBCDD1" w:sz="2" w:space="0"/>
              <w:bottom w:val="single" w:color="auto" w:sz="2" w:space="0"/>
              <w:right w:val="single" w:color="auto" w:sz="2" w:space="0"/>
            </w:tcBorders>
            <w:shd w:val="clear" w:color="auto" w:fill="2E74B5"/>
            <w:tcMar>
              <w:top w:w="0" w:type="dxa"/>
              <w:left w:w="72" w:type="dxa"/>
              <w:bottom w:w="0" w:type="dxa"/>
              <w:right w:w="72" w:type="dxa"/>
            </w:tcMar>
            <w:vAlign w:val="center"/>
          </w:tcPr>
          <w:p w14:paraId="3C9A675B">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FFFFFF"/>
                <w:spacing w:val="0"/>
                <w:w w:val="100"/>
                <w:sz w:val="24"/>
                <w:szCs w:val="24"/>
                <w:vertAlign w:val="baseline"/>
              </w:rPr>
              <w:t>指标</w:t>
            </w:r>
          </w:p>
        </w:tc>
        <w:tc>
          <w:tcPr>
            <w:tcW w:w="1843" w:type="dxa"/>
            <w:tcBorders>
              <w:top w:val="single" w:color="auto" w:sz="8" w:space="0"/>
              <w:left w:val="single" w:color="auto" w:sz="2" w:space="0"/>
              <w:bottom w:val="single" w:color="auto" w:sz="2" w:space="0"/>
              <w:right w:val="single" w:color="auto" w:sz="2" w:space="0"/>
            </w:tcBorders>
            <w:shd w:val="clear" w:color="auto" w:fill="2E74B5"/>
            <w:tcMar>
              <w:top w:w="0" w:type="dxa"/>
              <w:left w:w="72" w:type="dxa"/>
              <w:bottom w:w="0" w:type="dxa"/>
              <w:right w:w="72" w:type="dxa"/>
            </w:tcMar>
            <w:vAlign w:val="center"/>
          </w:tcPr>
          <w:p w14:paraId="198113AC">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FFFFFF"/>
                <w:spacing w:val="0"/>
                <w:w w:val="100"/>
                <w:sz w:val="24"/>
                <w:szCs w:val="24"/>
                <w:vertAlign w:val="baseline"/>
              </w:rPr>
              <w:t>数值</w:t>
            </w:r>
          </w:p>
        </w:tc>
        <w:tc>
          <w:tcPr>
            <w:tcW w:w="1844" w:type="dxa"/>
            <w:tcBorders>
              <w:top w:val="single" w:color="auto" w:sz="8" w:space="0"/>
              <w:left w:val="single" w:color="auto" w:sz="2" w:space="0"/>
              <w:bottom w:val="single" w:color="auto" w:sz="2" w:space="0"/>
              <w:right w:val="single" w:color="CBCDD1" w:sz="2" w:space="0"/>
            </w:tcBorders>
            <w:shd w:val="clear" w:color="auto" w:fill="2E74B5"/>
            <w:tcMar>
              <w:top w:w="0" w:type="dxa"/>
              <w:left w:w="72" w:type="dxa"/>
              <w:bottom w:w="0" w:type="dxa"/>
              <w:right w:w="72" w:type="dxa"/>
            </w:tcMar>
            <w:vAlign w:val="center"/>
          </w:tcPr>
          <w:p w14:paraId="0F565CC4">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bCs/>
                <w:i w:val="0"/>
                <w:iCs w:val="0"/>
                <w:color w:val="FFFFFF"/>
                <w:spacing w:val="0"/>
                <w:w w:val="100"/>
                <w:sz w:val="24"/>
                <w:szCs w:val="24"/>
                <w:vertAlign w:val="baseline"/>
              </w:rPr>
              <w:t>政策支持维度</w:t>
            </w:r>
          </w:p>
        </w:tc>
      </w:tr>
      <w:tr w14:paraId="5EFB7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0B1354CB">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健身驿站覆盖率</w:t>
            </w:r>
          </w:p>
        </w:tc>
        <w:tc>
          <w:tcPr>
            <w:tcW w:w="184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2A9CD2A">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85%</w:t>
            </w:r>
          </w:p>
        </w:tc>
        <w:tc>
          <w:tcPr>
            <w:tcW w:w="1844"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54A6F4B6">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15分钟健身圈规划落地</w:t>
            </w:r>
          </w:p>
        </w:tc>
      </w:tr>
      <w:tr w14:paraId="198A8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tcBorders>
              <w:top w:val="single" w:color="auto" w:sz="2" w:space="0"/>
              <w:left w:val="single" w:color="CBCDD1" w:sz="2" w:space="0"/>
              <w:bottom w:val="single" w:color="auto" w:sz="2" w:space="0"/>
              <w:right w:val="single" w:color="auto" w:sz="2" w:space="0"/>
            </w:tcBorders>
            <w:shd w:val="clear"/>
            <w:tcMar>
              <w:top w:w="0" w:type="dxa"/>
              <w:left w:w="72" w:type="dxa"/>
              <w:bottom w:w="0" w:type="dxa"/>
              <w:right w:w="72" w:type="dxa"/>
            </w:tcMar>
            <w:vAlign w:val="center"/>
          </w:tcPr>
          <w:p w14:paraId="1B08395A">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年度财政投入</w:t>
            </w:r>
          </w:p>
        </w:tc>
        <w:tc>
          <w:tcPr>
            <w:tcW w:w="1843" w:type="dxa"/>
            <w:tcBorders>
              <w:top w:val="single" w:color="auto" w:sz="2" w:space="0"/>
              <w:left w:val="single" w:color="auto" w:sz="2" w:space="0"/>
              <w:bottom w:val="single" w:color="auto" w:sz="2" w:space="0"/>
              <w:right w:val="single" w:color="auto" w:sz="2" w:space="0"/>
            </w:tcBorders>
            <w:shd w:val="clear"/>
            <w:tcMar>
              <w:top w:w="0" w:type="dxa"/>
              <w:left w:w="72" w:type="dxa"/>
              <w:bottom w:w="0" w:type="dxa"/>
              <w:right w:w="72" w:type="dxa"/>
            </w:tcMar>
            <w:vAlign w:val="center"/>
          </w:tcPr>
          <w:p w14:paraId="2703F3FD">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32.7亿元</w:t>
            </w:r>
          </w:p>
        </w:tc>
        <w:tc>
          <w:tcPr>
            <w:tcW w:w="1844" w:type="dxa"/>
            <w:tcBorders>
              <w:top w:val="single" w:color="auto" w:sz="2" w:space="0"/>
              <w:left w:val="single" w:color="auto" w:sz="2" w:space="0"/>
              <w:bottom w:val="single" w:color="auto" w:sz="2" w:space="0"/>
              <w:right w:val="single" w:color="CBCDD1" w:sz="2" w:space="0"/>
            </w:tcBorders>
            <w:shd w:val="clear"/>
            <w:tcMar>
              <w:top w:w="0" w:type="dxa"/>
              <w:left w:w="72" w:type="dxa"/>
              <w:bottom w:w="0" w:type="dxa"/>
              <w:right w:w="72" w:type="dxa"/>
            </w:tcMar>
            <w:vAlign w:val="center"/>
          </w:tcPr>
          <w:p w14:paraId="5413AD2F">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设施更新与运维保障</w:t>
            </w:r>
          </w:p>
        </w:tc>
      </w:tr>
      <w:tr w14:paraId="4C53B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tcBorders>
              <w:top w:val="single" w:color="auto" w:sz="2" w:space="0"/>
              <w:left w:val="single" w:color="CBCDD1" w:sz="2" w:space="0"/>
              <w:bottom w:val="single" w:color="auto" w:sz="2" w:space="0"/>
              <w:right w:val="single" w:color="auto" w:sz="2" w:space="0"/>
            </w:tcBorders>
            <w:shd w:val="clear" w:color="auto" w:fill="DEEAF6"/>
            <w:tcMar>
              <w:top w:w="0" w:type="dxa"/>
              <w:left w:w="72" w:type="dxa"/>
              <w:bottom w:w="0" w:type="dxa"/>
              <w:right w:w="72" w:type="dxa"/>
            </w:tcMar>
            <w:vAlign w:val="center"/>
          </w:tcPr>
          <w:p w14:paraId="7B0DB566">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智慧化改造站点</w:t>
            </w:r>
          </w:p>
        </w:tc>
        <w:tc>
          <w:tcPr>
            <w:tcW w:w="1843" w:type="dxa"/>
            <w:tcBorders>
              <w:top w:val="single" w:color="auto" w:sz="2" w:space="0"/>
              <w:left w:val="single" w:color="auto" w:sz="2" w:space="0"/>
              <w:bottom w:val="single" w:color="auto" w:sz="2" w:space="0"/>
              <w:right w:val="single" w:color="auto" w:sz="2" w:space="0"/>
            </w:tcBorders>
            <w:shd w:val="clear" w:color="auto" w:fill="DEEAF6"/>
            <w:tcMar>
              <w:top w:w="0" w:type="dxa"/>
              <w:left w:w="72" w:type="dxa"/>
              <w:bottom w:w="0" w:type="dxa"/>
              <w:right w:w="72" w:type="dxa"/>
            </w:tcMar>
            <w:vAlign w:val="center"/>
          </w:tcPr>
          <w:p w14:paraId="6A7006B2">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24%</w:t>
            </w:r>
          </w:p>
        </w:tc>
        <w:tc>
          <w:tcPr>
            <w:tcW w:w="1844" w:type="dxa"/>
            <w:tcBorders>
              <w:top w:val="single" w:color="auto" w:sz="2" w:space="0"/>
              <w:left w:val="single" w:color="auto" w:sz="2" w:space="0"/>
              <w:bottom w:val="single" w:color="auto" w:sz="2" w:space="0"/>
              <w:right w:val="single" w:color="CBCDD1" w:sz="2" w:space="0"/>
            </w:tcBorders>
            <w:shd w:val="clear" w:color="auto" w:fill="DEEAF6"/>
            <w:tcMar>
              <w:top w:w="0" w:type="dxa"/>
              <w:left w:w="72" w:type="dxa"/>
              <w:bottom w:w="0" w:type="dxa"/>
              <w:right w:w="72" w:type="dxa"/>
            </w:tcMar>
            <w:vAlign w:val="center"/>
          </w:tcPr>
          <w:p w14:paraId="7D8026A1">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数字政府与指挥场景建设</w:t>
            </w:r>
          </w:p>
        </w:tc>
      </w:tr>
      <w:tr w14:paraId="30338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70" w:hRule="atLeast"/>
        </w:trPr>
        <w:tc>
          <w:tcPr>
            <w:tcW w:w="1843" w:type="dxa"/>
            <w:tcBorders>
              <w:top w:val="single" w:color="auto" w:sz="2" w:space="0"/>
              <w:left w:val="single" w:color="CBCDD1" w:sz="2" w:space="0"/>
              <w:bottom w:val="single" w:color="auto" w:sz="8" w:space="0"/>
              <w:right w:val="single" w:color="auto" w:sz="2" w:space="0"/>
            </w:tcBorders>
            <w:shd w:val="clear"/>
            <w:tcMar>
              <w:top w:w="0" w:type="dxa"/>
              <w:left w:w="72" w:type="dxa"/>
              <w:bottom w:w="0" w:type="dxa"/>
              <w:right w:w="72" w:type="dxa"/>
            </w:tcMar>
            <w:vAlign w:val="center"/>
          </w:tcPr>
          <w:p w14:paraId="1F88540A">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适老化改造站点</w:t>
            </w:r>
          </w:p>
        </w:tc>
        <w:tc>
          <w:tcPr>
            <w:tcW w:w="1843" w:type="dxa"/>
            <w:tcBorders>
              <w:top w:val="single" w:color="auto" w:sz="2" w:space="0"/>
              <w:left w:val="single" w:color="auto" w:sz="2" w:space="0"/>
              <w:bottom w:val="single" w:color="auto" w:sz="8" w:space="0"/>
              <w:right w:val="single" w:color="auto" w:sz="2" w:space="0"/>
            </w:tcBorders>
            <w:shd w:val="clear"/>
            <w:tcMar>
              <w:top w:w="0" w:type="dxa"/>
              <w:left w:w="72" w:type="dxa"/>
              <w:bottom w:w="0" w:type="dxa"/>
              <w:right w:w="72" w:type="dxa"/>
            </w:tcMar>
            <w:vAlign w:val="center"/>
          </w:tcPr>
          <w:p w14:paraId="7789A7DD">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41%</w:t>
            </w:r>
          </w:p>
        </w:tc>
        <w:tc>
          <w:tcPr>
            <w:tcW w:w="1844" w:type="dxa"/>
            <w:tcBorders>
              <w:top w:val="single" w:color="auto" w:sz="2" w:space="0"/>
              <w:left w:val="single" w:color="auto" w:sz="2" w:space="0"/>
              <w:bottom w:val="single" w:color="auto" w:sz="8" w:space="0"/>
              <w:right w:val="single" w:color="CBCDD1" w:sz="2" w:space="0"/>
            </w:tcBorders>
            <w:shd w:val="clear"/>
            <w:tcMar>
              <w:top w:w="0" w:type="dxa"/>
              <w:left w:w="72" w:type="dxa"/>
              <w:bottom w:w="0" w:type="dxa"/>
              <w:right w:w="72" w:type="dxa"/>
            </w:tcMar>
            <w:vAlign w:val="center"/>
          </w:tcPr>
          <w:p w14:paraId="27654266">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老年友好型城市建设</w:t>
            </w:r>
          </w:p>
        </w:tc>
      </w:tr>
    </w:tbl>
    <w:p w14:paraId="77FB462D">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政策支持主要体现在三个层面：</w:t>
      </w:r>
    </w:p>
    <w:p w14:paraId="3AF9B238">
      <w:pPr>
        <w:pStyle w:val="2"/>
        <w:keepNext w:val="0"/>
        <w:keepLines w:val="0"/>
        <w:widowControl/>
        <w:numPr>
          <w:ilvl w:val="0"/>
          <w:numId w:val="39"/>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顶层规划：</w:t>
      </w:r>
      <w:r>
        <w:rPr>
          <w:rFonts w:hint="eastAsia" w:ascii="宋体" w:hAnsi="宋体" w:eastAsia="宋体" w:cs="宋体"/>
          <w:b w:val="0"/>
          <w:bCs w:val="0"/>
          <w:i w:val="0"/>
          <w:iCs w:val="0"/>
          <w:color w:val="000000"/>
          <w:spacing w:val="0"/>
          <w:w w:val="100"/>
          <w:sz w:val="24"/>
          <w:szCs w:val="24"/>
          <w:vertAlign w:val="baseline"/>
        </w:rPr>
        <w:t>《全民健身计划（2021-2025 年）》《“十四五” 城乡社区服务体系建设规划》等文件，将健身驿站作为 “15 分钟生活圈” 的核心配套，明确覆盖率、更新率等量化目标；</w:t>
      </w:r>
    </w:p>
    <w:p w14:paraId="48377690">
      <w:pPr>
        <w:pStyle w:val="2"/>
        <w:keepNext w:val="0"/>
        <w:keepLines w:val="0"/>
        <w:widowControl/>
        <w:numPr>
          <w:ilvl w:val="0"/>
          <w:numId w:val="39"/>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财政保障：</w:t>
      </w:r>
      <w:r>
        <w:rPr>
          <w:rFonts w:hint="eastAsia" w:ascii="宋体" w:hAnsi="宋体" w:eastAsia="宋体" w:cs="宋体"/>
          <w:b w:val="0"/>
          <w:bCs w:val="0"/>
          <w:i w:val="0"/>
          <w:iCs w:val="0"/>
          <w:color w:val="000000"/>
          <w:spacing w:val="0"/>
          <w:w w:val="100"/>
          <w:sz w:val="24"/>
          <w:szCs w:val="24"/>
          <w:vertAlign w:val="baseline"/>
        </w:rPr>
        <w:t>地方政府通过专项债、民生实事项目等方式，持续加大对健身驿站建设、器材更新、智慧化改造的资金投入；</w:t>
      </w:r>
    </w:p>
    <w:p w14:paraId="48EBED02">
      <w:pPr>
        <w:pStyle w:val="2"/>
        <w:keepNext w:val="0"/>
        <w:keepLines w:val="0"/>
        <w:widowControl/>
        <w:numPr>
          <w:ilvl w:val="0"/>
          <w:numId w:val="39"/>
        </w:numPr>
        <w:suppressLineNumbers w:val="0"/>
        <w:spacing w:before="156" w:beforeAutospacing="0" w:after="0" w:afterAutospacing="0" w:line="13" w:lineRule="atLeast"/>
        <w:ind w:left="720" w:right="0" w:hanging="360"/>
        <w:jc w:val="both"/>
      </w:pPr>
      <w:r>
        <w:rPr>
          <w:rFonts w:hint="eastAsia" w:ascii="宋体" w:hAnsi="宋体" w:eastAsia="宋体" w:cs="宋体"/>
          <w:b/>
          <w:bCs/>
          <w:i w:val="0"/>
          <w:iCs w:val="0"/>
          <w:color w:val="000000"/>
          <w:spacing w:val="0"/>
          <w:w w:val="100"/>
          <w:sz w:val="24"/>
          <w:szCs w:val="24"/>
          <w:vertAlign w:val="baseline"/>
        </w:rPr>
        <w:t>试点牵引：</w:t>
      </w:r>
      <w:r>
        <w:rPr>
          <w:rFonts w:hint="eastAsia" w:ascii="宋体" w:hAnsi="宋体" w:eastAsia="宋体" w:cs="宋体"/>
          <w:b w:val="0"/>
          <w:bCs w:val="0"/>
          <w:i w:val="0"/>
          <w:iCs w:val="0"/>
          <w:color w:val="000000"/>
          <w:spacing w:val="0"/>
          <w:w w:val="100"/>
          <w:sz w:val="24"/>
          <w:szCs w:val="24"/>
          <w:vertAlign w:val="baseline"/>
        </w:rPr>
        <w:t>以上海、深圳等城市为代表，率先开展智慧健身驿站、适老化改造等试点，形成可复制、可推广的经验模式。</w:t>
      </w:r>
    </w:p>
    <w:p w14:paraId="1B446A3C">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经济环境</w:t>
      </w:r>
    </w:p>
    <w:p w14:paraId="1BB45AE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国内健身消费市场高速增长，2025 年预计突破 2500 亿元，社区公共健身服务占比 20.8%。2022 年全国健身驿站服务人次超 8 亿次，增速显著，消费与产业端双轮驱动形成服务迭代与场景拓展的正向循环；市场供给格局多元，政府主导、社会资本参与、专业机构运营的模式日趋成熟，技术创新与差异化运营为公共健身服务注入活力。</w:t>
      </w:r>
    </w:p>
    <w:p w14:paraId="2C1C27C8">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 社会环境</w:t>
      </w:r>
    </w:p>
    <w:p w14:paraId="22A9EB36">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健身驿站需求呈现分层化、场景多元化特征，“日常健康管理”、“社区康复理疗”、“亲子互动”为核心使用动机。政策层面，“15 分钟健身圈”推动服务快速落地，2024 年服务人次达 10.2 亿次，年均增长 28%，5-10 元单次价格助力普惠化；社会接受度受限于隐私担忧与适老化不足，银发经济政策正驱动健康监测等细分服务创新。</w:t>
      </w:r>
    </w:p>
    <w:p w14:paraId="12AD39FB">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4. 技术环境</w:t>
      </w:r>
    </w:p>
    <w:p w14:paraId="3CC8545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bCs/>
          <w:i w:val="0"/>
          <w:iCs w:val="0"/>
          <w:color w:val="000000"/>
          <w:spacing w:val="0"/>
          <w:w w:val="100"/>
          <w:sz w:val="24"/>
          <w:szCs w:val="24"/>
          <w:vertAlign w:val="baseline"/>
        </w:rPr>
        <w:t>智能感知、大数据分析与适老化交互技术</w:t>
      </w:r>
      <w:r>
        <w:rPr>
          <w:rFonts w:hint="eastAsia" w:ascii="宋体" w:hAnsi="宋体" w:eastAsia="宋体" w:cs="宋体"/>
          <w:b w:val="0"/>
          <w:bCs w:val="0"/>
          <w:i w:val="0"/>
          <w:iCs w:val="0"/>
          <w:color w:val="000000"/>
          <w:spacing w:val="0"/>
          <w:w w:val="100"/>
          <w:sz w:val="24"/>
          <w:szCs w:val="24"/>
          <w:vertAlign w:val="baseline"/>
        </w:rPr>
        <w:t>的迭代升级，为健身驿站转型发展提供核心支撑。智能感知技术可精准捕捉运动行为与姿态，为科学健身提供数据基础；大数据分析平台能够整合运动数据，实现个性化服务方案的精准推送，适配全天候使用场景；适老化交互系统通过优化操作逻辑、强化语音交互与空间适配能力，降低老年群体使用门槛。这些技术的落地应用，正推动健身驿站从传统器材供给向智能化、个性化的健康服务载体转型。</w:t>
      </w:r>
    </w:p>
    <w:p w14:paraId="2E455A52">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（三）实施路径：分阶段服务效能提升计划</w:t>
      </w:r>
    </w:p>
    <w:p w14:paraId="4ED22DC9">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基于 TOWS 战略矩阵，结合 PEST 宏观环境分析，本文提出 “三步走” 实施路径，推动健身驿站服务效能系统性提升：</w:t>
      </w:r>
    </w:p>
    <w:p w14:paraId="7E6E7FA2">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w:t>
      </w:r>
      <w:r>
        <w:rPr>
          <w:rFonts w:hint="eastAsia" w:ascii="宋体" w:hAnsi="宋体" w:eastAsia="宋体" w:cs="宋体"/>
          <w:b/>
          <w:bCs/>
          <w:i w:val="0"/>
          <w:iCs w:val="0"/>
          <w:color w:val="000000"/>
          <w:spacing w:val="0"/>
          <w:w w:val="100"/>
          <w:sz w:val="24"/>
          <w:szCs w:val="24"/>
          <w:vertAlign w:val="baseline"/>
        </w:rPr>
        <w:t>. 短期（1-2 年）：夯实基础，补齐短板</w:t>
      </w:r>
    </w:p>
    <w:p w14:paraId="265D6B12">
      <w:pPr>
        <w:pStyle w:val="2"/>
        <w:keepNext w:val="0"/>
        <w:keepLines w:val="0"/>
        <w:widowControl/>
        <w:numPr>
          <w:ilvl w:val="0"/>
          <w:numId w:val="40"/>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完成核心区域适老化改造，优化老年用户操作界面；</w:t>
      </w:r>
    </w:p>
    <w:p w14:paraId="141D7853">
      <w:pPr>
        <w:pStyle w:val="2"/>
        <w:keepNext w:val="0"/>
        <w:keepLines w:val="0"/>
        <w:widowControl/>
        <w:numPr>
          <w:ilvl w:val="0"/>
          <w:numId w:val="40"/>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建立 “政府 + 专业机构” 联合运营机制，提升人员服务与信息公示质量；</w:t>
      </w:r>
    </w:p>
    <w:p w14:paraId="57202AA9">
      <w:pPr>
        <w:pStyle w:val="2"/>
        <w:keepNext w:val="0"/>
        <w:keepLines w:val="0"/>
        <w:widowControl/>
        <w:numPr>
          <w:ilvl w:val="0"/>
          <w:numId w:val="40"/>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开展数据安全专项治理，发布隐私保护白皮书，降低用户信任壁垒。</w:t>
      </w:r>
    </w:p>
    <w:p w14:paraId="5E0E8034">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bCs/>
          <w:i w:val="0"/>
          <w:iCs w:val="0"/>
          <w:color w:val="000000"/>
          <w:spacing w:val="0"/>
          <w:w w:val="100"/>
          <w:sz w:val="24"/>
          <w:szCs w:val="24"/>
          <w:vertAlign w:val="baseline"/>
        </w:rPr>
        <w:t>2. 中期（3-5 年）：智慧升级，场景拓展</w:t>
      </w:r>
    </w:p>
    <w:p w14:paraId="1AD13CD8">
      <w:pPr>
        <w:pStyle w:val="2"/>
        <w:keepNext w:val="0"/>
        <w:keepLines w:val="0"/>
        <w:widowControl/>
        <w:numPr>
          <w:ilvl w:val="0"/>
          <w:numId w:val="41"/>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实现 50% 以上站点智慧化改造，构建运动数据闭环；</w:t>
      </w:r>
    </w:p>
    <w:p w14:paraId="7CD4197F">
      <w:pPr>
        <w:pStyle w:val="2"/>
        <w:keepNext w:val="0"/>
        <w:keepLines w:val="0"/>
        <w:widowControl/>
        <w:numPr>
          <w:ilvl w:val="0"/>
          <w:numId w:val="41"/>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拓展康复理疗、亲子互动等增值服务，形成 “基础 + 增值” 服务体系；</w:t>
      </w:r>
    </w:p>
    <w:p w14:paraId="7DFB1994">
      <w:pPr>
        <w:pStyle w:val="2"/>
        <w:keepNext w:val="0"/>
        <w:keepLines w:val="0"/>
        <w:widowControl/>
        <w:numPr>
          <w:ilvl w:val="0"/>
          <w:numId w:val="41"/>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引入社会资本，建立多元筹资机制，缓解财政依赖。</w:t>
      </w:r>
    </w:p>
    <w:p w14:paraId="040283FF">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bCs/>
          <w:i w:val="0"/>
          <w:iCs w:val="0"/>
          <w:color w:val="000000"/>
          <w:spacing w:val="0"/>
          <w:w w:val="100"/>
          <w:sz w:val="24"/>
          <w:szCs w:val="24"/>
          <w:vertAlign w:val="baseline"/>
        </w:rPr>
        <w:t>3. 长期（5 年以上）：生态构建，标杆引领</w:t>
      </w:r>
    </w:p>
    <w:p w14:paraId="732325B2">
      <w:pPr>
        <w:pStyle w:val="2"/>
        <w:keepNext w:val="0"/>
        <w:keepLines w:val="0"/>
        <w:widowControl/>
        <w:numPr>
          <w:ilvl w:val="0"/>
          <w:numId w:val="42"/>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打造 “15 分钟健康圈” 标杆项目，形成可复制的上海模式；</w:t>
      </w:r>
    </w:p>
    <w:p w14:paraId="60549322">
      <w:pPr>
        <w:pStyle w:val="2"/>
        <w:keepNext w:val="0"/>
        <w:keepLines w:val="0"/>
        <w:widowControl/>
        <w:numPr>
          <w:ilvl w:val="0"/>
          <w:numId w:val="42"/>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推动行业标准制定，引领全国健身驿站高质量发展；</w:t>
      </w:r>
    </w:p>
    <w:p w14:paraId="0F7B5DCF">
      <w:pPr>
        <w:pStyle w:val="2"/>
        <w:keepNext w:val="0"/>
        <w:keepLines w:val="0"/>
        <w:widowControl/>
        <w:numPr>
          <w:ilvl w:val="0"/>
          <w:numId w:val="42"/>
        </w:numPr>
        <w:suppressLineNumbers w:val="0"/>
        <w:spacing w:before="156" w:beforeAutospacing="0" w:after="0" w:afterAutospacing="0" w:line="13" w:lineRule="atLeast"/>
        <w:ind w:left="720" w:right="0" w:hanging="360"/>
        <w:jc w:val="both"/>
      </w:pPr>
      <w:r>
        <w:rPr>
          <w:rFonts w:hint="eastAsia" w:ascii="宋体" w:hAnsi="宋体" w:eastAsia="宋体" w:cs="宋体"/>
          <w:b w:val="0"/>
          <w:bCs w:val="0"/>
          <w:i w:val="0"/>
          <w:iCs w:val="0"/>
          <w:color w:val="000000"/>
          <w:spacing w:val="0"/>
          <w:w w:val="100"/>
          <w:sz w:val="24"/>
          <w:szCs w:val="24"/>
          <w:vertAlign w:val="baseline"/>
        </w:rPr>
        <w:t>构建 “政府 - 企业 - 用户” 协同生态，实现可持续运营与普惠化发展。</w:t>
      </w:r>
    </w:p>
    <w:p w14:paraId="5AC4F9CC">
      <w:pPr>
        <w:pStyle w:val="2"/>
        <w:keepNext w:val="0"/>
        <w:keepLines w:val="0"/>
        <w:widowControl/>
        <w:suppressLineNumbers w:val="0"/>
        <w:spacing w:before="156" w:beforeAutospacing="0" w:after="0" w:afterAutospacing="0" w:line="13" w:lineRule="atLeast"/>
        <w:ind w:left="0" w:right="0"/>
        <w:jc w:val="center"/>
      </w:pPr>
      <w:r>
        <w:rPr>
          <w:rFonts w:hint="eastAsia" w:ascii="黑体" w:hAnsi="宋体" w:eastAsia="黑体" w:cs="黑体"/>
          <w:b w:val="0"/>
          <w:bCs w:val="0"/>
          <w:i w:val="0"/>
          <w:iCs w:val="0"/>
          <w:color w:val="000000"/>
          <w:spacing w:val="0"/>
          <w:w w:val="100"/>
          <w:sz w:val="30"/>
          <w:szCs w:val="30"/>
          <w:vertAlign w:val="baseline"/>
        </w:rPr>
        <w:t>七、结论与建议</w:t>
      </w:r>
    </w:p>
    <w:p w14:paraId="48453BE5">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（一）核心结论：多维度研究成果的系统总结</w:t>
      </w:r>
    </w:p>
    <w:p w14:paraId="1AEC309B">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本研究围绕 “上海市民健身驿站服务效能评估与优化路径” 展开，结合定量问卷调查、结构方程建模（SEM）、机器学习分析（XGBoost）、情感挖掘分析等方法，从用户画像、服务体验、使用行为、需求动机等多维视角系统展开分析。研究得出以下主要结论：</w:t>
      </w:r>
    </w:p>
    <w:p w14:paraId="5215EE2A">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 用户洞察：群体特征、行为与需求概括</w:t>
      </w:r>
    </w:p>
    <w:p w14:paraId="148B7DDE">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（1）现有使用者</w:t>
      </w:r>
    </w:p>
    <w:p w14:paraId="1D267E3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第三章分析中可知，现有使用者主要集中于 19-30 岁的青年群体，</w:t>
      </w:r>
      <w:r>
        <w:rPr>
          <w:rFonts w:hint="eastAsia" w:ascii="宋体" w:hAnsi="宋体" w:eastAsia="宋体" w:cs="宋体"/>
          <w:b/>
          <w:bCs/>
          <w:i w:val="0"/>
          <w:iCs w:val="0"/>
          <w:color w:val="000000"/>
          <w:spacing w:val="0"/>
          <w:w w:val="100"/>
          <w:sz w:val="24"/>
          <w:szCs w:val="24"/>
          <w:vertAlign w:val="baseline"/>
        </w:rPr>
        <w:t>健康意识与服务接受度</w:t>
      </w:r>
      <w:r>
        <w:rPr>
          <w:rFonts w:hint="eastAsia" w:ascii="宋体" w:hAnsi="宋体" w:eastAsia="宋体" w:cs="宋体"/>
          <w:b w:val="0"/>
          <w:bCs w:val="0"/>
          <w:i w:val="0"/>
          <w:iCs w:val="0"/>
          <w:color w:val="000000"/>
          <w:spacing w:val="0"/>
          <w:w w:val="100"/>
          <w:sz w:val="24"/>
          <w:szCs w:val="24"/>
          <w:vertAlign w:val="baseline"/>
        </w:rPr>
        <w:t>较高，对</w:t>
      </w:r>
      <w:r>
        <w:rPr>
          <w:rFonts w:hint="eastAsia" w:ascii="宋体" w:hAnsi="宋体" w:eastAsia="宋体" w:cs="宋体"/>
          <w:b/>
          <w:bCs/>
          <w:i w:val="0"/>
          <w:iCs w:val="0"/>
          <w:color w:val="000000"/>
          <w:spacing w:val="0"/>
          <w:w w:val="100"/>
          <w:sz w:val="24"/>
          <w:szCs w:val="24"/>
          <w:vertAlign w:val="baseline"/>
        </w:rPr>
        <w:t>硬件设施、软性服务及数智体验</w:t>
      </w:r>
      <w:r>
        <w:rPr>
          <w:rFonts w:hint="eastAsia" w:ascii="宋体" w:hAnsi="宋体" w:eastAsia="宋体" w:cs="宋体"/>
          <w:b w:val="0"/>
          <w:bCs w:val="0"/>
          <w:i w:val="0"/>
          <w:iCs w:val="0"/>
          <w:color w:val="000000"/>
          <w:spacing w:val="0"/>
          <w:w w:val="100"/>
          <w:sz w:val="24"/>
          <w:szCs w:val="24"/>
          <w:vertAlign w:val="baseline"/>
        </w:rPr>
        <w:t>要求较高，接受中低收费标准，使用频率高、社区健身需求广阔。SEM 模型显示，服务便捷性与体验效果是影响其满意度的核心因子，设施可达性、服务流畅度、操作便捷性直接关联使用行为，服务体验属性是关键影响因素，需通过服务创新突破发展瓶颈。</w:t>
      </w:r>
    </w:p>
    <w:p w14:paraId="19B84436">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（2）潜在使用者</w:t>
      </w:r>
    </w:p>
    <w:p w14:paraId="29B67201">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潜在使用者对健身驿站有初步认知，重点关注品牌口碑、新技术应用，价格敏感度高但消费意愿较强。XGBoost 模型表明，</w:t>
      </w:r>
      <w:r>
        <w:rPr>
          <w:rFonts w:hint="eastAsia" w:ascii="宋体" w:hAnsi="宋体" w:eastAsia="宋体" w:cs="宋体"/>
          <w:b/>
          <w:bCs/>
          <w:i w:val="0"/>
          <w:iCs w:val="0"/>
          <w:color w:val="000000"/>
          <w:spacing w:val="0"/>
          <w:w w:val="100"/>
          <w:sz w:val="24"/>
          <w:szCs w:val="24"/>
          <w:vertAlign w:val="baseline"/>
        </w:rPr>
        <w:t>“软实力缺失”与“15 分钟断崖” 效应</w:t>
      </w:r>
      <w:r>
        <w:rPr>
          <w:rFonts w:hint="eastAsia" w:ascii="宋体" w:hAnsi="宋体" w:eastAsia="宋体" w:cs="宋体"/>
          <w:b w:val="0"/>
          <w:bCs w:val="0"/>
          <w:i w:val="0"/>
          <w:iCs w:val="0"/>
          <w:color w:val="000000"/>
          <w:spacing w:val="0"/>
          <w:w w:val="100"/>
          <w:sz w:val="24"/>
          <w:szCs w:val="24"/>
          <w:vertAlign w:val="baseline"/>
        </w:rPr>
        <w:t>是制约其转化的关键因素，需通过打响</w:t>
      </w:r>
      <w:r>
        <w:rPr>
          <w:rFonts w:hint="eastAsia" w:ascii="宋体" w:hAnsi="宋体" w:eastAsia="宋体" w:cs="宋体"/>
          <w:b/>
          <w:bCs/>
          <w:i w:val="0"/>
          <w:iCs w:val="0"/>
          <w:color w:val="000000"/>
          <w:spacing w:val="0"/>
          <w:w w:val="100"/>
          <w:sz w:val="24"/>
          <w:szCs w:val="24"/>
          <w:vertAlign w:val="baseline"/>
        </w:rPr>
        <w:t>品牌口碑、打造高性价比服务产品</w:t>
      </w:r>
      <w:r>
        <w:rPr>
          <w:rFonts w:hint="eastAsia" w:ascii="宋体" w:hAnsi="宋体" w:eastAsia="宋体" w:cs="宋体"/>
          <w:b w:val="0"/>
          <w:bCs w:val="0"/>
          <w:i w:val="0"/>
          <w:iCs w:val="0"/>
          <w:color w:val="000000"/>
          <w:spacing w:val="0"/>
          <w:w w:val="100"/>
          <w:sz w:val="24"/>
          <w:szCs w:val="24"/>
          <w:vertAlign w:val="baseline"/>
        </w:rPr>
        <w:t>提升吸引力，推动潜在使用者向现有使用者转化。</w:t>
      </w:r>
    </w:p>
    <w:p w14:paraId="21778E07">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2. 情感解读：用户情感反馈挖掘服务核心痛点</w:t>
      </w:r>
    </w:p>
    <w:p w14:paraId="35E72C9E">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情感挖掘分析基于近 900 条评论显示，用户对健身驿站整体评价积极，关键词高频词汇包括 “便捷”、“免费”、“环境好”、“离家近”、“器材全”。但同时也集中暴露出 “人员少”、“信息不透明”、“智能设备少”、“适老化不足” 等痛点问题。</w:t>
      </w:r>
    </w:p>
    <w:p w14:paraId="24ADF582">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这表明，健身驿站在使用体验方面初具可用性，但在软性服务、数智化建设、适老化设计等方面仍有优化空间。</w:t>
      </w:r>
    </w:p>
    <w:p w14:paraId="3672E27C">
      <w:pPr>
        <w:pStyle w:val="2"/>
        <w:keepNext w:val="0"/>
        <w:keepLines w:val="0"/>
        <w:widowControl/>
        <w:suppressLineNumbers w:val="0"/>
        <w:spacing w:before="156" w:beforeAutospacing="0" w:after="0" w:afterAutospacing="0" w:line="13" w:lineRule="atLeast"/>
        <w:ind w:left="0" w:right="0"/>
        <w:jc w:val="both"/>
      </w:pPr>
      <w:r>
        <w:rPr>
          <w:rFonts w:hint="eastAsia" w:ascii="宋体" w:hAnsi="宋体" w:eastAsia="宋体" w:cs="宋体"/>
          <w:b w:val="0"/>
          <w:bCs w:val="0"/>
          <w:i w:val="0"/>
          <w:iCs w:val="0"/>
          <w:color w:val="000000"/>
          <w:spacing w:val="0"/>
          <w:w w:val="100"/>
          <w:sz w:val="24"/>
          <w:szCs w:val="24"/>
          <w:vertAlign w:val="baseline"/>
        </w:rPr>
        <w:t>3. 潜力预测：用户认知与服务发展态势判断</w:t>
      </w:r>
    </w:p>
    <w:p w14:paraId="35AD9227">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通过对实际使用者、体验使用者与潜在使用者的对比分析发现，不同群体对健身驿站未来发展前景的认知存在显著差异：体验使用者对健身驿站的预期明显高于实际使用者，而潜在使用者预期最低。</w:t>
      </w:r>
    </w:p>
    <w:p w14:paraId="3266280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这一差异源于不同群体对产品的熟悉程度与期望设定的落差：体验者可能因首次接触的新奇感高估服务潜力，而实际使用者更关注性价比与使用痛点，因而展望相对理性。整体而言，健身驿站在现有使用者中具备良好的认知基础与发展潜力，而潜在使用者尚未形成足够乐观的前景观望态度，对此就很有必要在潜在消费者方面下足功夫，提高其对产品的期待和展望态度。</w:t>
      </w:r>
    </w:p>
    <w:p w14:paraId="4A106A19">
      <w:pPr>
        <w:pStyle w:val="2"/>
        <w:keepNext w:val="0"/>
        <w:keepLines w:val="0"/>
        <w:widowControl/>
        <w:suppressLineNumbers w:val="0"/>
        <w:spacing w:before="156" w:beforeAutospacing="0" w:after="0" w:afterAutospacing="0" w:line="13" w:lineRule="atLeast"/>
        <w:ind w:left="0" w:right="0"/>
        <w:jc w:val="both"/>
      </w:pPr>
      <w:r>
        <w:rPr>
          <w:rFonts w:hint="eastAsia" w:ascii="黑体" w:hAnsi="宋体" w:eastAsia="黑体" w:cs="黑体"/>
          <w:b w:val="0"/>
          <w:bCs w:val="0"/>
          <w:i w:val="0"/>
          <w:iCs w:val="0"/>
          <w:color w:val="1F2329"/>
          <w:spacing w:val="0"/>
          <w:w w:val="100"/>
          <w:sz w:val="28"/>
          <w:szCs w:val="28"/>
          <w:shd w:val="clear" w:fill="FFFFFF"/>
          <w:vertAlign w:val="baseline"/>
        </w:rPr>
        <w:t>（二）实践建议：靶向优化的服务提升路径</w:t>
      </w:r>
    </w:p>
    <w:p w14:paraId="5B793D4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结合本文核心结论与美国学者登哈特夫妇提出的新公共服务理论（以公民需求为核心、强化服务导向与多方协同），从服务本位、协同共治、精准供给、数智赋能四个维度，提出精简且全面的实践建议，推动健身驿站从 </w:t>
      </w:r>
      <w:r>
        <w:rPr>
          <w:rFonts w:hint="eastAsia" w:ascii="宋体" w:hAnsi="宋体" w:eastAsia="宋体" w:cs="宋体"/>
          <w:b/>
          <w:bCs/>
          <w:i w:val="0"/>
          <w:iCs w:val="0"/>
          <w:color w:val="000000"/>
          <w:spacing w:val="0"/>
          <w:w w:val="100"/>
          <w:sz w:val="24"/>
          <w:szCs w:val="24"/>
          <w:vertAlign w:val="baseline"/>
        </w:rPr>
        <w:t>“设施覆盖” 向 “效能提升”</w:t>
      </w:r>
      <w:r>
        <w:rPr>
          <w:rFonts w:hint="eastAsia" w:ascii="宋体" w:hAnsi="宋体" w:eastAsia="宋体" w:cs="宋体"/>
          <w:b w:val="0"/>
          <w:bCs w:val="0"/>
          <w:i w:val="0"/>
          <w:iCs w:val="0"/>
          <w:color w:val="000000"/>
          <w:spacing w:val="0"/>
          <w:w w:val="100"/>
          <w:sz w:val="24"/>
          <w:szCs w:val="24"/>
          <w:vertAlign w:val="baseline"/>
        </w:rPr>
        <w:t xml:space="preserve"> 转型。</w:t>
      </w:r>
    </w:p>
    <w:p w14:paraId="4713129A">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1. 坚守服务本位：筑牢公共服务普惠底线</w:t>
      </w:r>
    </w:p>
    <w:p w14:paraId="5282D3FD">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立足新公共服务，</w:t>
      </w:r>
      <w:r>
        <w:rPr>
          <w:rFonts w:hint="eastAsia" w:ascii="宋体" w:hAnsi="宋体" w:eastAsia="宋体" w:cs="宋体"/>
          <w:b/>
          <w:bCs/>
          <w:i w:val="0"/>
          <w:iCs w:val="0"/>
          <w:color w:val="000000"/>
          <w:spacing w:val="0"/>
          <w:w w:val="100"/>
          <w:sz w:val="24"/>
          <w:szCs w:val="24"/>
          <w:vertAlign w:val="baseline"/>
        </w:rPr>
        <w:t>“以民为本”</w:t>
      </w:r>
      <w:r>
        <w:rPr>
          <w:rFonts w:hint="eastAsia" w:ascii="宋体" w:hAnsi="宋体" w:eastAsia="宋体" w:cs="宋体"/>
          <w:b w:val="0"/>
          <w:bCs w:val="0"/>
          <w:i w:val="0"/>
          <w:iCs w:val="0"/>
          <w:color w:val="000000"/>
          <w:spacing w:val="0"/>
          <w:w w:val="100"/>
          <w:sz w:val="24"/>
          <w:szCs w:val="24"/>
          <w:vertAlign w:val="baseline"/>
        </w:rPr>
        <w:t>核心，建立标准化服务体系，明确人员值守、信息公示、器材运维的刚性标准，统一公开开放时段、收费标准与安全须知，破解 “信息不透明”痛点；专项推进适老化与儿童友好改造，简化操作流程、增设专属设施，保障全龄段公民的基本健身服务权益。</w:t>
      </w:r>
    </w:p>
    <w:p w14:paraId="581ADFB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2. 深化协同共治：构建多元主体运营格局</w:t>
      </w:r>
    </w:p>
    <w:p w14:paraId="2009B6F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 xml:space="preserve">践行 </w:t>
      </w:r>
      <w:r>
        <w:rPr>
          <w:rFonts w:hint="eastAsia" w:ascii="宋体" w:hAnsi="宋体" w:eastAsia="宋体" w:cs="宋体"/>
          <w:b/>
          <w:bCs/>
          <w:i w:val="0"/>
          <w:iCs w:val="0"/>
          <w:color w:val="000000"/>
          <w:spacing w:val="0"/>
          <w:w w:val="100"/>
          <w:sz w:val="24"/>
          <w:szCs w:val="24"/>
          <w:vertAlign w:val="baseline"/>
        </w:rPr>
        <w:t>“政府掌舵、多方划桨”</w:t>
      </w:r>
      <w:r>
        <w:rPr>
          <w:rFonts w:hint="eastAsia" w:ascii="宋体" w:hAnsi="宋体" w:eastAsia="宋体" w:cs="宋体"/>
          <w:b w:val="0"/>
          <w:bCs w:val="0"/>
          <w:i w:val="0"/>
          <w:iCs w:val="0"/>
          <w:color w:val="000000"/>
          <w:spacing w:val="0"/>
          <w:w w:val="100"/>
          <w:sz w:val="24"/>
          <w:szCs w:val="24"/>
          <w:vertAlign w:val="baseline"/>
        </w:rPr>
        <w:t xml:space="preserve"> 理念，打破单一财政运维模式：政府牵头制定规范与保障投入，引入专业健身机构、社区组织参与运营管理，吸纳居民代表组建监督小组，形成 “规划 - 运营 - 监督” 闭环，弥补公共服务人力与专业能力短板。如</w:t>
      </w:r>
      <w:r>
        <w:rPr>
          <w:rFonts w:hint="eastAsia" w:ascii="宋体" w:hAnsi="宋体" w:eastAsia="宋体" w:cs="宋体"/>
          <w:b/>
          <w:bCs/>
          <w:i w:val="0"/>
          <w:iCs w:val="0"/>
          <w:color w:val="000000"/>
          <w:spacing w:val="0"/>
          <w:w w:val="100"/>
          <w:sz w:val="24"/>
          <w:szCs w:val="24"/>
          <w:vertAlign w:val="baseline"/>
        </w:rPr>
        <w:t>图</w:t>
      </w:r>
      <w:r>
        <w:rPr>
          <w:rFonts w:hint="eastAsia" w:ascii="宋体" w:hAnsi="宋体" w:eastAsia="宋体" w:cs="宋体"/>
          <w:b w:val="0"/>
          <w:bCs w:val="0"/>
          <w:i w:val="0"/>
          <w:iCs w:val="0"/>
          <w:color w:val="000000"/>
          <w:spacing w:val="0"/>
          <w:w w:val="100"/>
          <w:sz w:val="24"/>
          <w:szCs w:val="24"/>
          <w:vertAlign w:val="baseline"/>
        </w:rPr>
        <w:t>所示。</w:t>
      </w:r>
    </w:p>
    <w:p w14:paraId="2010AF74">
      <w:pPr>
        <w:pStyle w:val="2"/>
        <w:keepNext w:val="0"/>
        <w:keepLines w:val="0"/>
        <w:widowControl/>
        <w:suppressLineNumbers w:val="0"/>
        <w:spacing w:before="156" w:beforeAutospacing="0" w:after="0" w:afterAutospacing="0" w:line="13" w:lineRule="atLeast"/>
        <w:ind w:left="0" w:right="0"/>
        <w:jc w:val="center"/>
      </w:pPr>
      <w:r>
        <w:drawing>
          <wp:inline distT="0" distB="0" distL="114300" distR="114300">
            <wp:extent cx="5267325" cy="2143125"/>
            <wp:effectExtent l="0" t="0" r="3175" b="3175"/>
            <wp:docPr id="48" name="图片 72"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2" descr="IMG_282"/>
                    <pic:cNvPicPr>
                      <a:picLocks noChangeAspect="1"/>
                    </pic:cNvPicPr>
                  </pic:nvPicPr>
                  <pic:blipFill>
                    <a:blip r:embed="rId27"/>
                    <a:stretch>
                      <a:fillRect/>
                    </a:stretch>
                  </pic:blipFill>
                  <pic:spPr>
                    <a:xfrm>
                      <a:off x="0" y="0"/>
                      <a:ext cx="5267325" cy="2143125"/>
                    </a:xfrm>
                    <a:prstGeom prst="rect">
                      <a:avLst/>
                    </a:prstGeom>
                    <a:noFill/>
                    <a:ln w="9525">
                      <a:noFill/>
                    </a:ln>
                  </pic:spPr>
                </pic:pic>
              </a:graphicData>
            </a:graphic>
          </wp:inline>
        </w:drawing>
      </w:r>
    </w:p>
    <w:p w14:paraId="27F236E9">
      <w:pPr>
        <w:pStyle w:val="2"/>
        <w:keepNext w:val="0"/>
        <w:keepLines w:val="0"/>
        <w:widowControl/>
        <w:suppressLineNumbers w:val="0"/>
        <w:spacing w:before="156" w:beforeAutospacing="0" w:after="0" w:afterAutospacing="0" w:line="13" w:lineRule="atLeast"/>
        <w:ind w:left="0" w:right="0" w:firstLine="420"/>
        <w:jc w:val="center"/>
      </w:pPr>
      <w:r>
        <w:rPr>
          <w:rFonts w:hint="eastAsia" w:ascii="宋体" w:hAnsi="宋体" w:eastAsia="宋体" w:cs="宋体"/>
          <w:b w:val="0"/>
          <w:bCs w:val="0"/>
          <w:i w:val="0"/>
          <w:iCs w:val="0"/>
          <w:color w:val="000000"/>
          <w:spacing w:val="0"/>
          <w:w w:val="100"/>
          <w:sz w:val="24"/>
          <w:szCs w:val="24"/>
          <w:vertAlign w:val="baseline"/>
        </w:rPr>
        <w:t>上海市民健身驿站四位一体治理体系图</w:t>
      </w:r>
    </w:p>
    <w:p w14:paraId="2B953813">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3. 聚焦需求导向：实施差异化精准服务</w:t>
      </w:r>
    </w:p>
    <w:p w14:paraId="0E14EA8E">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以公民需求为出发点，针对现有使用者，增设</w:t>
      </w:r>
      <w:r>
        <w:rPr>
          <w:rFonts w:hint="eastAsia" w:ascii="宋体" w:hAnsi="宋体" w:eastAsia="宋体" w:cs="宋体"/>
          <w:b/>
          <w:bCs/>
          <w:i w:val="0"/>
          <w:iCs w:val="0"/>
          <w:color w:val="000000"/>
          <w:spacing w:val="0"/>
          <w:w w:val="100"/>
          <w:sz w:val="24"/>
          <w:szCs w:val="24"/>
          <w:vertAlign w:val="baseline"/>
        </w:rPr>
        <w:t>健康咨询、运动指导</w:t>
      </w:r>
      <w:r>
        <w:rPr>
          <w:rFonts w:hint="eastAsia" w:ascii="宋体" w:hAnsi="宋体" w:eastAsia="宋体" w:cs="宋体"/>
          <w:b w:val="0"/>
          <w:bCs w:val="0"/>
          <w:i w:val="0"/>
          <w:iCs w:val="0"/>
          <w:color w:val="000000"/>
          <w:spacing w:val="0"/>
          <w:w w:val="100"/>
          <w:sz w:val="24"/>
          <w:szCs w:val="24"/>
          <w:vertAlign w:val="baseline"/>
        </w:rPr>
        <w:t>等增值服务，匹配分层化需求；针对潜在使用者，推出普惠体验活动，强化价格友好属性，降低服务</w:t>
      </w:r>
      <w:bookmarkStart w:id="0" w:name="_GoBack"/>
      <w:bookmarkEnd w:id="0"/>
      <w:r>
        <w:rPr>
          <w:rFonts w:hint="eastAsia" w:ascii="宋体" w:hAnsi="宋体" w:eastAsia="宋体" w:cs="宋体"/>
          <w:b w:val="0"/>
          <w:bCs w:val="0"/>
          <w:i w:val="0"/>
          <w:iCs w:val="0"/>
          <w:color w:val="000000"/>
          <w:spacing w:val="0"/>
          <w:w w:val="100"/>
          <w:sz w:val="24"/>
          <w:szCs w:val="24"/>
          <w:vertAlign w:val="baseline"/>
        </w:rPr>
        <w:t>准入门槛，实现</w:t>
      </w:r>
      <w:r>
        <w:rPr>
          <w:rFonts w:hint="eastAsia" w:ascii="宋体" w:hAnsi="宋体" w:eastAsia="宋体" w:cs="宋体"/>
          <w:b/>
          <w:bCs/>
          <w:i w:val="0"/>
          <w:iCs w:val="0"/>
          <w:color w:val="000000"/>
          <w:spacing w:val="0"/>
          <w:w w:val="100"/>
          <w:sz w:val="24"/>
          <w:szCs w:val="24"/>
          <w:vertAlign w:val="baseline"/>
        </w:rPr>
        <w:t>公共服务供给与公民需求</w:t>
      </w:r>
      <w:r>
        <w:rPr>
          <w:rFonts w:hint="eastAsia" w:ascii="宋体" w:hAnsi="宋体" w:eastAsia="宋体" w:cs="宋体"/>
          <w:b w:val="0"/>
          <w:bCs w:val="0"/>
          <w:i w:val="0"/>
          <w:iCs w:val="0"/>
          <w:color w:val="000000"/>
          <w:spacing w:val="0"/>
          <w:w w:val="100"/>
          <w:sz w:val="24"/>
          <w:szCs w:val="24"/>
          <w:vertAlign w:val="baseline"/>
        </w:rPr>
        <w:t>的精准匹配。</w:t>
      </w:r>
    </w:p>
    <w:p w14:paraId="1DD98466">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4. 强化数智赋能：兼顾服务效率与隐私保障</w:t>
      </w:r>
    </w:p>
    <w:p w14:paraId="61ABCCF0">
      <w:pPr>
        <w:pStyle w:val="2"/>
        <w:keepNext w:val="0"/>
        <w:keepLines w:val="0"/>
        <w:widowControl/>
        <w:suppressLineNumbers w:val="0"/>
        <w:spacing w:before="156" w:beforeAutospacing="0" w:after="0" w:afterAutospacing="0" w:line="13"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依托</w:t>
      </w:r>
      <w:r>
        <w:rPr>
          <w:rFonts w:hint="eastAsia" w:ascii="宋体" w:hAnsi="宋体" w:eastAsia="宋体" w:cs="宋体"/>
          <w:b/>
          <w:bCs/>
          <w:i w:val="0"/>
          <w:iCs w:val="0"/>
          <w:color w:val="000000"/>
          <w:spacing w:val="0"/>
          <w:w w:val="100"/>
          <w:sz w:val="24"/>
          <w:szCs w:val="24"/>
          <w:vertAlign w:val="baseline"/>
        </w:rPr>
        <w:t>技术赋能</w:t>
      </w:r>
      <w:r>
        <w:rPr>
          <w:rFonts w:hint="eastAsia" w:ascii="宋体" w:hAnsi="宋体" w:eastAsia="宋体" w:cs="宋体"/>
          <w:b w:val="0"/>
          <w:bCs w:val="0"/>
          <w:i w:val="0"/>
          <w:iCs w:val="0"/>
          <w:color w:val="000000"/>
          <w:spacing w:val="0"/>
          <w:w w:val="100"/>
          <w:sz w:val="24"/>
          <w:szCs w:val="24"/>
          <w:vertAlign w:val="baseline"/>
        </w:rPr>
        <w:t>提升公共服务效能，加快智慧化改造，部署运动数据采集、个性化方案推荐等系统，补齐数智体验短板；同时坚守公共服务责任，建立数据安全管理机制，明确采集边界、完善隐私保护流程，消除用户顾虑，实现技术便捷与权益保障的统一。</w:t>
      </w:r>
    </w:p>
    <w:p w14:paraId="5269E4EB">
      <w:pPr>
        <w:pStyle w:val="2"/>
        <w:keepNext w:val="0"/>
        <w:keepLines w:val="0"/>
        <w:widowControl/>
        <w:suppressLineNumbers w:val="0"/>
        <w:spacing w:before="156" w:beforeAutospacing="0" w:after="0" w:afterAutospacing="0" w:line="13" w:lineRule="atLeast"/>
        <w:ind w:left="0" w:right="0"/>
        <w:jc w:val="center"/>
      </w:pPr>
      <w:r>
        <w:drawing>
          <wp:inline distT="0" distB="0" distL="114300" distR="114300">
            <wp:extent cx="4514850" cy="2819400"/>
            <wp:effectExtent l="0" t="0" r="6350" b="0"/>
            <wp:docPr id="49" name="图片 73"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3" descr="IMG_283"/>
                    <pic:cNvPicPr>
                      <a:picLocks noChangeAspect="1"/>
                    </pic:cNvPicPr>
                  </pic:nvPicPr>
                  <pic:blipFill>
                    <a:blip r:embed="rId28"/>
                    <a:stretch>
                      <a:fillRect/>
                    </a:stretch>
                  </pic:blipFill>
                  <pic:spPr>
                    <a:xfrm>
                      <a:off x="0" y="0"/>
                      <a:ext cx="4514850" cy="2819400"/>
                    </a:xfrm>
                    <a:prstGeom prst="rect">
                      <a:avLst/>
                    </a:prstGeom>
                    <a:noFill/>
                    <a:ln w="9525">
                      <a:noFill/>
                    </a:ln>
                  </pic:spPr>
                </pic:pic>
              </a:graphicData>
            </a:graphic>
          </wp:inline>
        </w:drawing>
      </w:r>
    </w:p>
    <w:p w14:paraId="054EC9F5">
      <w:pPr>
        <w:pStyle w:val="2"/>
        <w:keepNext w:val="0"/>
        <w:keepLines w:val="0"/>
        <w:widowControl/>
        <w:suppressLineNumbers w:val="0"/>
        <w:spacing w:before="156" w:beforeAutospacing="0" w:after="0" w:afterAutospacing="0" w:line="13" w:lineRule="atLeast"/>
        <w:ind w:left="0" w:right="0"/>
        <w:jc w:val="center"/>
      </w:pPr>
      <w:r>
        <w:rPr>
          <w:rFonts w:hint="eastAsia" w:ascii="宋体" w:hAnsi="宋体" w:eastAsia="宋体" w:cs="宋体"/>
          <w:b w:val="0"/>
          <w:bCs w:val="0"/>
          <w:i w:val="0"/>
          <w:iCs w:val="0"/>
          <w:color w:val="000000"/>
          <w:spacing w:val="0"/>
          <w:w w:val="100"/>
          <w:sz w:val="24"/>
          <w:szCs w:val="24"/>
          <w:vertAlign w:val="baseline"/>
        </w:rPr>
        <w:t>健身驿站数智化升级体系图</w:t>
      </w:r>
    </w:p>
    <w:p w14:paraId="154323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519BC"/>
    <w:multiLevelType w:val="multilevel"/>
    <w:tmpl w:val="84B519BC"/>
    <w:lvl w:ilvl="0" w:tentative="0">
      <w:start w:val="1"/>
      <w:numFmt w:val="bullet"/>
      <w:lvlText w:val=""/>
      <w:lvlJc w:val="left"/>
      <w:pPr>
        <w:ind w:left="720"/>
      </w:pPr>
      <w:rPr>
        <w:rFonts w:hint="default" w:ascii="Wingdings" w:hAnsi="Wingdings" w:cs="Wingdings"/>
      </w:rPr>
    </w:lvl>
    <w:lvl w:ilvl="1" w:tentative="0">
      <w:start w:val="1"/>
      <w:numFmt w:val="bullet"/>
      <w:lvlText w:val="o"/>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
    <w:nsid w:val="8BC5A037"/>
    <w:multiLevelType w:val="multilevel"/>
    <w:tmpl w:val="8BC5A037"/>
    <w:lvl w:ilvl="0" w:tentative="0">
      <w:start w:val="1"/>
      <w:numFmt w:val="bullet"/>
      <w:lvlText w:val=""/>
      <w:lvlJc w:val="left"/>
      <w:pPr>
        <w:ind w:left="720"/>
      </w:pPr>
      <w:rPr>
        <w:rFonts w:hint="default" w:ascii="Wingdings" w:hAnsi="Wingdings" w:cs="Wingdings"/>
      </w:rPr>
    </w:lvl>
    <w:lvl w:ilvl="1" w:tentative="0">
      <w:start w:val="1"/>
      <w:numFmt w:val="bullet"/>
      <w:lvlText w:val="o"/>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2">
    <w:nsid w:val="8DFC1510"/>
    <w:multiLevelType w:val="multilevel"/>
    <w:tmpl w:val="8DFC1510"/>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3">
    <w:nsid w:val="91C14650"/>
    <w:multiLevelType w:val="multilevel"/>
    <w:tmpl w:val="91C14650"/>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4">
    <w:nsid w:val="959B2BD4"/>
    <w:multiLevelType w:val="multilevel"/>
    <w:tmpl w:val="959B2BD4"/>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5">
    <w:nsid w:val="98FC96B6"/>
    <w:multiLevelType w:val="multilevel"/>
    <w:tmpl w:val="98FC96B6"/>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ascii="Arial" w:hAnsi="Arial" w:cs="Arial"/>
      </w:rPr>
    </w:lvl>
    <w:lvl w:ilvl="2" w:tentative="0">
      <w:start w:val="1"/>
      <w:numFmt w:val="bullet"/>
      <w:lvlText w:val="■"/>
      <w:lvlJc w:val="left"/>
      <w:pPr>
        <w:ind w:left="2160"/>
      </w:pPr>
      <w:rPr>
        <w:rFonts w:hint="default" w:ascii="Arial" w:hAnsi="Arial" w:cs="Arial"/>
      </w:rPr>
    </w:lvl>
    <w:lvl w:ilvl="3" w:tentative="0">
      <w:start w:val="1"/>
      <w:numFmt w:val="bullet"/>
      <w:lvlText w:val="■"/>
      <w:lvlJc w:val="left"/>
      <w:pPr>
        <w:ind w:left="2880"/>
      </w:pPr>
      <w:rPr>
        <w:rFonts w:hint="default" w:ascii="Arial" w:hAnsi="Arial" w:cs="Arial"/>
      </w:rPr>
    </w:lvl>
    <w:lvl w:ilvl="4" w:tentative="0">
      <w:start w:val="1"/>
      <w:numFmt w:val="bullet"/>
      <w:lvlText w:val="■"/>
      <w:lvlJc w:val="left"/>
      <w:pPr>
        <w:ind w:left="3600"/>
      </w:pPr>
      <w:rPr>
        <w:rFonts w:hint="default" w:ascii="Arial" w:hAnsi="Arial" w:cs="Arial"/>
      </w:rPr>
    </w:lvl>
    <w:lvl w:ilvl="5" w:tentative="0">
      <w:start w:val="1"/>
      <w:numFmt w:val="bullet"/>
      <w:lvlText w:val="■"/>
      <w:lvlJc w:val="left"/>
      <w:pPr>
        <w:ind w:left="4320"/>
      </w:pPr>
      <w:rPr>
        <w:rFonts w:hint="default" w:ascii="Arial" w:hAnsi="Arial" w:cs="Arial"/>
      </w:rPr>
    </w:lvl>
    <w:lvl w:ilvl="6" w:tentative="0">
      <w:start w:val="1"/>
      <w:numFmt w:val="bullet"/>
      <w:lvlText w:val="■"/>
      <w:lvlJc w:val="left"/>
      <w:pPr>
        <w:ind w:left="5040"/>
      </w:pPr>
      <w:rPr>
        <w:rFonts w:hint="default" w:ascii="Arial" w:hAnsi="Arial" w:cs="Arial"/>
      </w:rPr>
    </w:lvl>
    <w:lvl w:ilvl="7" w:tentative="0">
      <w:start w:val="1"/>
      <w:numFmt w:val="bullet"/>
      <w:lvlText w:val="■"/>
      <w:lvlJc w:val="left"/>
      <w:pPr>
        <w:ind w:left="5760"/>
      </w:pPr>
      <w:rPr>
        <w:rFonts w:hint="default" w:ascii="Arial" w:hAnsi="Arial" w:cs="Arial"/>
      </w:rPr>
    </w:lvl>
    <w:lvl w:ilvl="8" w:tentative="0">
      <w:start w:val="1"/>
      <w:numFmt w:val="bullet"/>
      <w:lvlText w:val="■"/>
      <w:lvlJc w:val="left"/>
      <w:pPr>
        <w:ind w:left="6480"/>
      </w:pPr>
      <w:rPr>
        <w:rFonts w:hint="default" w:ascii="Arial" w:hAnsi="Arial" w:cs="Arial"/>
      </w:rPr>
    </w:lvl>
  </w:abstractNum>
  <w:abstractNum w:abstractNumId="6">
    <w:nsid w:val="A3418E9C"/>
    <w:multiLevelType w:val="multilevel"/>
    <w:tmpl w:val="A3418E9C"/>
    <w:lvl w:ilvl="0" w:tentative="0">
      <w:start w:val="1"/>
      <w:numFmt w:val="bullet"/>
      <w:lvlText w:val=""/>
      <w:lvlJc w:val="left"/>
      <w:pPr>
        <w:ind w:left="720"/>
      </w:pPr>
      <w:rPr>
        <w:rFonts w:hint="default" w:ascii="Wingdings" w:hAnsi="Wingdings" w:cs="Wingdings"/>
      </w:rPr>
    </w:lvl>
    <w:lvl w:ilvl="1" w:tentative="0">
      <w:start w:val="1"/>
      <w:numFmt w:val="bullet"/>
      <w:lvlText w:val="o"/>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7">
    <w:nsid w:val="A488624C"/>
    <w:multiLevelType w:val="multilevel"/>
    <w:tmpl w:val="A488624C"/>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8">
    <w:nsid w:val="AB863AC0"/>
    <w:multiLevelType w:val="multilevel"/>
    <w:tmpl w:val="AB863AC0"/>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9">
    <w:nsid w:val="B33822F9"/>
    <w:multiLevelType w:val="multilevel"/>
    <w:tmpl w:val="B33822F9"/>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0">
    <w:nsid w:val="B4723203"/>
    <w:multiLevelType w:val="multilevel"/>
    <w:tmpl w:val="B4723203"/>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1">
    <w:nsid w:val="B568B04E"/>
    <w:multiLevelType w:val="multilevel"/>
    <w:tmpl w:val="B568B04E"/>
    <w:lvl w:ilvl="0" w:tentative="0">
      <w:start w:val="1"/>
      <w:numFmt w:val="bullet"/>
      <w:lvlText w:val=""/>
      <w:lvlJc w:val="left"/>
      <w:pPr>
        <w:ind w:left="720"/>
      </w:pPr>
      <w:rPr>
        <w:rFonts w:hint="default" w:ascii="Wingdings" w:hAnsi="Wingdings" w:cs="Wingdings"/>
      </w:rPr>
    </w:lvl>
    <w:lvl w:ilvl="1" w:tentative="0">
      <w:start w:val="1"/>
      <w:numFmt w:val="bullet"/>
      <w:lvlText w:val="o"/>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2">
    <w:nsid w:val="B5FDDFFC"/>
    <w:multiLevelType w:val="multilevel"/>
    <w:tmpl w:val="B5FDDFFC"/>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Arial" w:hAnsi="Arial" w:cs="Arial"/>
      </w:rPr>
    </w:lvl>
    <w:lvl w:ilvl="2" w:tentative="0">
      <w:start w:val="1"/>
      <w:numFmt w:val="bullet"/>
      <w:lvlText w:val="■"/>
      <w:lvlJc w:val="left"/>
      <w:pPr>
        <w:ind w:left="2160"/>
      </w:pPr>
      <w:rPr>
        <w:rFonts w:hint="default" w:ascii="Arial" w:hAnsi="Arial" w:cs="Arial"/>
      </w:rPr>
    </w:lvl>
    <w:lvl w:ilvl="3" w:tentative="0">
      <w:start w:val="1"/>
      <w:numFmt w:val="bullet"/>
      <w:lvlText w:val="■"/>
      <w:lvlJc w:val="left"/>
      <w:pPr>
        <w:ind w:left="2880"/>
      </w:pPr>
      <w:rPr>
        <w:rFonts w:hint="default" w:ascii="Arial" w:hAnsi="Arial" w:cs="Arial"/>
      </w:rPr>
    </w:lvl>
    <w:lvl w:ilvl="4" w:tentative="0">
      <w:start w:val="1"/>
      <w:numFmt w:val="bullet"/>
      <w:lvlText w:val="■"/>
      <w:lvlJc w:val="left"/>
      <w:pPr>
        <w:ind w:left="3600"/>
      </w:pPr>
      <w:rPr>
        <w:rFonts w:hint="default" w:ascii="Arial" w:hAnsi="Arial" w:cs="Arial"/>
      </w:rPr>
    </w:lvl>
    <w:lvl w:ilvl="5" w:tentative="0">
      <w:start w:val="1"/>
      <w:numFmt w:val="bullet"/>
      <w:lvlText w:val="■"/>
      <w:lvlJc w:val="left"/>
      <w:pPr>
        <w:ind w:left="4320"/>
      </w:pPr>
      <w:rPr>
        <w:rFonts w:hint="default" w:ascii="Arial" w:hAnsi="Arial" w:cs="Arial"/>
      </w:rPr>
    </w:lvl>
    <w:lvl w:ilvl="6" w:tentative="0">
      <w:start w:val="1"/>
      <w:numFmt w:val="bullet"/>
      <w:lvlText w:val="■"/>
      <w:lvlJc w:val="left"/>
      <w:pPr>
        <w:ind w:left="5040"/>
      </w:pPr>
      <w:rPr>
        <w:rFonts w:hint="default" w:ascii="Arial" w:hAnsi="Arial" w:cs="Arial"/>
      </w:rPr>
    </w:lvl>
    <w:lvl w:ilvl="7" w:tentative="0">
      <w:start w:val="1"/>
      <w:numFmt w:val="bullet"/>
      <w:lvlText w:val="■"/>
      <w:lvlJc w:val="left"/>
      <w:pPr>
        <w:ind w:left="5760"/>
      </w:pPr>
      <w:rPr>
        <w:rFonts w:hint="default" w:ascii="Arial" w:hAnsi="Arial" w:cs="Arial"/>
      </w:rPr>
    </w:lvl>
    <w:lvl w:ilvl="8" w:tentative="0">
      <w:start w:val="1"/>
      <w:numFmt w:val="bullet"/>
      <w:lvlText w:val="■"/>
      <w:lvlJc w:val="left"/>
      <w:pPr>
        <w:ind w:left="6480"/>
      </w:pPr>
      <w:rPr>
        <w:rFonts w:hint="default" w:ascii="Arial" w:hAnsi="Arial" w:cs="Arial"/>
      </w:rPr>
    </w:lvl>
  </w:abstractNum>
  <w:abstractNum w:abstractNumId="13">
    <w:nsid w:val="C7127515"/>
    <w:multiLevelType w:val="multilevel"/>
    <w:tmpl w:val="C7127515"/>
    <w:lvl w:ilvl="0" w:tentative="0">
      <w:start w:val="1"/>
      <w:numFmt w:val="bullet"/>
      <w:lvlText w:val=""/>
      <w:lvlJc w:val="left"/>
      <w:pPr>
        <w:ind w:left="720"/>
      </w:pPr>
      <w:rPr>
        <w:rFonts w:hint="default" w:ascii="Wingdings" w:hAnsi="Wingdings" w:cs="Wingdings"/>
      </w:rPr>
    </w:lvl>
    <w:lvl w:ilvl="1" w:tentative="0">
      <w:start w:val="1"/>
      <w:numFmt w:val="bullet"/>
      <w:lvlText w:val="o"/>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4">
    <w:nsid w:val="CB1CFFB5"/>
    <w:multiLevelType w:val="multilevel"/>
    <w:tmpl w:val="CB1CFFB5"/>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5">
    <w:nsid w:val="D8F2A480"/>
    <w:multiLevelType w:val="multilevel"/>
    <w:tmpl w:val="D8F2A480"/>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6">
    <w:nsid w:val="E197EEE4"/>
    <w:multiLevelType w:val="multilevel"/>
    <w:tmpl w:val="E197EEE4"/>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7">
    <w:nsid w:val="E51FBBA3"/>
    <w:multiLevelType w:val="multilevel"/>
    <w:tmpl w:val="E51FBBA3"/>
    <w:lvl w:ilvl="0" w:tentative="0">
      <w:start w:val="1"/>
      <w:numFmt w:val="bullet"/>
      <w:lvlText w:val=""/>
      <w:lvlJc w:val="left"/>
      <w:pPr>
        <w:ind w:left="720"/>
      </w:pPr>
      <w:rPr>
        <w:rFonts w:hint="default" w:ascii="Wingdings" w:hAnsi="Wingdings" w:cs="Wingdings"/>
      </w:rPr>
    </w:lvl>
    <w:lvl w:ilvl="1" w:tentative="0">
      <w:start w:val="1"/>
      <w:numFmt w:val="bullet"/>
      <w:lvlText w:val="o"/>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8">
    <w:nsid w:val="EDA87B2C"/>
    <w:multiLevelType w:val="multilevel"/>
    <w:tmpl w:val="EDA87B2C"/>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9">
    <w:nsid w:val="F9742849"/>
    <w:multiLevelType w:val="multilevel"/>
    <w:tmpl w:val="F9742849"/>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20">
    <w:nsid w:val="07A8EC09"/>
    <w:multiLevelType w:val="multilevel"/>
    <w:tmpl w:val="07A8EC09"/>
    <w:lvl w:ilvl="0" w:tentative="0">
      <w:start w:val="1"/>
      <w:numFmt w:val="bullet"/>
      <w:lvlText w:val=""/>
      <w:lvlJc w:val="left"/>
      <w:pPr>
        <w:ind w:left="720"/>
      </w:pPr>
      <w:rPr>
        <w:rFonts w:hint="default" w:ascii="Wingdings" w:hAnsi="Wingdings" w:cs="Wingdings"/>
      </w:rPr>
    </w:lvl>
    <w:lvl w:ilvl="1" w:tentative="0">
      <w:start w:val="1"/>
      <w:numFmt w:val="decimal"/>
      <w:lvlText w:val=""/>
      <w:lvlJc w:val="left"/>
      <w:pPr>
        <w:ind w:left="1440"/>
      </w:pPr>
    </w:lvl>
    <w:lvl w:ilvl="2" w:tentative="0">
      <w:start w:val="1"/>
      <w:numFmt w:val="decimal"/>
      <w:lvlText w:val=""/>
      <w:lvlJc w:val="left"/>
      <w:pPr>
        <w:ind w:left="2160"/>
      </w:pPr>
    </w:lvl>
    <w:lvl w:ilvl="3" w:tentative="0">
      <w:start w:val="1"/>
      <w:numFmt w:val="decimal"/>
      <w:lvlText w:val=""/>
      <w:lvlJc w:val="left"/>
      <w:pPr>
        <w:ind w:left="2880"/>
      </w:pPr>
    </w:lvl>
    <w:lvl w:ilvl="4" w:tentative="0">
      <w:start w:val="1"/>
      <w:numFmt w:val="decimal"/>
      <w:lvlText w:val=""/>
      <w:lvlJc w:val="left"/>
      <w:pPr>
        <w:ind w:left="3600"/>
      </w:pPr>
    </w:lvl>
    <w:lvl w:ilvl="5" w:tentative="0">
      <w:start w:val="1"/>
      <w:numFmt w:val="decimal"/>
      <w:lvlText w:val=""/>
      <w:lvlJc w:val="left"/>
      <w:pPr>
        <w:ind w:left="4320"/>
      </w:pPr>
    </w:lvl>
    <w:lvl w:ilvl="6" w:tentative="0">
      <w:start w:val="1"/>
      <w:numFmt w:val="decimal"/>
      <w:lvlText w:val=""/>
      <w:lvlJc w:val="left"/>
      <w:pPr>
        <w:ind w:left="5040"/>
      </w:pPr>
    </w:lvl>
    <w:lvl w:ilvl="7" w:tentative="0">
      <w:start w:val="1"/>
      <w:numFmt w:val="decimal"/>
      <w:lvlText w:val=""/>
      <w:lvlJc w:val="left"/>
      <w:pPr>
        <w:ind w:left="5760"/>
      </w:pPr>
    </w:lvl>
    <w:lvl w:ilvl="8" w:tentative="0">
      <w:start w:val="1"/>
      <w:numFmt w:val="decimal"/>
      <w:lvlText w:val=""/>
      <w:lvlJc w:val="left"/>
      <w:pPr>
        <w:ind w:left="6480"/>
      </w:pPr>
    </w:lvl>
  </w:abstractNum>
  <w:abstractNum w:abstractNumId="21">
    <w:nsid w:val="0BB9D283"/>
    <w:multiLevelType w:val="multilevel"/>
    <w:tmpl w:val="0BB9D283"/>
    <w:lvl w:ilvl="0" w:tentative="0">
      <w:start w:val="1"/>
      <w:numFmt w:val="bullet"/>
      <w:lvlText w:val=""/>
      <w:lvlJc w:val="left"/>
      <w:pPr>
        <w:ind w:left="720"/>
      </w:pPr>
      <w:rPr>
        <w:rFonts w:hint="default" w:ascii="Wingdings" w:hAnsi="Wingdings" w:cs="Wingdings"/>
      </w:rPr>
    </w:lvl>
    <w:lvl w:ilvl="1" w:tentative="0">
      <w:start w:val="1"/>
      <w:numFmt w:val="bullet"/>
      <w:lvlText w:val="o"/>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22">
    <w:nsid w:val="0F09B9DE"/>
    <w:multiLevelType w:val="multilevel"/>
    <w:tmpl w:val="0F09B9DE"/>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23">
    <w:nsid w:val="16F8B5E7"/>
    <w:multiLevelType w:val="multilevel"/>
    <w:tmpl w:val="16F8B5E7"/>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24">
    <w:nsid w:val="18BA3E9E"/>
    <w:multiLevelType w:val="multilevel"/>
    <w:tmpl w:val="18BA3E9E"/>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25">
    <w:nsid w:val="1F989010"/>
    <w:multiLevelType w:val="multilevel"/>
    <w:tmpl w:val="1F989010"/>
    <w:lvl w:ilvl="0" w:tentative="0">
      <w:start w:val="1"/>
      <w:numFmt w:val="bullet"/>
      <w:lvlText w:val=""/>
      <w:lvlJc w:val="left"/>
      <w:pPr>
        <w:ind w:left="720"/>
      </w:pPr>
      <w:rPr>
        <w:rFonts w:hint="default" w:ascii="Wingdings" w:hAnsi="Wingdings" w:cs="Wingdings"/>
      </w:rPr>
    </w:lvl>
    <w:lvl w:ilvl="1" w:tentative="0">
      <w:start w:val="1"/>
      <w:numFmt w:val="bullet"/>
      <w:lvlText w:val="o"/>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26">
    <w:nsid w:val="2488E1D0"/>
    <w:multiLevelType w:val="multilevel"/>
    <w:tmpl w:val="2488E1D0"/>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27">
    <w:nsid w:val="257A660A"/>
    <w:multiLevelType w:val="multilevel"/>
    <w:tmpl w:val="257A660A"/>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28">
    <w:nsid w:val="26E2C474"/>
    <w:multiLevelType w:val="multilevel"/>
    <w:tmpl w:val="26E2C474"/>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29">
    <w:nsid w:val="2BA29CE6"/>
    <w:multiLevelType w:val="multilevel"/>
    <w:tmpl w:val="2BA29CE6"/>
    <w:lvl w:ilvl="0" w:tentative="0">
      <w:start w:val="1"/>
      <w:numFmt w:val="bullet"/>
      <w:lvlText w:val=""/>
      <w:lvlJc w:val="left"/>
      <w:pPr>
        <w:ind w:left="720"/>
      </w:pPr>
      <w:rPr>
        <w:rFonts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0">
    <w:nsid w:val="2BF1A922"/>
    <w:multiLevelType w:val="multilevel"/>
    <w:tmpl w:val="2BF1A922"/>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31">
    <w:nsid w:val="31CF8287"/>
    <w:multiLevelType w:val="multilevel"/>
    <w:tmpl w:val="31CF8287"/>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32">
    <w:nsid w:val="4C1761DC"/>
    <w:multiLevelType w:val="multilevel"/>
    <w:tmpl w:val="4C1761DC"/>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33">
    <w:nsid w:val="4FA4B3B8"/>
    <w:multiLevelType w:val="multilevel"/>
    <w:tmpl w:val="4FA4B3B8"/>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34">
    <w:nsid w:val="5408C487"/>
    <w:multiLevelType w:val="multilevel"/>
    <w:tmpl w:val="5408C487"/>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35">
    <w:nsid w:val="69BA1539"/>
    <w:multiLevelType w:val="multilevel"/>
    <w:tmpl w:val="69BA1539"/>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36">
    <w:nsid w:val="6D9313D0"/>
    <w:multiLevelType w:val="multilevel"/>
    <w:tmpl w:val="6D9313D0"/>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Arial" w:hAnsi="Arial" w:cs="Arial"/>
      </w:rPr>
    </w:lvl>
    <w:lvl w:ilvl="2" w:tentative="0">
      <w:start w:val="1"/>
      <w:numFmt w:val="bullet"/>
      <w:lvlText w:val="■"/>
      <w:lvlJc w:val="left"/>
      <w:pPr>
        <w:ind w:left="2160"/>
      </w:pPr>
      <w:rPr>
        <w:rFonts w:hint="default" w:ascii="Arial" w:hAnsi="Arial" w:cs="Arial"/>
      </w:rPr>
    </w:lvl>
    <w:lvl w:ilvl="3" w:tentative="0">
      <w:start w:val="1"/>
      <w:numFmt w:val="bullet"/>
      <w:lvlText w:val="■"/>
      <w:lvlJc w:val="left"/>
      <w:pPr>
        <w:ind w:left="2880"/>
      </w:pPr>
      <w:rPr>
        <w:rFonts w:hint="default" w:ascii="Arial" w:hAnsi="Arial" w:cs="Arial"/>
      </w:rPr>
    </w:lvl>
    <w:lvl w:ilvl="4" w:tentative="0">
      <w:start w:val="1"/>
      <w:numFmt w:val="bullet"/>
      <w:lvlText w:val="■"/>
      <w:lvlJc w:val="left"/>
      <w:pPr>
        <w:ind w:left="3600"/>
      </w:pPr>
      <w:rPr>
        <w:rFonts w:hint="default" w:ascii="Arial" w:hAnsi="Arial" w:cs="Arial"/>
      </w:rPr>
    </w:lvl>
    <w:lvl w:ilvl="5" w:tentative="0">
      <w:start w:val="1"/>
      <w:numFmt w:val="bullet"/>
      <w:lvlText w:val="■"/>
      <w:lvlJc w:val="left"/>
      <w:pPr>
        <w:ind w:left="4320"/>
      </w:pPr>
      <w:rPr>
        <w:rFonts w:hint="default" w:ascii="Arial" w:hAnsi="Arial" w:cs="Arial"/>
      </w:rPr>
    </w:lvl>
    <w:lvl w:ilvl="6" w:tentative="0">
      <w:start w:val="1"/>
      <w:numFmt w:val="bullet"/>
      <w:lvlText w:val="■"/>
      <w:lvlJc w:val="left"/>
      <w:pPr>
        <w:ind w:left="5040"/>
      </w:pPr>
      <w:rPr>
        <w:rFonts w:hint="default" w:ascii="Arial" w:hAnsi="Arial" w:cs="Arial"/>
      </w:rPr>
    </w:lvl>
    <w:lvl w:ilvl="7" w:tentative="0">
      <w:start w:val="1"/>
      <w:numFmt w:val="bullet"/>
      <w:lvlText w:val="■"/>
      <w:lvlJc w:val="left"/>
      <w:pPr>
        <w:ind w:left="5760"/>
      </w:pPr>
      <w:rPr>
        <w:rFonts w:hint="default" w:ascii="Arial" w:hAnsi="Arial" w:cs="Arial"/>
      </w:rPr>
    </w:lvl>
    <w:lvl w:ilvl="8" w:tentative="0">
      <w:start w:val="1"/>
      <w:numFmt w:val="bullet"/>
      <w:lvlText w:val="■"/>
      <w:lvlJc w:val="left"/>
      <w:pPr>
        <w:ind w:left="6480"/>
      </w:pPr>
      <w:rPr>
        <w:rFonts w:hint="default" w:ascii="Arial" w:hAnsi="Arial" w:cs="Arial"/>
      </w:rPr>
    </w:lvl>
  </w:abstractNum>
  <w:abstractNum w:abstractNumId="37">
    <w:nsid w:val="7214E0C1"/>
    <w:multiLevelType w:val="multilevel"/>
    <w:tmpl w:val="7214E0C1"/>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38">
    <w:nsid w:val="7514CB7F"/>
    <w:multiLevelType w:val="multilevel"/>
    <w:tmpl w:val="7514CB7F"/>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39">
    <w:nsid w:val="76B2FD01"/>
    <w:multiLevelType w:val="multilevel"/>
    <w:tmpl w:val="76B2FD01"/>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40">
    <w:nsid w:val="79152C47"/>
    <w:multiLevelType w:val="multilevel"/>
    <w:tmpl w:val="79152C47"/>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41">
    <w:nsid w:val="7F8135DF"/>
    <w:multiLevelType w:val="multilevel"/>
    <w:tmpl w:val="7F8135DF"/>
    <w:lvl w:ilvl="0" w:tentative="0">
      <w:start w:val="1"/>
      <w:numFmt w:val="bullet"/>
      <w:lvlText w:val=""/>
      <w:lvlJc w:val="left"/>
      <w:pPr>
        <w:ind w:left="720"/>
      </w:pPr>
      <w:rPr>
        <w:rFonts w:hint="default"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num w:numId="1">
    <w:abstractNumId w:val="37"/>
  </w:num>
  <w:num w:numId="2">
    <w:abstractNumId w:val="24"/>
  </w:num>
  <w:num w:numId="3">
    <w:abstractNumId w:val="14"/>
  </w:num>
  <w:num w:numId="4">
    <w:abstractNumId w:val="31"/>
  </w:num>
  <w:num w:numId="5">
    <w:abstractNumId w:val="18"/>
  </w:num>
  <w:num w:numId="6">
    <w:abstractNumId w:val="4"/>
  </w:num>
  <w:num w:numId="7">
    <w:abstractNumId w:val="30"/>
  </w:num>
  <w:num w:numId="8">
    <w:abstractNumId w:val="20"/>
  </w:num>
  <w:num w:numId="9">
    <w:abstractNumId w:val="33"/>
  </w:num>
  <w:num w:numId="10">
    <w:abstractNumId w:val="3"/>
  </w:num>
  <w:num w:numId="11">
    <w:abstractNumId w:val="29"/>
  </w:num>
  <w:num w:numId="12">
    <w:abstractNumId w:val="16"/>
  </w:num>
  <w:num w:numId="13">
    <w:abstractNumId w:val="32"/>
  </w:num>
  <w:num w:numId="14">
    <w:abstractNumId w:val="26"/>
  </w:num>
  <w:num w:numId="15">
    <w:abstractNumId w:val="39"/>
  </w:num>
  <w:num w:numId="16">
    <w:abstractNumId w:val="38"/>
  </w:num>
  <w:num w:numId="17">
    <w:abstractNumId w:val="15"/>
  </w:num>
  <w:num w:numId="18">
    <w:abstractNumId w:val="23"/>
  </w:num>
  <w:num w:numId="19">
    <w:abstractNumId w:val="34"/>
  </w:num>
  <w:num w:numId="20">
    <w:abstractNumId w:val="22"/>
  </w:num>
  <w:num w:numId="21">
    <w:abstractNumId w:val="8"/>
  </w:num>
  <w:num w:numId="22">
    <w:abstractNumId w:val="2"/>
  </w:num>
  <w:num w:numId="23">
    <w:abstractNumId w:val="7"/>
  </w:num>
  <w:num w:numId="24">
    <w:abstractNumId w:val="10"/>
  </w:num>
  <w:num w:numId="25">
    <w:abstractNumId w:val="9"/>
  </w:num>
  <w:num w:numId="26">
    <w:abstractNumId w:val="28"/>
  </w:num>
  <w:num w:numId="27">
    <w:abstractNumId w:val="19"/>
  </w:num>
  <w:num w:numId="28">
    <w:abstractNumId w:val="27"/>
  </w:num>
  <w:num w:numId="29">
    <w:abstractNumId w:val="35"/>
  </w:num>
  <w:num w:numId="30">
    <w:abstractNumId w:val="41"/>
  </w:num>
  <w:num w:numId="31">
    <w:abstractNumId w:val="40"/>
  </w:num>
  <w:num w:numId="32">
    <w:abstractNumId w:val="5"/>
  </w:num>
  <w:num w:numId="33">
    <w:abstractNumId w:val="12"/>
  </w:num>
  <w:num w:numId="34">
    <w:abstractNumId w:val="36"/>
  </w:num>
  <w:num w:numId="35">
    <w:abstractNumId w:val="0"/>
  </w:num>
  <w:num w:numId="36">
    <w:abstractNumId w:val="6"/>
  </w:num>
  <w:num w:numId="37">
    <w:abstractNumId w:val="11"/>
  </w:num>
  <w:num w:numId="38">
    <w:abstractNumId w:val="13"/>
  </w:num>
  <w:num w:numId="39">
    <w:abstractNumId w:val="17"/>
  </w:num>
  <w:num w:numId="40">
    <w:abstractNumId w:val="21"/>
  </w:num>
  <w:num w:numId="41">
    <w:abstractNumId w:val="1"/>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5D6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widowControl/>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45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2026-02-23T15:20:30Z</dcterms:created>
  <dc:creator>maoxingbo</dc:creator>
  <cp:lastModifiedBy>JL</cp:lastModifiedBy>
  <dcterms:modified xsi:type="dcterms:W3CDTF">2026-02-23T17:07:13Z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4B7E3E0970DA4EEDBB99223948FE3CCA_12</vt:lpwstr>
  </property>
</Properties>
</file>