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E7669">
      <w:pPr>
        <w:spacing w:before="156" w:beforeLines="50" w:line="300" w:lineRule="auto"/>
        <w:outlineLvl w:val="2"/>
        <w:rPr>
          <w:rFonts w:ascii="宋体" w:hAnsi="宋体" w:eastAsia="宋体" w:cs="Times New Roman"/>
          <w:sz w:val="24"/>
          <w:szCs w:val="24"/>
        </w:rPr>
      </w:pPr>
      <w:bookmarkStart w:id="0" w:name="_Tochobl7w"/>
      <w:r>
        <w:rPr>
          <w:rFonts w:hint="eastAsia" w:ascii="宋体" w:hAnsi="宋体" w:eastAsia="宋体" w:cs="Times New Roman"/>
          <w:sz w:val="24"/>
          <w:szCs w:val="24"/>
        </w:rPr>
        <w:t>2. 驱动识别：</w:t>
      </w:r>
      <w:r>
        <w:rPr>
          <w:rFonts w:hint="eastAsia" w:ascii="Times New Roman" w:hAnsi="Times New Roman" w:eastAsia="宋体" w:cs="Times New Roman"/>
          <w:sz w:val="24"/>
          <w:szCs w:val="24"/>
        </w:rPr>
        <w:t>SHAP</w:t>
      </w:r>
      <w:r>
        <w:rPr>
          <w:rFonts w:hint="eastAsia" w:ascii="宋体" w:hAnsi="宋体" w:eastAsia="宋体" w:cs="Times New Roman"/>
          <w:sz w:val="24"/>
          <w:szCs w:val="24"/>
        </w:rPr>
        <w:t xml:space="preserve"> 全局重要性分析</w:t>
      </w:r>
      <w:bookmarkEnd w:id="0"/>
    </w:p>
    <w:p w14:paraId="6A919B2A">
      <w:pPr>
        <w:spacing w:before="156" w:beforeLines="50" w:line="300" w:lineRule="auto"/>
        <w:rPr>
          <w:rFonts w:ascii="宋体" w:hAnsi="宋体" w:eastAsia="宋体" w:cs="Times New Roman"/>
          <w:sz w:val="24"/>
          <w:szCs w:val="24"/>
        </w:rPr>
      </w:pPr>
      <w:r>
        <w:rPr>
          <w:rFonts w:hint="eastAsia" w:ascii="宋体" w:hAnsi="宋体" w:eastAsia="宋体" w:cs="Times New Roman"/>
          <w:sz w:val="24"/>
          <w:szCs w:val="24"/>
        </w:rPr>
        <w:t xml:space="preserve">    为打破 </w:t>
      </w:r>
      <w:r>
        <w:rPr>
          <w:rFonts w:hint="eastAsia" w:ascii="Times New Roman" w:hAnsi="Times New Roman" w:eastAsia="宋体" w:cs="Times New Roman"/>
          <w:sz w:val="24"/>
          <w:szCs w:val="24"/>
        </w:rPr>
        <w:t>XGBoost</w:t>
      </w:r>
      <w:r>
        <w:rPr>
          <w:rFonts w:hint="eastAsia" w:ascii="宋体" w:hAnsi="宋体" w:eastAsia="宋体" w:cs="Times New Roman"/>
          <w:sz w:val="24"/>
          <w:szCs w:val="24"/>
        </w:rPr>
        <w:t xml:space="preserve"> 的“黑箱”局限，引入基于合作博弈论的 </w:t>
      </w:r>
      <w:r>
        <w:rPr>
          <w:rFonts w:hint="eastAsia" w:ascii="Times New Roman" w:hAnsi="Times New Roman" w:eastAsia="宋体" w:cs="Times New Roman"/>
          <w:sz w:val="24"/>
          <w:szCs w:val="24"/>
        </w:rPr>
        <w:t>SHAP</w:t>
      </w:r>
      <w:r>
        <w:rPr>
          <w:rFonts w:hint="eastAsia" w:ascii="宋体" w:hAnsi="宋体" w:eastAsia="宋体" w:cs="Times New Roman"/>
          <w:sz w:val="24"/>
          <w:szCs w:val="24"/>
        </w:rPr>
        <w:t xml:space="preserve"> 框架。通过计算各特征对模型输出（</w:t>
      </w:r>
      <w:r>
        <w:rPr>
          <w:rFonts w:hint="eastAsia" w:ascii="Times New Roman" w:hAnsi="Times New Roman" w:eastAsia="宋体" w:cs="Times New Roman"/>
          <w:sz w:val="24"/>
          <w:szCs w:val="24"/>
        </w:rPr>
        <w:t>SEI</w:t>
      </w:r>
      <w:r>
        <w:rPr>
          <w:rFonts w:hint="eastAsia" w:ascii="宋体" w:hAnsi="宋体" w:eastAsia="宋体" w:cs="Times New Roman"/>
          <w:sz w:val="24"/>
          <w:szCs w:val="24"/>
        </w:rPr>
        <w:t>）的平均边际贡献，精准量化并还原各指标的真实重要性排名（结果见</w:t>
      </w:r>
      <w:r>
        <w:rPr>
          <w:rFonts w:hint="eastAsia" w:ascii="宋体" w:hAnsi="宋体" w:eastAsia="宋体" w:cs="Times New Roman"/>
          <w:b/>
          <w:sz w:val="24"/>
          <w:szCs w:val="24"/>
        </w:rPr>
        <w:t>图1</w:t>
      </w:r>
      <w:r>
        <w:rPr>
          <w:rFonts w:ascii="宋体" w:hAnsi="宋体" w:eastAsia="宋体" w:cs="Times New Roman"/>
          <w:b/>
          <w:sz w:val="24"/>
          <w:szCs w:val="24"/>
        </w:rPr>
        <w:t>1</w:t>
      </w:r>
      <w:r>
        <w:rPr>
          <w:rFonts w:hint="eastAsia" w:ascii="宋体" w:hAnsi="宋体" w:eastAsia="宋体" w:cs="Times New Roman"/>
          <w:sz w:val="24"/>
          <w:szCs w:val="24"/>
        </w:rPr>
        <w:t>及</w:t>
      </w:r>
      <w:r>
        <w:rPr>
          <w:rFonts w:hint="eastAsia" w:ascii="宋体" w:hAnsi="宋体" w:eastAsia="宋体" w:cs="Times New Roman"/>
          <w:b/>
          <w:sz w:val="24"/>
          <w:szCs w:val="24"/>
        </w:rPr>
        <w:t>表 1</w:t>
      </w:r>
      <w:r>
        <w:rPr>
          <w:rFonts w:ascii="宋体" w:hAnsi="宋体" w:eastAsia="宋体" w:cs="Times New Roman"/>
          <w:b/>
          <w:sz w:val="24"/>
          <w:szCs w:val="24"/>
        </w:rPr>
        <w:t>2</w:t>
      </w:r>
      <w:r>
        <w:rPr>
          <w:rFonts w:hint="eastAsia" w:ascii="宋体" w:hAnsi="宋体" w:eastAsia="宋体" w:cs="Times New Roman"/>
          <w:sz w:val="24"/>
          <w:szCs w:val="24"/>
        </w:rPr>
        <w:t>）。</w:t>
      </w:r>
    </w:p>
    <w:p w14:paraId="589C0AD6">
      <w:pPr>
        <w:widowControl/>
        <w:spacing w:before="156" w:beforeLines="50" w:line="300" w:lineRule="auto"/>
        <w:jc w:val="center"/>
        <w:rPr>
          <w:rFonts w:ascii="宋体" w:hAnsi="宋体" w:eastAsia="宋体" w:cs="Times New Roman"/>
          <w:kern w:val="2"/>
          <w:sz w:val="24"/>
          <w:szCs w:val="24"/>
          <w:lang w:val="en-US" w:eastAsia="zh-CN" w:bidi="ar-SA"/>
        </w:rPr>
      </w:pPr>
      <w:bookmarkStart w:id="1" w:name="_Toc223127881"/>
      <w:r>
        <w:rPr>
          <w:rFonts w:hint="eastAsia" w:ascii="宋体" w:hAnsi="宋体" w:eastAsia="宋体" w:cs="Times New Roman"/>
          <w:kern w:val="2"/>
          <w:sz w:val="24"/>
          <w:szCs w:val="24"/>
          <w:lang w:val="en-US" w:eastAsia="zh-CN" w:bidi="ar-SA"/>
        </w:rPr>
        <w:t>表1</w:t>
      </w:r>
      <w:r>
        <w:rPr>
          <w:rFonts w:ascii="宋体" w:hAnsi="宋体" w:eastAsia="宋体" w:cs="Times New Roman"/>
          <w:kern w:val="2"/>
          <w:sz w:val="24"/>
          <w:szCs w:val="24"/>
          <w:lang w:val="en-US" w:eastAsia="zh-CN" w:bidi="ar-SA"/>
        </w:rPr>
        <w:t xml:space="preserve">2  </w:t>
      </w:r>
      <w:r>
        <w:rPr>
          <w:rFonts w:ascii="Times New Roman" w:hAnsi="Times New Roman" w:eastAsia="宋体" w:cs="Times New Roman"/>
          <w:kern w:val="2"/>
          <w:sz w:val="24"/>
          <w:szCs w:val="24"/>
          <w:lang w:val="en-US" w:eastAsia="zh-CN" w:bidi="ar-SA"/>
        </w:rPr>
        <w:t>SHAP</w:t>
      </w:r>
      <w:r>
        <w:rPr>
          <w:rFonts w:ascii="宋体" w:hAnsi="宋体" w:eastAsia="宋体" w:cs="Times New Roman"/>
          <w:kern w:val="2"/>
          <w:sz w:val="24"/>
          <w:szCs w:val="24"/>
          <w:lang w:val="en-US" w:eastAsia="zh-CN" w:bidi="ar-SA"/>
        </w:rPr>
        <w:t xml:space="preserve"> 特征重要性排名（前五位）</w:t>
      </w:r>
      <w:bookmarkEnd w:id="1"/>
    </w:p>
    <w:tbl>
      <w:tblPr>
        <w:tblStyle w:val="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1"/>
        <w:gridCol w:w="2419"/>
        <w:gridCol w:w="1123"/>
        <w:gridCol w:w="2853"/>
        <w:gridCol w:w="1170"/>
      </w:tblGrid>
      <w:tr w14:paraId="4113C5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741" w:type="dxa"/>
            <w:shd w:val="clear" w:color="auto" w:fill="2E75B5"/>
            <w:vAlign w:val="center"/>
          </w:tcPr>
          <w:p w14:paraId="2EB7EC4B">
            <w:pPr>
              <w:keepNext w:val="0"/>
              <w:keepLines w:val="0"/>
              <w:widowControl/>
              <w:suppressLineNumbers w:val="0"/>
              <w:spacing w:line="210" w:lineRule="atLeast"/>
              <w:jc w:val="left"/>
              <w:rPr>
                <w:rFonts w:hint="eastAsia" w:ascii="宋体" w:hAnsi="宋体" w:eastAsia="宋体" w:cs="宋体"/>
                <w:b w:val="0"/>
                <w:bCs/>
                <w:color w:val="FFFFFF"/>
                <w:kern w:val="0"/>
                <w:sz w:val="36"/>
                <w:szCs w:val="36"/>
              </w:rPr>
            </w:pPr>
            <w:r>
              <w:rPr>
                <w:rFonts w:hint="eastAsia" w:ascii="宋体" w:hAnsi="宋体" w:eastAsia="宋体" w:cs="宋体"/>
                <w:b/>
                <w:bCs/>
                <w:i w:val="0"/>
                <w:iCs w:val="0"/>
                <w:caps w:val="0"/>
                <w:color w:val="2B2D31"/>
                <w:spacing w:val="0"/>
                <w:kern w:val="0"/>
                <w:sz w:val="21"/>
                <w:szCs w:val="21"/>
                <w:lang w:val="en-US" w:eastAsia="zh-CN" w:bidi="ar"/>
              </w:rPr>
              <w:t>排名</w:t>
            </w:r>
          </w:p>
        </w:tc>
        <w:tc>
          <w:tcPr>
            <w:tcW w:w="2419" w:type="dxa"/>
            <w:shd w:val="clear" w:color="auto" w:fill="2E75B5"/>
            <w:vAlign w:val="center"/>
          </w:tcPr>
          <w:p w14:paraId="23B8AC0C">
            <w:pPr>
              <w:keepNext w:val="0"/>
              <w:keepLines w:val="0"/>
              <w:widowControl/>
              <w:suppressLineNumbers w:val="0"/>
              <w:spacing w:line="210" w:lineRule="atLeast"/>
              <w:jc w:val="left"/>
              <w:rPr>
                <w:rFonts w:hint="eastAsia" w:ascii="宋体" w:hAnsi="宋体" w:eastAsia="宋体" w:cs="宋体"/>
                <w:b w:val="0"/>
                <w:bCs/>
                <w:color w:val="FFFFFF"/>
                <w:kern w:val="0"/>
                <w:sz w:val="36"/>
                <w:szCs w:val="36"/>
              </w:rPr>
            </w:pPr>
            <w:r>
              <w:rPr>
                <w:rFonts w:hint="eastAsia" w:ascii="宋体" w:hAnsi="宋体" w:eastAsia="宋体" w:cs="宋体"/>
                <w:b/>
                <w:bCs/>
                <w:i w:val="0"/>
                <w:iCs w:val="0"/>
                <w:caps w:val="0"/>
                <w:color w:val="2B2D31"/>
                <w:spacing w:val="0"/>
                <w:kern w:val="0"/>
                <w:sz w:val="21"/>
                <w:szCs w:val="21"/>
                <w:lang w:val="en-US" w:eastAsia="zh-CN" w:bidi="ar"/>
              </w:rPr>
              <w:t>特征名称</w:t>
            </w:r>
          </w:p>
        </w:tc>
        <w:tc>
          <w:tcPr>
            <w:tcW w:w="1123" w:type="dxa"/>
            <w:shd w:val="clear" w:color="auto" w:fill="2E75B5"/>
            <w:vAlign w:val="center"/>
          </w:tcPr>
          <w:p w14:paraId="7710C7CE">
            <w:pPr>
              <w:keepNext w:val="0"/>
              <w:keepLines w:val="0"/>
              <w:widowControl/>
              <w:suppressLineNumbers w:val="0"/>
              <w:spacing w:line="210" w:lineRule="atLeast"/>
              <w:jc w:val="left"/>
              <w:rPr>
                <w:rFonts w:hint="eastAsia" w:ascii="宋体" w:hAnsi="宋体" w:eastAsia="宋体" w:cs="宋体"/>
                <w:b w:val="0"/>
                <w:bCs/>
                <w:color w:val="FFFFFF"/>
                <w:kern w:val="0"/>
                <w:sz w:val="36"/>
                <w:szCs w:val="36"/>
              </w:rPr>
            </w:pPr>
            <w:r>
              <w:rPr>
                <w:rFonts w:hint="eastAsia" w:ascii="宋体" w:hAnsi="宋体" w:eastAsia="宋体" w:cs="宋体"/>
                <w:b/>
                <w:bCs/>
                <w:i w:val="0"/>
                <w:iCs w:val="0"/>
                <w:caps w:val="0"/>
                <w:color w:val="2B2D31"/>
                <w:spacing w:val="0"/>
                <w:kern w:val="0"/>
                <w:sz w:val="21"/>
                <w:szCs w:val="21"/>
                <w:lang w:val="en-US" w:eastAsia="zh-CN" w:bidi="ar"/>
              </w:rPr>
              <w:t>归属维度</w:t>
            </w:r>
          </w:p>
        </w:tc>
        <w:tc>
          <w:tcPr>
            <w:tcW w:w="2853" w:type="dxa"/>
            <w:shd w:val="clear" w:color="auto" w:fill="2E75B5"/>
            <w:vAlign w:val="center"/>
          </w:tcPr>
          <w:p w14:paraId="42EEB80C">
            <w:pPr>
              <w:keepNext w:val="0"/>
              <w:keepLines w:val="0"/>
              <w:widowControl/>
              <w:suppressLineNumbers w:val="0"/>
              <w:spacing w:line="210" w:lineRule="atLeast"/>
              <w:jc w:val="left"/>
              <w:rPr>
                <w:rFonts w:hint="eastAsia" w:ascii="宋体" w:hAnsi="宋体" w:eastAsia="宋体" w:cs="宋体"/>
                <w:b w:val="0"/>
                <w:bCs/>
                <w:color w:val="FFFFFF"/>
                <w:kern w:val="0"/>
                <w:sz w:val="36"/>
                <w:szCs w:val="36"/>
              </w:rPr>
            </w:pPr>
            <w:r>
              <w:rPr>
                <w:rFonts w:hint="eastAsia" w:ascii="宋体" w:hAnsi="宋体" w:eastAsia="宋体" w:cs="宋体"/>
                <w:b/>
                <w:bCs/>
                <w:i w:val="0"/>
                <w:iCs w:val="0"/>
                <w:caps w:val="0"/>
                <w:color w:val="2B2D31"/>
                <w:spacing w:val="0"/>
                <w:kern w:val="0"/>
                <w:sz w:val="21"/>
                <w:szCs w:val="21"/>
                <w:lang w:val="en-US" w:eastAsia="zh-CN" w:bidi="ar"/>
              </w:rPr>
              <w:t>平均 SHAP 值 (Mean |SHAP|)</w:t>
            </w:r>
          </w:p>
        </w:tc>
        <w:tc>
          <w:tcPr>
            <w:tcW w:w="1170" w:type="dxa"/>
            <w:shd w:val="clear" w:color="auto" w:fill="2E75B5"/>
            <w:vAlign w:val="center"/>
          </w:tcPr>
          <w:p w14:paraId="2CD47130">
            <w:pPr>
              <w:keepNext w:val="0"/>
              <w:keepLines w:val="0"/>
              <w:widowControl/>
              <w:suppressLineNumbers w:val="0"/>
              <w:spacing w:line="210" w:lineRule="atLeast"/>
              <w:jc w:val="left"/>
              <w:rPr>
                <w:rFonts w:hint="eastAsia" w:ascii="宋体" w:hAnsi="宋体" w:eastAsia="宋体" w:cs="宋体"/>
                <w:b w:val="0"/>
                <w:bCs/>
                <w:color w:val="FFFFFF"/>
                <w:kern w:val="0"/>
                <w:sz w:val="36"/>
                <w:szCs w:val="36"/>
              </w:rPr>
            </w:pPr>
            <w:r>
              <w:rPr>
                <w:rFonts w:hint="eastAsia" w:ascii="宋体" w:hAnsi="宋体" w:eastAsia="宋体" w:cs="宋体"/>
                <w:b/>
                <w:bCs/>
                <w:i w:val="0"/>
                <w:iCs w:val="0"/>
                <w:caps w:val="0"/>
                <w:color w:val="2B2D31"/>
                <w:spacing w:val="0"/>
                <w:kern w:val="0"/>
                <w:sz w:val="21"/>
                <w:szCs w:val="21"/>
                <w:lang w:val="en-US" w:eastAsia="zh-CN" w:bidi="ar"/>
              </w:rPr>
              <w:t>影响性质</w:t>
            </w:r>
          </w:p>
        </w:tc>
      </w:tr>
      <w:tr w14:paraId="6E0EC9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1" w:type="dxa"/>
            <w:shd w:val="clear" w:color="auto" w:fill="DEEAF6"/>
            <w:vAlign w:val="center"/>
          </w:tcPr>
          <w:p w14:paraId="6BA80904">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1</w:t>
            </w:r>
          </w:p>
        </w:tc>
        <w:tc>
          <w:tcPr>
            <w:tcW w:w="2419" w:type="dxa"/>
            <w:shd w:val="clear" w:color="auto" w:fill="DEEAF6"/>
            <w:vAlign w:val="center"/>
          </w:tcPr>
          <w:p w14:paraId="0CDC4C05">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智能设备 (Q16_Smart_Device)</w:t>
            </w:r>
          </w:p>
        </w:tc>
        <w:tc>
          <w:tcPr>
            <w:tcW w:w="1123" w:type="dxa"/>
            <w:shd w:val="clear" w:color="auto" w:fill="DEEAF6"/>
            <w:vAlign w:val="center"/>
          </w:tcPr>
          <w:p w14:paraId="2B82EC61">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数智体验</w:t>
            </w:r>
          </w:p>
        </w:tc>
        <w:tc>
          <w:tcPr>
            <w:tcW w:w="2853" w:type="dxa"/>
            <w:shd w:val="clear" w:color="auto" w:fill="DEEAF6"/>
            <w:vAlign w:val="center"/>
          </w:tcPr>
          <w:p w14:paraId="75CF8FEB">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1.69</w:t>
            </w:r>
          </w:p>
        </w:tc>
        <w:tc>
          <w:tcPr>
            <w:tcW w:w="1170" w:type="dxa"/>
            <w:shd w:val="clear" w:color="auto" w:fill="DEEAF6"/>
            <w:vAlign w:val="center"/>
          </w:tcPr>
          <w:p w14:paraId="21685D61">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核心驱动</w:t>
            </w:r>
          </w:p>
        </w:tc>
      </w:tr>
      <w:tr w14:paraId="6E388A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1" w:type="dxa"/>
            <w:shd w:val="clear" w:color="auto" w:fill="auto"/>
            <w:vAlign w:val="center"/>
          </w:tcPr>
          <w:p w14:paraId="570EBE68">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2</w:t>
            </w:r>
          </w:p>
        </w:tc>
        <w:tc>
          <w:tcPr>
            <w:tcW w:w="2419" w:type="dxa"/>
            <w:shd w:val="clear" w:color="auto" w:fill="auto"/>
            <w:vAlign w:val="center"/>
          </w:tcPr>
          <w:p w14:paraId="5E00D4BA">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配套设施 (Q19_Amenities)</w:t>
            </w:r>
          </w:p>
        </w:tc>
        <w:tc>
          <w:tcPr>
            <w:tcW w:w="1123" w:type="dxa"/>
            <w:shd w:val="clear" w:color="auto" w:fill="auto"/>
            <w:vAlign w:val="center"/>
          </w:tcPr>
          <w:p w14:paraId="120B5766">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硬件设施</w:t>
            </w:r>
          </w:p>
        </w:tc>
        <w:tc>
          <w:tcPr>
            <w:tcW w:w="2853" w:type="dxa"/>
            <w:shd w:val="clear" w:color="auto" w:fill="auto"/>
            <w:vAlign w:val="center"/>
          </w:tcPr>
          <w:p w14:paraId="7B5D214A">
            <w:pPr>
              <w:keepNext w:val="0"/>
              <w:keepLines w:val="0"/>
              <w:widowControl/>
              <w:suppressLineNumbers w:val="0"/>
              <w:spacing w:line="210" w:lineRule="atLeast"/>
              <w:jc w:val="left"/>
              <w:rPr>
                <w:rFonts w:hint="eastAsia" w:ascii="宋体" w:hAnsi="宋体" w:eastAsia="宋体" w:cs="宋体"/>
                <w:b/>
                <w:bCs/>
                <w:kern w:val="0"/>
                <w:sz w:val="36"/>
                <w:szCs w:val="36"/>
              </w:rPr>
            </w:pPr>
            <w:r>
              <w:rPr>
                <w:rFonts w:hint="eastAsia" w:ascii="宋体" w:hAnsi="宋体" w:eastAsia="宋体" w:cs="宋体"/>
                <w:i w:val="0"/>
                <w:iCs w:val="0"/>
                <w:caps w:val="0"/>
                <w:color w:val="2B2D31"/>
                <w:spacing w:val="0"/>
                <w:kern w:val="0"/>
                <w:sz w:val="21"/>
                <w:szCs w:val="21"/>
                <w:lang w:val="en-US" w:eastAsia="zh-CN" w:bidi="ar"/>
              </w:rPr>
              <w:t>1.36</w:t>
            </w:r>
          </w:p>
        </w:tc>
        <w:tc>
          <w:tcPr>
            <w:tcW w:w="1170" w:type="dxa"/>
            <w:shd w:val="clear" w:color="auto" w:fill="auto"/>
            <w:vAlign w:val="center"/>
          </w:tcPr>
          <w:p w14:paraId="3C8D6919">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核心驱动</w:t>
            </w:r>
          </w:p>
        </w:tc>
      </w:tr>
      <w:tr w14:paraId="286648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1" w:type="dxa"/>
            <w:shd w:val="clear" w:color="auto" w:fill="DEEAF6"/>
            <w:vAlign w:val="center"/>
          </w:tcPr>
          <w:p w14:paraId="00BFC454">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3</w:t>
            </w:r>
          </w:p>
        </w:tc>
        <w:tc>
          <w:tcPr>
            <w:tcW w:w="2419" w:type="dxa"/>
            <w:shd w:val="clear" w:color="auto" w:fill="DEEAF6"/>
            <w:vAlign w:val="center"/>
          </w:tcPr>
          <w:p w14:paraId="58922DA0">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器材维护 (Q15_Maintenance)</w:t>
            </w:r>
          </w:p>
        </w:tc>
        <w:tc>
          <w:tcPr>
            <w:tcW w:w="1123" w:type="dxa"/>
            <w:shd w:val="clear" w:color="auto" w:fill="DEEAF6"/>
            <w:vAlign w:val="center"/>
          </w:tcPr>
          <w:p w14:paraId="24234A73">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硬件设施</w:t>
            </w:r>
          </w:p>
        </w:tc>
        <w:tc>
          <w:tcPr>
            <w:tcW w:w="2853" w:type="dxa"/>
            <w:shd w:val="clear" w:color="auto" w:fill="DEEAF6"/>
            <w:vAlign w:val="center"/>
          </w:tcPr>
          <w:p w14:paraId="00B3C0C9">
            <w:pPr>
              <w:keepNext w:val="0"/>
              <w:keepLines w:val="0"/>
              <w:widowControl/>
              <w:suppressLineNumbers w:val="0"/>
              <w:spacing w:line="210" w:lineRule="atLeast"/>
              <w:jc w:val="left"/>
              <w:rPr>
                <w:rFonts w:hint="eastAsia" w:ascii="宋体" w:hAnsi="宋体" w:eastAsia="宋体" w:cs="宋体"/>
                <w:b/>
                <w:bCs/>
                <w:kern w:val="0"/>
                <w:sz w:val="36"/>
                <w:szCs w:val="36"/>
              </w:rPr>
            </w:pPr>
            <w:r>
              <w:rPr>
                <w:rFonts w:hint="eastAsia" w:ascii="宋体" w:hAnsi="宋体" w:eastAsia="宋体" w:cs="宋体"/>
                <w:i w:val="0"/>
                <w:iCs w:val="0"/>
                <w:caps w:val="0"/>
                <w:color w:val="2B2D31"/>
                <w:spacing w:val="0"/>
                <w:kern w:val="0"/>
                <w:sz w:val="21"/>
                <w:szCs w:val="21"/>
                <w:lang w:val="en-US" w:eastAsia="zh-CN" w:bidi="ar"/>
              </w:rPr>
              <w:t>1.30</w:t>
            </w:r>
          </w:p>
        </w:tc>
        <w:tc>
          <w:tcPr>
            <w:tcW w:w="1170" w:type="dxa"/>
            <w:shd w:val="clear" w:color="auto" w:fill="DEEAF6"/>
            <w:vAlign w:val="center"/>
          </w:tcPr>
          <w:p w14:paraId="6945E92E">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核心驱动</w:t>
            </w:r>
          </w:p>
        </w:tc>
      </w:tr>
      <w:tr w14:paraId="48C6AA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1" w:type="dxa"/>
            <w:shd w:val="clear" w:color="auto" w:fill="auto"/>
            <w:vAlign w:val="center"/>
          </w:tcPr>
          <w:p w14:paraId="2D17C827">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4</w:t>
            </w:r>
          </w:p>
        </w:tc>
        <w:tc>
          <w:tcPr>
            <w:tcW w:w="2419" w:type="dxa"/>
            <w:shd w:val="clear" w:color="auto" w:fill="auto"/>
            <w:vAlign w:val="center"/>
          </w:tcPr>
          <w:p w14:paraId="1605A2F5">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信息发布 (Q21_Info)</w:t>
            </w:r>
          </w:p>
        </w:tc>
        <w:tc>
          <w:tcPr>
            <w:tcW w:w="1123" w:type="dxa"/>
            <w:shd w:val="clear" w:color="auto" w:fill="auto"/>
            <w:vAlign w:val="center"/>
          </w:tcPr>
          <w:p w14:paraId="1CCBF0B4">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软性服务</w:t>
            </w:r>
          </w:p>
        </w:tc>
        <w:tc>
          <w:tcPr>
            <w:tcW w:w="2853" w:type="dxa"/>
            <w:shd w:val="clear" w:color="auto" w:fill="auto"/>
            <w:vAlign w:val="center"/>
          </w:tcPr>
          <w:p w14:paraId="417986A8">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1.17</w:t>
            </w:r>
          </w:p>
        </w:tc>
        <w:tc>
          <w:tcPr>
            <w:tcW w:w="1170" w:type="dxa"/>
            <w:shd w:val="clear" w:color="auto" w:fill="auto"/>
            <w:vAlign w:val="center"/>
          </w:tcPr>
          <w:p w14:paraId="063B9296">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辅助驱动</w:t>
            </w:r>
          </w:p>
        </w:tc>
      </w:tr>
      <w:tr w14:paraId="3B79E0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1" w:type="dxa"/>
            <w:shd w:val="clear" w:color="auto" w:fill="DEEAF6"/>
            <w:vAlign w:val="center"/>
          </w:tcPr>
          <w:p w14:paraId="65F6A60B">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5</w:t>
            </w:r>
          </w:p>
        </w:tc>
        <w:tc>
          <w:tcPr>
            <w:tcW w:w="2419" w:type="dxa"/>
            <w:shd w:val="clear" w:color="auto" w:fill="DEEAF6"/>
            <w:vAlign w:val="center"/>
          </w:tcPr>
          <w:p w14:paraId="4B2FDD24">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人员服务 (Q20_Staff)</w:t>
            </w:r>
          </w:p>
        </w:tc>
        <w:tc>
          <w:tcPr>
            <w:tcW w:w="1123" w:type="dxa"/>
            <w:shd w:val="clear" w:color="auto" w:fill="DEEAF6"/>
            <w:vAlign w:val="center"/>
          </w:tcPr>
          <w:p w14:paraId="088183E0">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软性服务</w:t>
            </w:r>
          </w:p>
        </w:tc>
        <w:tc>
          <w:tcPr>
            <w:tcW w:w="2853" w:type="dxa"/>
            <w:shd w:val="clear" w:color="auto" w:fill="DEEAF6"/>
            <w:vAlign w:val="center"/>
          </w:tcPr>
          <w:p w14:paraId="7FA6EF0E">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1.16</w:t>
            </w:r>
          </w:p>
        </w:tc>
        <w:tc>
          <w:tcPr>
            <w:tcW w:w="1170" w:type="dxa"/>
            <w:shd w:val="clear" w:color="auto" w:fill="DEEAF6"/>
            <w:vAlign w:val="center"/>
          </w:tcPr>
          <w:p w14:paraId="77013861">
            <w:pPr>
              <w:keepNext w:val="0"/>
              <w:keepLines w:val="0"/>
              <w:widowControl/>
              <w:suppressLineNumbers w:val="0"/>
              <w:spacing w:line="210" w:lineRule="atLeast"/>
              <w:jc w:val="left"/>
              <w:rPr>
                <w:rFonts w:hint="eastAsia" w:ascii="宋体" w:hAnsi="宋体" w:eastAsia="宋体" w:cs="宋体"/>
                <w:kern w:val="0"/>
                <w:sz w:val="36"/>
                <w:szCs w:val="36"/>
              </w:rPr>
            </w:pPr>
            <w:r>
              <w:rPr>
                <w:rFonts w:hint="eastAsia" w:ascii="宋体" w:hAnsi="宋体" w:eastAsia="宋体" w:cs="宋体"/>
                <w:i w:val="0"/>
                <w:iCs w:val="0"/>
                <w:caps w:val="0"/>
                <w:color w:val="2B2D31"/>
                <w:spacing w:val="0"/>
                <w:kern w:val="0"/>
                <w:sz w:val="21"/>
                <w:szCs w:val="21"/>
                <w:lang w:val="en-US" w:eastAsia="zh-CN" w:bidi="ar"/>
              </w:rPr>
              <w:t>基础保障</w:t>
            </w:r>
          </w:p>
        </w:tc>
      </w:tr>
    </w:tbl>
    <w:p w14:paraId="4BF847A4">
      <w:pPr>
        <w:jc w:val="center"/>
        <w:rPr>
          <w:rFonts w:ascii="等线" w:hAnsi="等线" w:eastAsia="等线" w:cs="宋体"/>
          <w:szCs w:val="22"/>
        </w:rPr>
      </w:pPr>
      <w:r>
        <w:rPr>
          <w:rFonts w:ascii="等线" w:hAnsi="等线" w:eastAsia="等线" w:cs="宋体"/>
          <w:szCs w:val="22"/>
        </w:rPr>
        <w:drawing>
          <wp:inline distT="0" distB="0" distL="114300" distR="114300">
            <wp:extent cx="5257800" cy="51923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7800" cy="5192395"/>
                    </a:xfrm>
                    <a:prstGeom prst="rect">
                      <a:avLst/>
                    </a:prstGeom>
                    <a:noFill/>
                    <a:ln>
                      <a:noFill/>
                    </a:ln>
                  </pic:spPr>
                </pic:pic>
              </a:graphicData>
            </a:graphic>
          </wp:inline>
        </w:drawing>
      </w:r>
    </w:p>
    <w:p w14:paraId="376C67B3">
      <w:pPr>
        <w:spacing w:before="156" w:beforeLines="50" w:line="300" w:lineRule="auto"/>
        <w:jc w:val="center"/>
        <w:rPr>
          <w:rFonts w:ascii="宋体" w:hAnsi="宋体" w:eastAsia="宋体" w:cs="宋体"/>
          <w:kern w:val="2"/>
          <w:sz w:val="24"/>
          <w:szCs w:val="22"/>
          <w:lang w:val="en-US" w:eastAsia="zh-CN" w:bidi="ar-SA"/>
        </w:rPr>
      </w:pPr>
      <w:bookmarkStart w:id="2" w:name="_Toc223126993"/>
      <w:bookmarkStart w:id="3" w:name="_Toc223126724"/>
      <w:r>
        <w:rPr>
          <w:rFonts w:ascii="宋体" w:hAnsi="宋体" w:eastAsia="宋体" w:cs="宋体"/>
          <w:kern w:val="2"/>
          <w:sz w:val="24"/>
          <w:szCs w:val="22"/>
          <w:lang w:val="en-US" w:eastAsia="zh-CN" w:bidi="ar-SA"/>
        </w:rPr>
        <w:t>图11  特征重要性排名图</w:t>
      </w:r>
      <w:bookmarkEnd w:id="2"/>
      <w:bookmarkEnd w:id="3"/>
    </w:p>
    <w:p w14:paraId="25CD8D26">
      <w:pPr>
        <w:spacing w:before="156" w:beforeLines="50" w:line="300" w:lineRule="auto"/>
        <w:jc w:val="center"/>
        <w:rPr>
          <w:rFonts w:ascii="宋体" w:hAnsi="宋体" w:eastAsia="宋体" w:cs="Times New Roman"/>
          <w:sz w:val="24"/>
          <w:szCs w:val="24"/>
        </w:rPr>
      </w:pPr>
      <w:r>
        <w:rPr>
          <w:rFonts w:ascii="宋体" w:hAnsi="宋体" w:eastAsia="宋体" w:cs="Times New Roman"/>
          <w:sz w:val="24"/>
          <w:szCs w:val="24"/>
        </w:rPr>
        <w:drawing>
          <wp:inline distT="0" distB="0" distL="114300" distR="114300">
            <wp:extent cx="635" cy="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rPr>
          <w:rFonts w:ascii="宋体" w:hAnsi="宋体" w:eastAsia="宋体" w:cs="Times New Roman"/>
          <w:sz w:val="24"/>
          <w:szCs w:val="24"/>
        </w:rPr>
        <w:drawing>
          <wp:inline distT="0" distB="0" distL="114300" distR="114300">
            <wp:extent cx="5257800" cy="519239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57800" cy="5192395"/>
                    </a:xfrm>
                    <a:prstGeom prst="rect">
                      <a:avLst/>
                    </a:prstGeom>
                    <a:noFill/>
                    <a:ln>
                      <a:noFill/>
                    </a:ln>
                  </pic:spPr>
                </pic:pic>
              </a:graphicData>
            </a:graphic>
          </wp:inline>
        </w:drawing>
      </w:r>
    </w:p>
    <w:p w14:paraId="749B7159">
      <w:pPr>
        <w:spacing w:before="156" w:beforeLines="50" w:line="300" w:lineRule="auto"/>
        <w:jc w:val="center"/>
        <w:rPr>
          <w:rFonts w:ascii="宋体" w:hAnsi="宋体" w:eastAsia="宋体" w:cs="宋体"/>
          <w:kern w:val="2"/>
          <w:sz w:val="24"/>
          <w:szCs w:val="22"/>
          <w:lang w:val="en-US" w:eastAsia="zh-CN" w:bidi="ar-SA"/>
        </w:rPr>
      </w:pPr>
      <w:bookmarkStart w:id="4" w:name="_Toc223126725"/>
      <w:bookmarkStart w:id="5" w:name="_Toc223126994"/>
      <w:r>
        <w:rPr>
          <w:rFonts w:ascii="宋体" w:hAnsi="宋体" w:eastAsia="宋体" w:cs="宋体"/>
          <w:kern w:val="2"/>
          <w:sz w:val="24"/>
          <w:szCs w:val="22"/>
          <w:lang w:val="en-US" w:eastAsia="zh-CN" w:bidi="ar-SA"/>
        </w:rPr>
        <w:t>图12  特征影响方向图</w:t>
      </w:r>
      <w:bookmarkEnd w:id="4"/>
      <w:bookmarkEnd w:id="5"/>
    </w:p>
    <w:p w14:paraId="63103525">
      <w:pPr>
        <w:spacing w:before="156" w:beforeLines="50" w:line="300" w:lineRule="auto"/>
        <w:ind w:firstLine="482" w:firstLineChars="200"/>
        <w:rPr>
          <w:rFonts w:ascii="宋体" w:hAnsi="宋体" w:eastAsia="宋体" w:cs="Times New Roman"/>
          <w:b/>
          <w:sz w:val="24"/>
          <w:szCs w:val="24"/>
        </w:rPr>
      </w:pPr>
      <w:r>
        <w:rPr>
          <w:rFonts w:hint="eastAsia" w:ascii="宋体" w:hAnsi="宋体" w:eastAsia="宋体" w:cs="Times New Roman"/>
          <w:b/>
          <w:sz w:val="24"/>
          <w:szCs w:val="24"/>
        </w:rPr>
        <w:t xml:space="preserve">深度洞察与 </w:t>
      </w:r>
      <w:r>
        <w:rPr>
          <w:rFonts w:hint="eastAsia" w:ascii="Times New Roman" w:hAnsi="Times New Roman" w:eastAsia="宋体" w:cs="Times New Roman"/>
          <w:b/>
          <w:sz w:val="24"/>
          <w:szCs w:val="24"/>
        </w:rPr>
        <w:t>SEM</w:t>
      </w:r>
      <w:r>
        <w:rPr>
          <w:rFonts w:hint="eastAsia" w:ascii="宋体" w:hAnsi="宋体" w:eastAsia="宋体" w:cs="Times New Roman"/>
          <w:b/>
          <w:sz w:val="24"/>
          <w:szCs w:val="24"/>
        </w:rPr>
        <w:t xml:space="preserve"> 结论对比：</w:t>
      </w:r>
    </w:p>
    <w:p w14:paraId="17D06F45">
      <w:pPr>
        <w:ind w:firstLine="420" w:firstLineChars="0"/>
        <w:rPr>
          <w:rFonts w:hint="eastAsia" w:ascii="宋体" w:hAnsi="宋体" w:eastAsia="宋体" w:cs="Times New Roman"/>
          <w:b/>
          <w:sz w:val="24"/>
          <w:szCs w:val="24"/>
        </w:rPr>
      </w:pPr>
      <w:r>
        <w:rPr>
          <w:rFonts w:hint="eastAsia" w:ascii="宋体" w:hAnsi="宋体" w:eastAsia="宋体" w:cs="Times New Roman"/>
          <w:b/>
          <w:sz w:val="24"/>
          <w:szCs w:val="24"/>
        </w:rPr>
        <w:t>1. “效能基石”与“感知高地”的重构： </w:t>
      </w:r>
      <w:r>
        <w:rPr>
          <w:rFonts w:hint="eastAsia" w:ascii="宋体" w:hAnsi="宋体" w:eastAsia="宋体" w:cs="Times New Roman"/>
          <w:b w:val="0"/>
          <w:bCs/>
          <w:sz w:val="24"/>
          <w:szCs w:val="24"/>
        </w:rPr>
        <w:t>与 SEM 宏观模型中“硬件设施”占据主导地位不同，微观 SHAP 归因显示，“智能设备”（SHAP=1.69）跃升为影响服务效能的核心驱动因素，紧随其后的是“配套设施”与“器材维护”。这一转变揭示了市民评价逻辑的深度分化：宏观层面，市民将物理层面的硬件完好视为基础保障；而在实际体验中，具备交互感、数字化功能的智能设备已成为提升满意度的“感知高地”。</w:t>
      </w:r>
    </w:p>
    <w:p w14:paraId="1DC9AC19">
      <w:pPr>
        <w:ind w:firstLine="420" w:firstLineChars="0"/>
        <w:rPr>
          <w:rFonts w:hint="eastAsia" w:ascii="宋体" w:hAnsi="宋体" w:eastAsia="宋体" w:cs="Times New Roman"/>
          <w:b w:val="0"/>
          <w:bCs/>
          <w:sz w:val="24"/>
          <w:szCs w:val="24"/>
        </w:rPr>
      </w:pPr>
      <w:r>
        <w:rPr>
          <w:rFonts w:hint="eastAsia" w:ascii="宋体" w:hAnsi="宋体" w:eastAsia="宋体" w:cs="Times New Roman"/>
          <w:b/>
          <w:sz w:val="24"/>
          <w:szCs w:val="24"/>
        </w:rPr>
        <w:t>2. “数智化”引领体验升级的分水岭： </w:t>
      </w:r>
      <w:r>
        <w:rPr>
          <w:rFonts w:hint="eastAsia" w:ascii="宋体" w:hAnsi="宋体" w:eastAsia="宋体" w:cs="Times New Roman"/>
          <w:b w:val="0"/>
          <w:bCs/>
          <w:sz w:val="24"/>
          <w:szCs w:val="24"/>
        </w:rPr>
        <w:t>SHAP 重要性排名中，“智能设备”高居榜首，这印证了体育领域数字化转型的必然趋势。市民需求已从基础的器械运动，转向对智能化、数据化反馈的深度依赖。值得注意的是，虽然“数据服务”指标未进入前五，但结合其在“智能设备”中的交互权重，说明市民对驿站的期待已不仅限于单一设备，而是转向整体数智生态的响应速度与交互体验。</w:t>
      </w:r>
    </w:p>
    <w:p w14:paraId="5A9C13DE">
      <w:pPr>
        <w:ind w:firstLine="420" w:firstLineChars="0"/>
        <w:rPr>
          <w:rFonts w:hint="eastAsia" w:ascii="宋体" w:hAnsi="宋体" w:eastAsia="宋体" w:cs="Times New Roman"/>
          <w:b w:val="0"/>
          <w:bCs/>
          <w:sz w:val="24"/>
          <w:szCs w:val="24"/>
        </w:rPr>
      </w:pPr>
      <w:r>
        <w:rPr>
          <w:rFonts w:hint="eastAsia" w:ascii="宋体" w:hAnsi="宋体" w:eastAsia="宋体" w:cs="Times New Roman"/>
          <w:b/>
          <w:sz w:val="24"/>
          <w:szCs w:val="24"/>
        </w:rPr>
        <w:t>3. “软性服务”的精细化需求凸显： </w:t>
      </w:r>
      <w:r>
        <w:rPr>
          <w:rFonts w:hint="eastAsia" w:ascii="宋体" w:hAnsi="宋体" w:eastAsia="宋体" w:cs="Times New Roman"/>
          <w:b w:val="0"/>
          <w:bCs/>
          <w:sz w:val="24"/>
          <w:szCs w:val="24"/>
        </w:rPr>
        <w:t>“信息发布”（SHAP=1.17）、“人员服务”（SHAP=1.16）与“营业时间”（SHAP=1.08）均位列前茅，进入重要性榜单前六位。这表明，在“硬件”这一硬性门槛被跨越后，市民对服务管理的精细化需求显著增长。当前“无人值守”模式下信息披露滞后、人员支持缺失带来的焦虑，已成为影响用户最终效能评价的核心痛点。</w:t>
      </w:r>
    </w:p>
    <w:p w14:paraId="2B0AA759">
      <w:pPr>
        <w:ind w:firstLine="420" w:firstLineChars="0"/>
        <w:rPr>
          <w:rFonts w:hint="eastAsia" w:ascii="宋体" w:hAnsi="宋体" w:eastAsia="宋体" w:cs="Times New Roman"/>
          <w:b w:val="0"/>
          <w:bCs/>
          <w:sz w:val="24"/>
          <w:szCs w:val="24"/>
        </w:rPr>
      </w:pPr>
      <w:r>
        <w:rPr>
          <w:rFonts w:hint="eastAsia" w:ascii="宋体" w:hAnsi="宋体" w:eastAsia="宋体" w:cs="Times New Roman"/>
          <w:b/>
          <w:sz w:val="24"/>
          <w:szCs w:val="24"/>
        </w:rPr>
        <w:t>4. 距离因素的“保健因子”属性加固： </w:t>
      </w:r>
      <w:r>
        <w:rPr>
          <w:rFonts w:hint="eastAsia" w:ascii="宋体" w:hAnsi="宋体" w:eastAsia="宋体" w:cs="Times New Roman"/>
          <w:b w:val="0"/>
          <w:bCs/>
          <w:sz w:val="24"/>
          <w:szCs w:val="24"/>
        </w:rPr>
        <w:t>“距离便利性”（SHAP=0.44）与“步行时间”（SHAP=0.25）的重要性排名依然处于下游，未进入核心影响区间。这进一步佐证了基于赫兹伯格双因素理论的判断：在上海“15 分钟社区生活圈”高覆盖的背景下，空间可达性已转化为典型的“保健因子”——当其达标时，市民视为理所应当，不再是满意度提升的额外增量；但若服务不佳，其仍是导致流失的潜在隐患。</w:t>
      </w:r>
    </w:p>
    <w:p w14:paraId="78A41419"/>
    <w:p w14:paraId="6486E913"/>
    <w:p w14:paraId="3E9031D8">
      <w:pPr>
        <w:rPr>
          <w:rFonts w:hint="eastAsia"/>
          <w:highlight w:val="yellow"/>
          <w:lang w:val="en-US" w:eastAsia="zh-CN"/>
        </w:rPr>
      </w:pPr>
      <w:r>
        <w:rPr>
          <w:rFonts w:hint="eastAsia"/>
          <w:highlight w:val="yellow"/>
          <w:lang w:val="en-US" w:eastAsia="zh-CN"/>
        </w:rPr>
        <w:t>潜在使用者的问题</w:t>
      </w:r>
    </w:p>
    <w:p w14:paraId="05350B2D">
      <w:pPr>
        <w:rPr>
          <w:rFonts w:hint="default"/>
          <w:lang w:val="en-US" w:eastAsia="zh-CN"/>
        </w:rPr>
      </w:pPr>
      <w:r>
        <w:rPr>
          <w:rFonts w:hint="default"/>
          <w:lang w:val="en-US" w:eastAsia="zh-CN"/>
        </w:rPr>
        <w:t>首先，我们对潜在使用者的定义是：对健身驿站有一定了解且有使用意愿，但尚未体验的群体。</w:t>
      </w:r>
      <w:r>
        <w:rPr>
          <w:rFonts w:hint="default"/>
          <w:lang w:val="en-US" w:eastAsia="zh-CN"/>
        </w:rPr>
        <w:br w:type="textWrapping"/>
      </w:r>
      <w:r>
        <w:rPr>
          <w:rFonts w:hint="default"/>
          <w:lang w:val="en-US" w:eastAsia="zh-CN"/>
        </w:rPr>
        <w:t>在三、样本描述与健身驿站服务效能现状测度章节中，描述潜在使用者则更重视数智体验的完善度与硬件设施的适配性，对价格敏感度更高，核心诉求集中于“智能服务升级”与“普惠化收费”。</w:t>
      </w:r>
      <w:r>
        <w:rPr>
          <w:rFonts w:hint="default"/>
          <w:lang w:val="en-US" w:eastAsia="zh-CN"/>
        </w:rPr>
        <w:br w:type="textWrapping"/>
      </w:r>
      <w:r>
        <w:rPr>
          <w:rFonts w:hint="default"/>
          <w:lang w:val="en-US" w:eastAsia="zh-CN"/>
        </w:rPr>
        <w:t>而在七、结论与建议中，又说到潜在使用者对健身驿站有初步认知，重点关注品牌口碑、新技术应用，价格敏感度高但消费意愿较强。XGBoost 模型表明，“软实力缺失”与“15 分钟断崖” 效应是制约其转化的关键因素，需通过打响品牌口碑、打造高性价比服务产品提升吸引力，推动潜在使用者向现有使用者转化。</w:t>
      </w:r>
    </w:p>
    <w:p w14:paraId="54CCFD25">
      <w:pPr>
        <w:rPr>
          <w:rFonts w:hint="default"/>
          <w:lang w:val="en-US" w:eastAsia="zh-CN"/>
        </w:rPr>
      </w:pPr>
    </w:p>
    <w:p w14:paraId="355C2204">
      <w:pPr>
        <w:rPr>
          <w:rFonts w:hint="eastAsia"/>
          <w:lang w:val="en-US" w:eastAsia="zh-CN"/>
        </w:rPr>
      </w:pPr>
      <w:r>
        <w:rPr>
          <w:rFonts w:hint="eastAsia"/>
          <w:lang w:val="en-US" w:eastAsia="zh-CN"/>
        </w:rPr>
        <w:t>如何解释？</w:t>
      </w:r>
    </w:p>
    <w:p w14:paraId="5CFA7BFF">
      <w:pPr>
        <w:rPr>
          <w:rFonts w:hint="default"/>
          <w:lang w:val="en-US" w:eastAsia="zh-CN"/>
        </w:rPr>
      </w:pPr>
    </w:p>
    <w:p w14:paraId="4C701E6F">
      <w:pPr>
        <w:rPr>
          <w:rFonts w:hint="default"/>
          <w:lang w:val="en-US" w:eastAsia="zh-CN"/>
        </w:rPr>
      </w:pPr>
      <w:r>
        <w:rPr>
          <w:rFonts w:hint="default"/>
          <w:lang w:val="en-US" w:eastAsia="zh-CN"/>
        </w:rPr>
        <w:t>在第三章（样本描述阶段）我们侧重于静态的需求特征描述。通过问卷的描述性统计，我们发现了潜在用户是什么样的人以及他们想要</w:t>
      </w:r>
      <w:r>
        <w:rPr>
          <w:rFonts w:hint="eastAsia"/>
          <w:lang w:val="en-US" w:eastAsia="zh-CN"/>
        </w:rPr>
        <w:t>啥</w:t>
      </w:r>
      <w:r>
        <w:rPr>
          <w:rFonts w:hint="default"/>
          <w:lang w:val="en-US" w:eastAsia="zh-CN"/>
        </w:rPr>
        <w:t>（即想要更好的智能设备、更好的适配性、更优惠的价格）。属于表象需求。</w:t>
      </w:r>
    </w:p>
    <w:p w14:paraId="6A894B55">
      <w:pPr>
        <w:rPr>
          <w:rFonts w:hint="default"/>
          <w:lang w:val="en-US" w:eastAsia="zh-CN"/>
        </w:rPr>
      </w:pPr>
      <w:r>
        <w:rPr>
          <w:rFonts w:hint="default"/>
          <w:lang w:val="en-US" w:eastAsia="zh-CN"/>
        </w:rPr>
        <w:t>在第七章（结论与建议阶段） 我们基于 XGBoost 和 SHAP 模型，探讨的是动态的转化逻辑。不再仅仅描述用户想要什么，而是分析“为什么他们还没使用？”以及“什么因素阻碍了他们转化？”（即：受到“软实力缺失”和“15分钟断崖”影响）。属于深层转化机制。</w:t>
      </w:r>
    </w:p>
    <w:p w14:paraId="2E4C6083">
      <w:pPr>
        <w:rPr>
          <w:rFonts w:hint="default"/>
          <w:lang w:val="en-US" w:eastAsia="zh-CN"/>
        </w:rPr>
      </w:pPr>
    </w:p>
    <w:p w14:paraId="4A7F5DCF">
      <w:pPr>
        <w:rPr>
          <w:rFonts w:hint="eastAsia"/>
          <w:lang w:val="en-US" w:eastAsia="zh-CN"/>
        </w:rPr>
      </w:pPr>
      <w:r>
        <w:rPr>
          <w:rFonts w:hint="eastAsia"/>
          <w:lang w:val="en-US" w:eastAsia="zh-CN"/>
        </w:rPr>
        <w:t>所以不算前后矛盾，因为第四章才使用到机器学习模型，所以第三章分析的是基于静态数据，第四章分析了潜在消费者的阻碍因素之后，将诉求从单纯的‘价格/功能’提升到了‘品牌建设/精准治理’的高度，这是为了提出更有针对性的、能促进实际转化的策略，而不是停留在描述他们的消费习惯上。</w:t>
      </w:r>
    </w:p>
    <w:p w14:paraId="6E1C184C">
      <w:pPr>
        <w:rPr>
          <w:rFonts w:hint="eastAsia"/>
          <w:lang w:val="en-US" w:eastAsia="zh-CN"/>
        </w:rPr>
      </w:pPr>
    </w:p>
    <w:p w14:paraId="0C9A56D6">
      <w:pPr>
        <w:rPr>
          <w:rFonts w:hint="eastAsia"/>
          <w:highlight w:val="yellow"/>
          <w:lang w:val="en-US" w:eastAsia="zh-CN"/>
        </w:rPr>
      </w:pPr>
      <w:r>
        <w:rPr>
          <w:rFonts w:hint="default"/>
          <w:highlight w:val="yellow"/>
          <w:lang w:val="en-US" w:eastAsia="zh-CN"/>
        </w:rPr>
        <w:t>四、（一）宏观机制：基于 SEM 模型的路径假设与验证”的第1点中，补充</w:t>
      </w:r>
      <w:r>
        <w:rPr>
          <w:rFonts w:hint="eastAsia"/>
          <w:highlight w:val="yellow"/>
          <w:lang w:val="en-US" w:eastAsia="zh-CN"/>
        </w:rPr>
        <w:t>一下内生潜变量即用户满意度</w:t>
      </w:r>
      <w:r>
        <w:rPr>
          <w:rFonts w:hint="eastAsia"/>
          <w:lang w:val="en-US" w:eastAsia="zh-CN"/>
        </w:rPr>
        <w:br w:type="textWrapping"/>
      </w:r>
      <w:r>
        <w:rPr>
          <w:rFonts w:hint="eastAsia"/>
          <w:lang w:val="en-US" w:eastAsia="zh-CN"/>
        </w:rPr>
        <w:br w:type="textWrapping"/>
      </w:r>
      <w:r>
        <w:rPr>
          <w:rFonts w:hint="eastAsia"/>
          <w:highlight w:val="yellow"/>
          <w:lang w:val="en-US" w:eastAsia="zh-CN"/>
        </w:rPr>
        <w:t>SEM的图片可以补充</w:t>
      </w:r>
    </w:p>
    <w:p w14:paraId="7C4F362B">
      <w:pPr>
        <w:rPr>
          <w:rFonts w:hint="default"/>
          <w:highlight w:val="none"/>
          <w:lang w:val="en-US" w:eastAsia="zh-CN"/>
        </w:rPr>
      </w:pPr>
      <w:r>
        <w:rPr>
          <w:rFonts w:hint="default"/>
          <w:highlight w:val="none"/>
          <w:lang w:val="en-US" w:eastAsia="zh-CN"/>
        </w:rPr>
        <w:drawing>
          <wp:inline distT="0" distB="0" distL="114300" distR="114300">
            <wp:extent cx="5270500" cy="3019425"/>
            <wp:effectExtent l="0" t="0" r="0" b="3175"/>
            <wp:docPr id="4" name="图片 4" descr="38c5d15bce33c26261e9e83607a16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8c5d15bce33c26261e9e83607a166de"/>
                    <pic:cNvPicPr>
                      <a:picLocks noChangeAspect="1"/>
                    </pic:cNvPicPr>
                  </pic:nvPicPr>
                  <pic:blipFill>
                    <a:blip r:embed="rId7"/>
                    <a:stretch>
                      <a:fillRect/>
                    </a:stretch>
                  </pic:blipFill>
                  <pic:spPr>
                    <a:xfrm>
                      <a:off x="0" y="0"/>
                      <a:ext cx="5270500" cy="3019425"/>
                    </a:xfrm>
                    <a:prstGeom prst="rect">
                      <a:avLst/>
                    </a:prstGeom>
                  </pic:spPr>
                </pic:pic>
              </a:graphicData>
            </a:graphic>
          </wp:inline>
        </w:drawing>
      </w:r>
    </w:p>
    <w:p w14:paraId="31D682F3">
      <w:pPr>
        <w:rPr>
          <w:rFonts w:hint="default"/>
          <w:highlight w:val="none"/>
          <w:lang w:val="en-US" w:eastAsia="zh-CN"/>
        </w:rPr>
      </w:pPr>
      <w:r>
        <w:rPr>
          <w:rFonts w:hint="default"/>
          <w:highlight w:val="none"/>
          <w:lang w:val="en-US" w:eastAsia="zh-CN"/>
        </w:rPr>
        <w:t>我们将硬件设施、软性服务、数智体验及便利程度作为外生潜变量，考察其对内生潜变量（用户满意度）的影响作用。</w:t>
      </w:r>
    </w:p>
    <w:p w14:paraId="0193FDA8">
      <w:pPr>
        <w:rPr>
          <w:rFonts w:hint="default"/>
          <w:lang w:val="en-US" w:eastAsia="zh-CN"/>
        </w:rPr>
      </w:pPr>
    </w:p>
    <w:p w14:paraId="139E81D3">
      <w:pPr>
        <w:rPr>
          <w:rFonts w:hint="default"/>
          <w:lang w:val="en-US" w:eastAsia="zh-CN"/>
        </w:rPr>
      </w:pPr>
    </w:p>
    <w:p w14:paraId="0E04541E">
      <w:pPr>
        <w:rPr>
          <w:rFonts w:hint="default"/>
          <w:lang w:val="en-US" w:eastAsia="zh-CN"/>
        </w:rPr>
      </w:pPr>
      <w:r>
        <w:rPr>
          <w:rFonts w:hint="default"/>
          <w:lang w:val="en-US" w:eastAsia="zh-CN"/>
        </w:rPr>
        <w:drawing>
          <wp:inline distT="0" distB="0" distL="114300" distR="114300">
            <wp:extent cx="5260975" cy="3757930"/>
            <wp:effectExtent l="0" t="0" r="12065"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60975" cy="3757930"/>
                    </a:xfrm>
                    <a:prstGeom prst="rect">
                      <a:avLst/>
                    </a:prstGeom>
                    <a:noFill/>
                    <a:ln>
                      <a:noFill/>
                    </a:ln>
                  </pic:spPr>
                </pic:pic>
              </a:graphicData>
            </a:graphic>
          </wp:inline>
        </w:drawing>
      </w:r>
      <w:r>
        <w:rPr>
          <w:rFonts w:hint="default"/>
          <w:lang w:val="en-US" w:eastAsia="zh-CN"/>
        </w:rPr>
        <w:drawing>
          <wp:inline distT="0" distB="0" distL="114300" distR="114300">
            <wp:extent cx="5260975" cy="3757930"/>
            <wp:effectExtent l="0" t="0" r="12065"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60975" cy="3757930"/>
                    </a:xfrm>
                    <a:prstGeom prst="rect">
                      <a:avLst/>
                    </a:prstGeom>
                    <a:noFill/>
                    <a:ln>
                      <a:noFill/>
                    </a:ln>
                  </pic:spPr>
                </pic:pic>
              </a:graphicData>
            </a:graphic>
          </wp:inline>
        </w:drawing>
      </w:r>
      <w:r>
        <w:rPr>
          <w:rFonts w:hint="default"/>
          <w:lang w:val="en-US" w:eastAsia="zh-CN"/>
        </w:rPr>
        <w:drawing>
          <wp:inline distT="0" distB="0" distL="114300" distR="114300">
            <wp:extent cx="5260975" cy="3757930"/>
            <wp:effectExtent l="0" t="0" r="12065"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5260975" cy="3757930"/>
                    </a:xfrm>
                    <a:prstGeom prst="rect">
                      <a:avLst/>
                    </a:prstGeom>
                    <a:noFill/>
                    <a:ln>
                      <a:noFill/>
                    </a:ln>
                  </pic:spPr>
                </pic:pic>
              </a:graphicData>
            </a:graphic>
          </wp:inline>
        </w:drawing>
      </w:r>
    </w:p>
    <w:p w14:paraId="1E755A2B">
      <w:pPr>
        <w:rPr>
          <w:rFonts w:hint="default"/>
          <w:lang w:val="en-US" w:eastAsia="zh-CN"/>
        </w:rPr>
      </w:pPr>
    </w:p>
    <w:p w14:paraId="44E8E63D">
      <w:pPr>
        <w:rPr>
          <w:rFonts w:hint="default"/>
          <w:lang w:val="en-US" w:eastAsia="zh-CN"/>
        </w:rPr>
      </w:pPr>
    </w:p>
    <w:p w14:paraId="5A7211B3">
      <w:pPr>
        <w:rPr>
          <w:rFonts w:hint="default"/>
          <w:lang w:val="en-US" w:eastAsia="zh-CN"/>
        </w:rPr>
      </w:pPr>
    </w:p>
    <w:p w14:paraId="7CFD21F7">
      <w:pPr>
        <w:rPr>
          <w:rFonts w:hint="default"/>
          <w:lang w:val="en-US" w:eastAsia="zh-CN"/>
        </w:rPr>
      </w:pPr>
    </w:p>
    <w:p w14:paraId="18F397EF">
      <w:pPr>
        <w:rPr>
          <w:rFonts w:hint="default"/>
          <w:lang w:val="en-US" w:eastAsia="zh-CN"/>
        </w:rPr>
      </w:pPr>
    </w:p>
    <w:p w14:paraId="5EDD9DEE">
      <w:pPr>
        <w:rPr>
          <w:rFonts w:hint="default"/>
          <w:lang w:val="en-US" w:eastAsia="zh-CN"/>
        </w:rPr>
      </w:pP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04"/>
        <w:gridCol w:w="5146"/>
        <w:gridCol w:w="1972"/>
      </w:tblGrid>
      <w:tr w14:paraId="42459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972" w:type="dxa"/>
            <w:gridSpan w:val="3"/>
            <w:tcBorders>
              <w:top w:val="nil"/>
              <w:left w:val="nil"/>
              <w:bottom w:val="nil"/>
              <w:right w:val="nil"/>
            </w:tcBorders>
            <w:shd w:val="clear"/>
            <w:vAlign w:val="center"/>
          </w:tcPr>
          <w:p w14:paraId="3471F0A8">
            <w:pPr>
              <w:snapToGrid w:val="0"/>
              <w:ind w:left="0" w:leftChars="0" w:right="0" w:rightChars="0" w:firstLine="0" w:firstLineChars="0"/>
              <w:jc w:val="center"/>
              <w:rPr>
                <w:rFonts w:hint="default"/>
                <w:lang w:val="en-US" w:eastAsia="zh-CN"/>
              </w:rPr>
            </w:pPr>
            <w:r>
              <w:rPr>
                <w:rFonts w:hint="default"/>
                <w:lang w:val="en-US" w:eastAsia="zh-CN"/>
              </w:rPr>
              <w:t>上海市民健身驿站问卷数据全面统计表</w:t>
            </w:r>
          </w:p>
        </w:tc>
      </w:tr>
      <w:tr w14:paraId="4A866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404" w:type="dxa"/>
            <w:tcBorders>
              <w:top w:val="nil"/>
              <w:left w:val="nil"/>
              <w:bottom w:val="nil"/>
              <w:right w:val="nil"/>
            </w:tcBorders>
            <w:shd w:val="clear" w:color="auto" w:fill="FFFFFF"/>
            <w:vAlign w:val="center"/>
          </w:tcPr>
          <w:p w14:paraId="4FA26528">
            <w:pPr>
              <w:snapToGrid w:val="0"/>
              <w:ind w:left="0" w:leftChars="0" w:right="0" w:rightChars="0" w:firstLine="0" w:firstLineChars="0"/>
              <w:jc w:val="center"/>
              <w:rPr>
                <w:rFonts w:hint="default"/>
                <w:lang w:val="en-US" w:eastAsia="zh-CN"/>
              </w:rPr>
            </w:pPr>
            <w:r>
              <w:rPr>
                <w:rFonts w:hint="default"/>
                <w:lang w:val="en-US" w:eastAsia="zh-CN"/>
              </w:rPr>
              <w:t>区域</w:t>
            </w:r>
          </w:p>
        </w:tc>
        <w:tc>
          <w:tcPr>
            <w:tcW w:w="5146" w:type="dxa"/>
            <w:tcBorders>
              <w:top w:val="nil"/>
              <w:left w:val="nil"/>
              <w:bottom w:val="nil"/>
              <w:right w:val="nil"/>
            </w:tcBorders>
            <w:shd w:val="clear" w:color="auto" w:fill="FFFFFF"/>
            <w:vAlign w:val="center"/>
          </w:tcPr>
          <w:p w14:paraId="473DA12D">
            <w:pPr>
              <w:snapToGrid w:val="0"/>
              <w:ind w:left="0" w:leftChars="0" w:right="0" w:rightChars="0" w:firstLine="0" w:firstLineChars="0"/>
              <w:jc w:val="center"/>
              <w:rPr>
                <w:rFonts w:hint="default"/>
                <w:lang w:val="en-US" w:eastAsia="zh-CN"/>
              </w:rPr>
            </w:pPr>
            <w:r>
              <w:rPr>
                <w:rFonts w:hint="default"/>
                <w:lang w:val="en-US" w:eastAsia="zh-CN"/>
              </w:rPr>
              <w:t>健身驿站及其周边居民区(数据来源)</w:t>
            </w:r>
          </w:p>
        </w:tc>
        <w:tc>
          <w:tcPr>
            <w:tcW w:w="1972" w:type="dxa"/>
            <w:tcBorders>
              <w:top w:val="nil"/>
              <w:left w:val="nil"/>
              <w:bottom w:val="nil"/>
              <w:right w:val="nil"/>
            </w:tcBorders>
            <w:shd w:val="clear" w:color="auto" w:fill="FFFFFF"/>
            <w:vAlign w:val="center"/>
          </w:tcPr>
          <w:p w14:paraId="3F2BA789">
            <w:pPr>
              <w:snapToGrid w:val="0"/>
              <w:ind w:left="0" w:leftChars="0" w:right="0" w:rightChars="0" w:firstLine="0" w:firstLineChars="0"/>
              <w:jc w:val="center"/>
              <w:rPr>
                <w:rFonts w:hint="default"/>
                <w:lang w:val="en-US" w:eastAsia="zh-CN"/>
              </w:rPr>
            </w:pPr>
            <w:r>
              <w:rPr>
                <w:rFonts w:hint="default"/>
                <w:lang w:val="en-US" w:eastAsia="zh-CN"/>
              </w:rPr>
              <w:t>获取问卷数量</w:t>
            </w:r>
          </w:p>
        </w:tc>
      </w:tr>
      <w:tr w14:paraId="65BC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58304611">
            <w:pPr>
              <w:snapToGrid w:val="0"/>
              <w:ind w:left="0" w:leftChars="0" w:right="0" w:rightChars="0" w:firstLine="0" w:firstLineChars="0"/>
              <w:jc w:val="center"/>
              <w:rPr>
                <w:rFonts w:hint="default"/>
                <w:lang w:val="en-US" w:eastAsia="zh-CN"/>
              </w:rPr>
            </w:pPr>
            <w:r>
              <w:rPr>
                <w:rFonts w:hint="default"/>
                <w:lang w:val="en-US" w:eastAsia="zh-CN"/>
              </w:rPr>
              <w:t>嘉定区</w:t>
            </w:r>
          </w:p>
        </w:tc>
        <w:tc>
          <w:tcPr>
            <w:tcW w:w="5146" w:type="dxa"/>
            <w:tcBorders>
              <w:top w:val="nil"/>
              <w:left w:val="nil"/>
              <w:bottom w:val="nil"/>
              <w:right w:val="nil"/>
            </w:tcBorders>
            <w:shd w:val="clear" w:color="auto" w:fill="FFFFFF"/>
            <w:vAlign w:val="center"/>
          </w:tcPr>
          <w:p w14:paraId="4D4E5FAF">
            <w:pPr>
              <w:snapToGrid w:val="0"/>
              <w:ind w:left="0" w:leftChars="0" w:right="0" w:rightChars="0" w:firstLine="0" w:firstLineChars="0"/>
              <w:jc w:val="center"/>
              <w:rPr>
                <w:rFonts w:hint="default"/>
                <w:lang w:val="en-US" w:eastAsia="zh-CN"/>
              </w:rPr>
            </w:pPr>
            <w:r>
              <w:rPr>
                <w:rFonts w:hint="default"/>
                <w:lang w:val="en-US" w:eastAsia="zh-CN"/>
              </w:rPr>
              <w:t>云翔大居市民健身驿站 (线下)</w:t>
            </w:r>
          </w:p>
        </w:tc>
        <w:tc>
          <w:tcPr>
            <w:tcW w:w="1972" w:type="dxa"/>
            <w:tcBorders>
              <w:top w:val="nil"/>
              <w:left w:val="nil"/>
              <w:bottom w:val="nil"/>
              <w:right w:val="nil"/>
            </w:tcBorders>
            <w:shd w:val="clear" w:color="auto" w:fill="FFFFFF"/>
            <w:vAlign w:val="center"/>
          </w:tcPr>
          <w:p w14:paraId="30FFDAD7">
            <w:pPr>
              <w:snapToGrid w:val="0"/>
              <w:ind w:left="0" w:leftChars="0" w:right="0" w:rightChars="0" w:firstLine="0" w:firstLineChars="0"/>
              <w:jc w:val="left"/>
              <w:rPr>
                <w:rFonts w:hint="default"/>
                <w:lang w:val="en-US" w:eastAsia="zh-CN"/>
              </w:rPr>
            </w:pPr>
            <w:r>
              <w:rPr>
                <w:rFonts w:hint="default"/>
                <w:lang w:val="en-US" w:eastAsia="zh-CN"/>
              </w:rPr>
              <w:t>52</w:t>
            </w:r>
          </w:p>
        </w:tc>
      </w:tr>
      <w:tr w14:paraId="231F2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1EB63C38">
            <w:pPr>
              <w:snapToGrid w:val="0"/>
              <w:ind w:left="0" w:leftChars="0" w:right="0" w:rightChars="0" w:firstLine="0" w:firstLineChars="0"/>
              <w:jc w:val="center"/>
              <w:rPr>
                <w:rFonts w:hint="default"/>
                <w:lang w:val="en-US" w:eastAsia="zh-CN"/>
              </w:rPr>
            </w:pPr>
            <w:r>
              <w:rPr>
                <w:rFonts w:hint="default"/>
                <w:lang w:val="en-US" w:eastAsia="zh-CN"/>
              </w:rPr>
              <w:t>嘉定区</w:t>
            </w:r>
          </w:p>
        </w:tc>
        <w:tc>
          <w:tcPr>
            <w:tcW w:w="5146" w:type="dxa"/>
            <w:tcBorders>
              <w:top w:val="nil"/>
              <w:left w:val="nil"/>
              <w:bottom w:val="nil"/>
              <w:right w:val="nil"/>
            </w:tcBorders>
            <w:shd w:val="clear" w:color="auto" w:fill="FFFFFF"/>
            <w:vAlign w:val="center"/>
          </w:tcPr>
          <w:p w14:paraId="361EBD9A">
            <w:pPr>
              <w:snapToGrid w:val="0"/>
              <w:ind w:left="0" w:leftChars="0" w:right="0" w:rightChars="0" w:firstLine="0" w:firstLineChars="0"/>
              <w:jc w:val="center"/>
              <w:rPr>
                <w:rFonts w:hint="default"/>
                <w:lang w:val="en-US" w:eastAsia="zh-CN"/>
              </w:rPr>
            </w:pPr>
            <w:r>
              <w:rPr>
                <w:rFonts w:hint="default"/>
                <w:lang w:val="en-US" w:eastAsia="zh-CN"/>
              </w:rPr>
              <w:t>“我嘉·邻里中心”市民健身驿站 (线下)</w:t>
            </w:r>
          </w:p>
        </w:tc>
        <w:tc>
          <w:tcPr>
            <w:tcW w:w="1972" w:type="dxa"/>
            <w:tcBorders>
              <w:top w:val="nil"/>
              <w:left w:val="nil"/>
              <w:bottom w:val="nil"/>
              <w:right w:val="nil"/>
            </w:tcBorders>
            <w:shd w:val="clear" w:color="auto" w:fill="FFFFFF"/>
            <w:vAlign w:val="center"/>
          </w:tcPr>
          <w:p w14:paraId="1E815934">
            <w:pPr>
              <w:snapToGrid w:val="0"/>
              <w:ind w:left="0" w:leftChars="0" w:right="0" w:rightChars="0" w:firstLine="0" w:firstLineChars="0"/>
              <w:jc w:val="left"/>
              <w:rPr>
                <w:rFonts w:hint="default"/>
                <w:lang w:val="en-US" w:eastAsia="zh-CN"/>
              </w:rPr>
            </w:pPr>
            <w:r>
              <w:rPr>
                <w:rFonts w:hint="default"/>
                <w:lang w:val="en-US" w:eastAsia="zh-CN"/>
              </w:rPr>
              <w:t>48</w:t>
            </w:r>
          </w:p>
        </w:tc>
      </w:tr>
      <w:tr w14:paraId="44AD5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2D0FE74D">
            <w:pPr>
              <w:snapToGrid w:val="0"/>
              <w:ind w:left="0" w:leftChars="0" w:right="0" w:rightChars="0" w:firstLine="0" w:firstLineChars="0"/>
              <w:jc w:val="center"/>
              <w:rPr>
                <w:rFonts w:hint="default"/>
                <w:lang w:val="en-US" w:eastAsia="zh-CN"/>
              </w:rPr>
            </w:pPr>
            <w:r>
              <w:rPr>
                <w:rFonts w:hint="default"/>
                <w:lang w:val="en-US" w:eastAsia="zh-CN"/>
              </w:rPr>
              <w:t>嘉定区</w:t>
            </w:r>
          </w:p>
        </w:tc>
        <w:tc>
          <w:tcPr>
            <w:tcW w:w="5146" w:type="dxa"/>
            <w:tcBorders>
              <w:top w:val="nil"/>
              <w:left w:val="nil"/>
              <w:bottom w:val="nil"/>
              <w:right w:val="nil"/>
            </w:tcBorders>
            <w:shd w:val="clear" w:color="auto" w:fill="FFFFFF"/>
            <w:vAlign w:val="center"/>
          </w:tcPr>
          <w:p w14:paraId="4D74EAB6">
            <w:pPr>
              <w:snapToGrid w:val="0"/>
              <w:ind w:left="0" w:leftChars="0" w:right="0" w:rightChars="0" w:firstLine="0" w:firstLineChars="0"/>
              <w:jc w:val="center"/>
              <w:rPr>
                <w:rFonts w:hint="default"/>
                <w:lang w:val="en-US" w:eastAsia="zh-CN"/>
              </w:rPr>
            </w:pPr>
            <w:r>
              <w:rPr>
                <w:rFonts w:hint="default"/>
                <w:lang w:val="en-US" w:eastAsia="zh-CN"/>
              </w:rPr>
              <w:t>黄波我嘉·邻里中心市民健身驿站 (线下)</w:t>
            </w:r>
          </w:p>
        </w:tc>
        <w:tc>
          <w:tcPr>
            <w:tcW w:w="1972" w:type="dxa"/>
            <w:tcBorders>
              <w:top w:val="nil"/>
              <w:left w:val="nil"/>
              <w:bottom w:val="nil"/>
              <w:right w:val="nil"/>
            </w:tcBorders>
            <w:shd w:val="clear" w:color="auto" w:fill="FFFFFF"/>
            <w:vAlign w:val="center"/>
          </w:tcPr>
          <w:p w14:paraId="66F6C40C">
            <w:pPr>
              <w:snapToGrid w:val="0"/>
              <w:ind w:left="0" w:leftChars="0" w:right="0" w:rightChars="0" w:firstLine="0" w:firstLineChars="0"/>
              <w:jc w:val="left"/>
              <w:rPr>
                <w:rFonts w:hint="default"/>
                <w:lang w:val="en-US" w:eastAsia="zh-CN"/>
              </w:rPr>
            </w:pPr>
            <w:r>
              <w:rPr>
                <w:rFonts w:hint="default"/>
                <w:lang w:val="en-US" w:eastAsia="zh-CN"/>
              </w:rPr>
              <w:t>45</w:t>
            </w:r>
          </w:p>
        </w:tc>
      </w:tr>
      <w:tr w14:paraId="6AD9F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409496C7">
            <w:pPr>
              <w:snapToGrid w:val="0"/>
              <w:ind w:left="0" w:leftChars="0" w:right="0" w:rightChars="0" w:firstLine="0" w:firstLineChars="0"/>
              <w:jc w:val="center"/>
              <w:rPr>
                <w:rFonts w:hint="default"/>
                <w:lang w:val="en-US" w:eastAsia="zh-CN"/>
              </w:rPr>
            </w:pPr>
            <w:r>
              <w:rPr>
                <w:rFonts w:hint="default"/>
                <w:lang w:val="en-US" w:eastAsia="zh-CN"/>
              </w:rPr>
              <w:t>杨浦区</w:t>
            </w:r>
          </w:p>
        </w:tc>
        <w:tc>
          <w:tcPr>
            <w:tcW w:w="5146" w:type="dxa"/>
            <w:tcBorders>
              <w:top w:val="nil"/>
              <w:left w:val="nil"/>
              <w:bottom w:val="nil"/>
              <w:right w:val="nil"/>
            </w:tcBorders>
            <w:shd w:val="clear" w:color="auto" w:fill="FFFFFF"/>
            <w:vAlign w:val="center"/>
          </w:tcPr>
          <w:p w14:paraId="3BD815B3">
            <w:pPr>
              <w:snapToGrid w:val="0"/>
              <w:ind w:left="0" w:leftChars="0" w:right="0" w:rightChars="0" w:firstLine="0" w:firstLineChars="0"/>
              <w:jc w:val="center"/>
              <w:rPr>
                <w:rFonts w:hint="default"/>
                <w:lang w:val="en-US" w:eastAsia="zh-CN"/>
              </w:rPr>
            </w:pPr>
            <w:r>
              <w:rPr>
                <w:rFonts w:hint="default"/>
                <w:lang w:val="en-US" w:eastAsia="zh-CN"/>
              </w:rPr>
              <w:t>长白新村街道市民健身驿站 (线下)</w:t>
            </w:r>
          </w:p>
        </w:tc>
        <w:tc>
          <w:tcPr>
            <w:tcW w:w="1972" w:type="dxa"/>
            <w:tcBorders>
              <w:top w:val="nil"/>
              <w:left w:val="nil"/>
              <w:bottom w:val="nil"/>
              <w:right w:val="nil"/>
            </w:tcBorders>
            <w:shd w:val="clear" w:color="auto" w:fill="FFFFFF"/>
            <w:vAlign w:val="center"/>
          </w:tcPr>
          <w:p w14:paraId="5DD54287">
            <w:pPr>
              <w:snapToGrid w:val="0"/>
              <w:ind w:left="0" w:leftChars="0" w:right="0" w:rightChars="0" w:firstLine="0" w:firstLineChars="0"/>
              <w:jc w:val="left"/>
              <w:rPr>
                <w:rFonts w:hint="default"/>
                <w:lang w:val="en-US" w:eastAsia="zh-CN"/>
              </w:rPr>
            </w:pPr>
            <w:r>
              <w:rPr>
                <w:rFonts w:hint="default"/>
                <w:lang w:val="en-US" w:eastAsia="zh-CN"/>
              </w:rPr>
              <w:t>50</w:t>
            </w:r>
          </w:p>
        </w:tc>
      </w:tr>
      <w:tr w14:paraId="6D1E8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501DE6CE">
            <w:pPr>
              <w:snapToGrid w:val="0"/>
              <w:ind w:left="0" w:leftChars="0" w:right="0" w:rightChars="0" w:firstLine="0" w:firstLineChars="0"/>
              <w:jc w:val="center"/>
              <w:rPr>
                <w:rFonts w:hint="default"/>
                <w:lang w:val="en-US" w:eastAsia="zh-CN"/>
              </w:rPr>
            </w:pPr>
            <w:r>
              <w:rPr>
                <w:rFonts w:hint="default"/>
                <w:lang w:val="en-US" w:eastAsia="zh-CN"/>
              </w:rPr>
              <w:t>杨浦区</w:t>
            </w:r>
          </w:p>
        </w:tc>
        <w:tc>
          <w:tcPr>
            <w:tcW w:w="5146" w:type="dxa"/>
            <w:tcBorders>
              <w:top w:val="nil"/>
              <w:left w:val="nil"/>
              <w:bottom w:val="nil"/>
              <w:right w:val="nil"/>
            </w:tcBorders>
            <w:shd w:val="clear" w:color="auto" w:fill="FFFFFF"/>
            <w:vAlign w:val="center"/>
          </w:tcPr>
          <w:p w14:paraId="772F2D7A">
            <w:pPr>
              <w:snapToGrid w:val="0"/>
              <w:ind w:left="0" w:leftChars="0" w:right="0" w:rightChars="0" w:firstLine="0" w:firstLineChars="0"/>
              <w:jc w:val="center"/>
              <w:rPr>
                <w:rFonts w:hint="default"/>
                <w:lang w:val="en-US" w:eastAsia="zh-CN"/>
              </w:rPr>
            </w:pPr>
            <w:r>
              <w:rPr>
                <w:rFonts w:hint="default"/>
                <w:lang w:val="en-US" w:eastAsia="zh-CN"/>
              </w:rPr>
              <w:t>殷行市民健康党群服务站 (线下)</w:t>
            </w:r>
          </w:p>
        </w:tc>
        <w:tc>
          <w:tcPr>
            <w:tcW w:w="1972" w:type="dxa"/>
            <w:tcBorders>
              <w:top w:val="nil"/>
              <w:left w:val="nil"/>
              <w:bottom w:val="nil"/>
              <w:right w:val="nil"/>
            </w:tcBorders>
            <w:shd w:val="clear" w:color="auto" w:fill="FFFFFF"/>
            <w:vAlign w:val="center"/>
          </w:tcPr>
          <w:p w14:paraId="15488059">
            <w:pPr>
              <w:snapToGrid w:val="0"/>
              <w:ind w:left="0" w:leftChars="0" w:right="0" w:rightChars="0" w:firstLine="0" w:firstLineChars="0"/>
              <w:jc w:val="left"/>
              <w:rPr>
                <w:rFonts w:hint="default"/>
                <w:lang w:val="en-US" w:eastAsia="zh-CN"/>
              </w:rPr>
            </w:pPr>
            <w:r>
              <w:rPr>
                <w:rFonts w:hint="default"/>
                <w:lang w:val="en-US" w:eastAsia="zh-CN"/>
              </w:rPr>
              <w:t>48</w:t>
            </w:r>
          </w:p>
        </w:tc>
      </w:tr>
      <w:tr w14:paraId="14ABB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22FC74F3">
            <w:pPr>
              <w:snapToGrid w:val="0"/>
              <w:ind w:left="0" w:leftChars="0" w:right="0" w:rightChars="0" w:firstLine="0" w:firstLineChars="0"/>
              <w:jc w:val="center"/>
              <w:rPr>
                <w:rFonts w:hint="default"/>
                <w:lang w:val="en-US" w:eastAsia="zh-CN"/>
              </w:rPr>
            </w:pPr>
            <w:r>
              <w:rPr>
                <w:rFonts w:hint="default"/>
                <w:lang w:val="en-US" w:eastAsia="zh-CN"/>
              </w:rPr>
              <w:t>杨浦区</w:t>
            </w:r>
          </w:p>
        </w:tc>
        <w:tc>
          <w:tcPr>
            <w:tcW w:w="5146" w:type="dxa"/>
            <w:tcBorders>
              <w:top w:val="nil"/>
              <w:left w:val="nil"/>
              <w:bottom w:val="nil"/>
              <w:right w:val="nil"/>
            </w:tcBorders>
            <w:shd w:val="clear" w:color="auto" w:fill="FFFFFF"/>
            <w:vAlign w:val="center"/>
          </w:tcPr>
          <w:p w14:paraId="4131F4D9">
            <w:pPr>
              <w:snapToGrid w:val="0"/>
              <w:ind w:left="0" w:leftChars="0" w:right="0" w:rightChars="0" w:firstLine="0" w:firstLineChars="0"/>
              <w:jc w:val="center"/>
              <w:rPr>
                <w:rFonts w:hint="default"/>
                <w:lang w:val="en-US" w:eastAsia="zh-CN"/>
              </w:rPr>
            </w:pPr>
            <w:r>
              <w:rPr>
                <w:rFonts w:hint="default"/>
                <w:lang w:val="en-US" w:eastAsia="zh-CN"/>
              </w:rPr>
              <w:t>延吉阳光康健驿站 (线下)</w:t>
            </w:r>
          </w:p>
        </w:tc>
        <w:tc>
          <w:tcPr>
            <w:tcW w:w="1972" w:type="dxa"/>
            <w:tcBorders>
              <w:top w:val="nil"/>
              <w:left w:val="nil"/>
              <w:bottom w:val="nil"/>
              <w:right w:val="nil"/>
            </w:tcBorders>
            <w:shd w:val="clear" w:color="auto" w:fill="FFFFFF"/>
            <w:vAlign w:val="center"/>
          </w:tcPr>
          <w:p w14:paraId="220E0246">
            <w:pPr>
              <w:snapToGrid w:val="0"/>
              <w:ind w:left="0" w:leftChars="0" w:right="0" w:rightChars="0" w:firstLine="0" w:firstLineChars="0"/>
              <w:jc w:val="left"/>
              <w:rPr>
                <w:rFonts w:hint="default"/>
                <w:lang w:val="en-US" w:eastAsia="zh-CN"/>
              </w:rPr>
            </w:pPr>
            <w:r>
              <w:rPr>
                <w:rFonts w:hint="default"/>
                <w:lang w:val="en-US" w:eastAsia="zh-CN"/>
              </w:rPr>
              <w:t>43</w:t>
            </w:r>
          </w:p>
        </w:tc>
      </w:tr>
      <w:tr w14:paraId="406BA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2B133001">
            <w:pPr>
              <w:snapToGrid w:val="0"/>
              <w:ind w:left="0" w:leftChars="0" w:right="0" w:rightChars="0" w:firstLine="0" w:firstLineChars="0"/>
              <w:jc w:val="center"/>
              <w:rPr>
                <w:rFonts w:hint="default"/>
                <w:lang w:val="en-US" w:eastAsia="zh-CN"/>
              </w:rPr>
            </w:pPr>
            <w:r>
              <w:rPr>
                <w:rFonts w:hint="default"/>
                <w:lang w:val="en-US" w:eastAsia="zh-CN"/>
              </w:rPr>
              <w:t>闵行区</w:t>
            </w:r>
          </w:p>
        </w:tc>
        <w:tc>
          <w:tcPr>
            <w:tcW w:w="5146" w:type="dxa"/>
            <w:tcBorders>
              <w:top w:val="nil"/>
              <w:left w:val="nil"/>
              <w:bottom w:val="nil"/>
              <w:right w:val="nil"/>
            </w:tcBorders>
            <w:shd w:val="clear" w:color="auto" w:fill="FFFFFF"/>
            <w:vAlign w:val="center"/>
          </w:tcPr>
          <w:p w14:paraId="7D42043B">
            <w:pPr>
              <w:snapToGrid w:val="0"/>
              <w:ind w:left="0" w:leftChars="0" w:right="0" w:rightChars="0" w:firstLine="0" w:firstLineChars="0"/>
              <w:jc w:val="center"/>
              <w:rPr>
                <w:rFonts w:hint="default"/>
                <w:lang w:val="en-US" w:eastAsia="zh-CN"/>
              </w:rPr>
            </w:pPr>
            <w:r>
              <w:rPr>
                <w:rFonts w:hint="default"/>
                <w:lang w:val="en-US" w:eastAsia="zh-CN"/>
              </w:rPr>
              <w:t>梅陇镇文体中心市民健身驿站 (线下)</w:t>
            </w:r>
          </w:p>
        </w:tc>
        <w:tc>
          <w:tcPr>
            <w:tcW w:w="1972" w:type="dxa"/>
            <w:tcBorders>
              <w:top w:val="nil"/>
              <w:left w:val="nil"/>
              <w:bottom w:val="nil"/>
              <w:right w:val="nil"/>
            </w:tcBorders>
            <w:shd w:val="clear" w:color="auto" w:fill="FFFFFF"/>
            <w:vAlign w:val="center"/>
          </w:tcPr>
          <w:p w14:paraId="0820EC28">
            <w:pPr>
              <w:snapToGrid w:val="0"/>
              <w:ind w:left="0" w:leftChars="0" w:right="0" w:rightChars="0" w:firstLine="0" w:firstLineChars="0"/>
              <w:jc w:val="left"/>
              <w:rPr>
                <w:rFonts w:hint="default"/>
                <w:lang w:val="en-US" w:eastAsia="zh-CN"/>
              </w:rPr>
            </w:pPr>
            <w:r>
              <w:rPr>
                <w:rFonts w:hint="default"/>
                <w:lang w:val="en-US" w:eastAsia="zh-CN"/>
              </w:rPr>
              <w:t>23</w:t>
            </w:r>
          </w:p>
        </w:tc>
      </w:tr>
      <w:tr w14:paraId="38713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56E56B23">
            <w:pPr>
              <w:snapToGrid w:val="0"/>
              <w:ind w:left="0" w:leftChars="0" w:right="0" w:rightChars="0" w:firstLine="0" w:firstLineChars="0"/>
              <w:jc w:val="center"/>
              <w:rPr>
                <w:rFonts w:hint="default"/>
                <w:lang w:val="en-US" w:eastAsia="zh-CN"/>
              </w:rPr>
            </w:pPr>
            <w:r>
              <w:rPr>
                <w:rFonts w:hint="default"/>
                <w:lang w:val="en-US" w:eastAsia="zh-CN"/>
              </w:rPr>
              <w:t>闵行区</w:t>
            </w:r>
          </w:p>
        </w:tc>
        <w:tc>
          <w:tcPr>
            <w:tcW w:w="5146" w:type="dxa"/>
            <w:tcBorders>
              <w:top w:val="nil"/>
              <w:left w:val="nil"/>
              <w:bottom w:val="nil"/>
              <w:right w:val="nil"/>
            </w:tcBorders>
            <w:shd w:val="clear" w:color="auto" w:fill="FFFFFF"/>
            <w:vAlign w:val="center"/>
          </w:tcPr>
          <w:p w14:paraId="71845011">
            <w:pPr>
              <w:snapToGrid w:val="0"/>
              <w:ind w:left="0" w:leftChars="0" w:right="0" w:rightChars="0" w:firstLine="0" w:firstLineChars="0"/>
              <w:jc w:val="center"/>
              <w:rPr>
                <w:rFonts w:hint="default"/>
                <w:lang w:val="en-US" w:eastAsia="zh-CN"/>
              </w:rPr>
            </w:pPr>
            <w:r>
              <w:rPr>
                <w:rFonts w:hint="default"/>
                <w:lang w:val="en-US" w:eastAsia="zh-CN"/>
              </w:rPr>
              <w:t>莘庄山花市民健身驿站 (线下)</w:t>
            </w:r>
          </w:p>
        </w:tc>
        <w:tc>
          <w:tcPr>
            <w:tcW w:w="1972" w:type="dxa"/>
            <w:tcBorders>
              <w:top w:val="nil"/>
              <w:left w:val="nil"/>
              <w:bottom w:val="nil"/>
              <w:right w:val="nil"/>
            </w:tcBorders>
            <w:shd w:val="clear" w:color="auto" w:fill="FFFFFF"/>
            <w:vAlign w:val="center"/>
          </w:tcPr>
          <w:p w14:paraId="5A2FE2AE">
            <w:pPr>
              <w:snapToGrid w:val="0"/>
              <w:ind w:left="0" w:leftChars="0" w:right="0" w:rightChars="0" w:firstLine="0" w:firstLineChars="0"/>
              <w:jc w:val="left"/>
              <w:rPr>
                <w:rFonts w:hint="default"/>
                <w:lang w:val="en-US" w:eastAsia="zh-CN"/>
              </w:rPr>
            </w:pPr>
            <w:r>
              <w:rPr>
                <w:rFonts w:hint="default"/>
                <w:lang w:val="en-US" w:eastAsia="zh-CN"/>
              </w:rPr>
              <w:t>23</w:t>
            </w:r>
          </w:p>
        </w:tc>
      </w:tr>
      <w:tr w14:paraId="29222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6B2481F0">
            <w:pPr>
              <w:snapToGrid w:val="0"/>
              <w:ind w:left="0" w:leftChars="0" w:right="0" w:rightChars="0" w:firstLine="0" w:firstLineChars="0"/>
              <w:jc w:val="center"/>
              <w:rPr>
                <w:rFonts w:hint="default"/>
                <w:lang w:val="en-US" w:eastAsia="zh-CN"/>
              </w:rPr>
            </w:pPr>
            <w:r>
              <w:rPr>
                <w:rFonts w:hint="default"/>
                <w:lang w:val="en-US" w:eastAsia="zh-CN"/>
              </w:rPr>
              <w:t>金山区</w:t>
            </w:r>
          </w:p>
        </w:tc>
        <w:tc>
          <w:tcPr>
            <w:tcW w:w="5146" w:type="dxa"/>
            <w:tcBorders>
              <w:top w:val="nil"/>
              <w:left w:val="nil"/>
              <w:bottom w:val="nil"/>
              <w:right w:val="nil"/>
            </w:tcBorders>
            <w:shd w:val="clear" w:color="auto" w:fill="FFFFFF"/>
            <w:vAlign w:val="center"/>
          </w:tcPr>
          <w:p w14:paraId="27201D0F">
            <w:pPr>
              <w:snapToGrid w:val="0"/>
              <w:ind w:left="0" w:leftChars="0" w:right="0" w:rightChars="0" w:firstLine="0" w:firstLineChars="0"/>
              <w:jc w:val="center"/>
              <w:rPr>
                <w:rFonts w:hint="default"/>
                <w:lang w:val="en-US" w:eastAsia="zh-CN"/>
              </w:rPr>
            </w:pPr>
            <w:r>
              <w:rPr>
                <w:rFonts w:hint="default"/>
                <w:lang w:val="en-US" w:eastAsia="zh-CN"/>
              </w:rPr>
              <w:t>石化街道市民健身驿站 (线下)</w:t>
            </w:r>
          </w:p>
        </w:tc>
        <w:tc>
          <w:tcPr>
            <w:tcW w:w="1972" w:type="dxa"/>
            <w:tcBorders>
              <w:top w:val="nil"/>
              <w:left w:val="nil"/>
              <w:bottom w:val="nil"/>
              <w:right w:val="nil"/>
            </w:tcBorders>
            <w:shd w:val="clear" w:color="auto" w:fill="FFFFFF"/>
            <w:vAlign w:val="center"/>
          </w:tcPr>
          <w:p w14:paraId="36A26A25">
            <w:pPr>
              <w:snapToGrid w:val="0"/>
              <w:ind w:left="0" w:leftChars="0" w:right="0" w:rightChars="0" w:firstLine="0" w:firstLineChars="0"/>
              <w:jc w:val="left"/>
              <w:rPr>
                <w:rFonts w:hint="default"/>
                <w:lang w:val="en-US" w:eastAsia="zh-CN"/>
              </w:rPr>
            </w:pPr>
            <w:r>
              <w:rPr>
                <w:rFonts w:hint="default"/>
                <w:lang w:val="en-US" w:eastAsia="zh-CN"/>
              </w:rPr>
              <w:t>15</w:t>
            </w:r>
          </w:p>
        </w:tc>
      </w:tr>
      <w:tr w14:paraId="1E328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38CF06B7">
            <w:pPr>
              <w:snapToGrid w:val="0"/>
              <w:ind w:left="0" w:leftChars="0" w:right="0" w:rightChars="0" w:firstLine="0" w:firstLineChars="0"/>
              <w:jc w:val="center"/>
              <w:rPr>
                <w:rFonts w:hint="default"/>
                <w:lang w:val="en-US" w:eastAsia="zh-CN"/>
              </w:rPr>
            </w:pPr>
            <w:r>
              <w:rPr>
                <w:rFonts w:hint="default"/>
                <w:lang w:val="en-US" w:eastAsia="zh-CN"/>
              </w:rPr>
              <w:t>金山区</w:t>
            </w:r>
          </w:p>
        </w:tc>
        <w:tc>
          <w:tcPr>
            <w:tcW w:w="5146" w:type="dxa"/>
            <w:tcBorders>
              <w:top w:val="nil"/>
              <w:left w:val="nil"/>
              <w:bottom w:val="nil"/>
              <w:right w:val="nil"/>
            </w:tcBorders>
            <w:shd w:val="clear" w:color="auto" w:fill="FFFFFF"/>
            <w:vAlign w:val="center"/>
          </w:tcPr>
          <w:p w14:paraId="3330A2A8">
            <w:pPr>
              <w:snapToGrid w:val="0"/>
              <w:ind w:left="0" w:leftChars="0" w:right="0" w:rightChars="0" w:firstLine="0" w:firstLineChars="0"/>
              <w:jc w:val="center"/>
              <w:rPr>
                <w:rFonts w:hint="default"/>
                <w:lang w:val="en-US" w:eastAsia="zh-CN"/>
              </w:rPr>
            </w:pPr>
            <w:r>
              <w:rPr>
                <w:rFonts w:hint="default"/>
                <w:lang w:val="en-US" w:eastAsia="zh-CN"/>
              </w:rPr>
              <w:t>亭林镇市民健身驿站 (线下)</w:t>
            </w:r>
          </w:p>
        </w:tc>
        <w:tc>
          <w:tcPr>
            <w:tcW w:w="1972" w:type="dxa"/>
            <w:tcBorders>
              <w:top w:val="nil"/>
              <w:left w:val="nil"/>
              <w:bottom w:val="nil"/>
              <w:right w:val="nil"/>
            </w:tcBorders>
            <w:shd w:val="clear" w:color="auto" w:fill="FFFFFF"/>
            <w:vAlign w:val="center"/>
          </w:tcPr>
          <w:p w14:paraId="36935EDC">
            <w:pPr>
              <w:snapToGrid w:val="0"/>
              <w:ind w:left="0" w:leftChars="0" w:right="0" w:rightChars="0" w:firstLine="0" w:firstLineChars="0"/>
              <w:jc w:val="left"/>
              <w:rPr>
                <w:rFonts w:hint="default"/>
                <w:lang w:val="en-US" w:eastAsia="zh-CN"/>
              </w:rPr>
            </w:pPr>
            <w:r>
              <w:rPr>
                <w:rFonts w:hint="default"/>
                <w:lang w:val="en-US" w:eastAsia="zh-CN"/>
              </w:rPr>
              <w:t>13</w:t>
            </w:r>
          </w:p>
        </w:tc>
      </w:tr>
      <w:tr w14:paraId="4BB96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04BFC6A2">
            <w:pPr>
              <w:snapToGrid w:val="0"/>
              <w:ind w:left="0" w:leftChars="0" w:right="0" w:rightChars="0" w:firstLine="0" w:firstLineChars="0"/>
              <w:jc w:val="center"/>
              <w:rPr>
                <w:rFonts w:hint="default"/>
                <w:lang w:val="en-US" w:eastAsia="zh-CN"/>
              </w:rPr>
            </w:pPr>
            <w:r>
              <w:rPr>
                <w:rFonts w:hint="default"/>
                <w:lang w:val="en-US" w:eastAsia="zh-CN"/>
              </w:rPr>
              <w:t>普陀区</w:t>
            </w:r>
          </w:p>
        </w:tc>
        <w:tc>
          <w:tcPr>
            <w:tcW w:w="5146" w:type="dxa"/>
            <w:tcBorders>
              <w:top w:val="nil"/>
              <w:left w:val="nil"/>
              <w:bottom w:val="nil"/>
              <w:right w:val="nil"/>
            </w:tcBorders>
            <w:shd w:val="clear" w:color="auto" w:fill="FFFFFF"/>
            <w:vAlign w:val="center"/>
          </w:tcPr>
          <w:p w14:paraId="42CCE8EF">
            <w:pPr>
              <w:snapToGrid w:val="0"/>
              <w:ind w:left="0" w:leftChars="0" w:right="0" w:rightChars="0" w:firstLine="0" w:firstLineChars="0"/>
              <w:jc w:val="center"/>
              <w:rPr>
                <w:rFonts w:hint="default"/>
                <w:lang w:val="en-US" w:eastAsia="zh-CN"/>
              </w:rPr>
            </w:pPr>
            <w:r>
              <w:rPr>
                <w:rFonts w:hint="default"/>
                <w:lang w:val="en-US" w:eastAsia="zh-CN"/>
              </w:rPr>
              <w:t>真如街道市民健身驿站 (线下)</w:t>
            </w:r>
          </w:p>
        </w:tc>
        <w:tc>
          <w:tcPr>
            <w:tcW w:w="1972" w:type="dxa"/>
            <w:tcBorders>
              <w:top w:val="nil"/>
              <w:left w:val="nil"/>
              <w:bottom w:val="nil"/>
              <w:right w:val="nil"/>
            </w:tcBorders>
            <w:shd w:val="clear" w:color="auto" w:fill="FFFFFF"/>
            <w:vAlign w:val="center"/>
          </w:tcPr>
          <w:p w14:paraId="1549D1E8">
            <w:pPr>
              <w:snapToGrid w:val="0"/>
              <w:ind w:left="0" w:leftChars="0" w:right="0" w:rightChars="0" w:firstLine="0" w:firstLineChars="0"/>
              <w:jc w:val="left"/>
              <w:rPr>
                <w:rFonts w:hint="default"/>
                <w:lang w:val="en-US" w:eastAsia="zh-CN"/>
              </w:rPr>
            </w:pPr>
            <w:r>
              <w:rPr>
                <w:rFonts w:hint="default"/>
                <w:lang w:val="en-US" w:eastAsia="zh-CN"/>
              </w:rPr>
              <w:t>16</w:t>
            </w:r>
          </w:p>
        </w:tc>
      </w:tr>
      <w:tr w14:paraId="681F1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4F548C9E">
            <w:pPr>
              <w:snapToGrid w:val="0"/>
              <w:ind w:left="0" w:leftChars="0" w:right="0" w:rightChars="0" w:firstLine="0" w:firstLineChars="0"/>
              <w:jc w:val="center"/>
              <w:rPr>
                <w:rFonts w:hint="default"/>
                <w:lang w:val="en-US" w:eastAsia="zh-CN"/>
              </w:rPr>
            </w:pPr>
            <w:r>
              <w:rPr>
                <w:rFonts w:hint="default"/>
                <w:lang w:val="en-US" w:eastAsia="zh-CN"/>
              </w:rPr>
              <w:t>普陀区</w:t>
            </w:r>
          </w:p>
        </w:tc>
        <w:tc>
          <w:tcPr>
            <w:tcW w:w="5146" w:type="dxa"/>
            <w:tcBorders>
              <w:top w:val="nil"/>
              <w:left w:val="nil"/>
              <w:bottom w:val="nil"/>
              <w:right w:val="nil"/>
            </w:tcBorders>
            <w:shd w:val="clear" w:color="auto" w:fill="FFFFFF"/>
            <w:vAlign w:val="center"/>
          </w:tcPr>
          <w:p w14:paraId="4A553466">
            <w:pPr>
              <w:snapToGrid w:val="0"/>
              <w:ind w:left="0" w:leftChars="0" w:right="0" w:rightChars="0" w:firstLine="0" w:firstLineChars="0"/>
              <w:jc w:val="center"/>
              <w:rPr>
                <w:rFonts w:hint="default"/>
                <w:lang w:val="en-US" w:eastAsia="zh-CN"/>
              </w:rPr>
            </w:pPr>
            <w:r>
              <w:rPr>
                <w:rFonts w:hint="default"/>
                <w:lang w:val="en-US" w:eastAsia="zh-CN"/>
              </w:rPr>
              <w:t>石泉路街道市民健身驿站 (线下)</w:t>
            </w:r>
          </w:p>
        </w:tc>
        <w:tc>
          <w:tcPr>
            <w:tcW w:w="1972" w:type="dxa"/>
            <w:tcBorders>
              <w:top w:val="nil"/>
              <w:left w:val="nil"/>
              <w:bottom w:val="nil"/>
              <w:right w:val="nil"/>
            </w:tcBorders>
            <w:shd w:val="clear" w:color="auto" w:fill="FFFFFF"/>
            <w:vAlign w:val="center"/>
          </w:tcPr>
          <w:p w14:paraId="510508DD">
            <w:pPr>
              <w:snapToGrid w:val="0"/>
              <w:ind w:left="0" w:leftChars="0" w:right="0" w:rightChars="0" w:firstLine="0" w:firstLineChars="0"/>
              <w:jc w:val="left"/>
              <w:rPr>
                <w:rFonts w:hint="default"/>
                <w:lang w:val="en-US" w:eastAsia="zh-CN"/>
              </w:rPr>
            </w:pPr>
            <w:r>
              <w:rPr>
                <w:rFonts w:hint="default"/>
                <w:lang w:val="en-US" w:eastAsia="zh-CN"/>
              </w:rPr>
              <w:t>15</w:t>
            </w:r>
          </w:p>
        </w:tc>
      </w:tr>
      <w:tr w14:paraId="2D24A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49EFB768">
            <w:pPr>
              <w:snapToGrid w:val="0"/>
              <w:ind w:left="0" w:leftChars="0" w:right="0" w:rightChars="0" w:firstLine="0" w:firstLineChars="0"/>
              <w:jc w:val="center"/>
              <w:rPr>
                <w:rFonts w:hint="default"/>
                <w:lang w:val="en-US" w:eastAsia="zh-CN"/>
              </w:rPr>
            </w:pPr>
            <w:r>
              <w:rPr>
                <w:rFonts w:hint="default"/>
                <w:lang w:val="en-US" w:eastAsia="zh-CN"/>
              </w:rPr>
              <w:t>浦东新区</w:t>
            </w:r>
          </w:p>
        </w:tc>
        <w:tc>
          <w:tcPr>
            <w:tcW w:w="5146" w:type="dxa"/>
            <w:tcBorders>
              <w:top w:val="nil"/>
              <w:left w:val="nil"/>
              <w:bottom w:val="nil"/>
              <w:right w:val="nil"/>
            </w:tcBorders>
            <w:shd w:val="clear" w:color="auto" w:fill="FFFFFF"/>
            <w:vAlign w:val="center"/>
          </w:tcPr>
          <w:p w14:paraId="379C8E37">
            <w:pPr>
              <w:snapToGrid w:val="0"/>
              <w:ind w:left="0" w:leftChars="0" w:right="0" w:rightChars="0" w:firstLine="0" w:firstLineChars="0"/>
              <w:jc w:val="center"/>
              <w:rPr>
                <w:rFonts w:hint="default"/>
                <w:lang w:val="en-US" w:eastAsia="zh-CN"/>
              </w:rPr>
            </w:pPr>
            <w:r>
              <w:rPr>
                <w:rFonts w:hint="default"/>
                <w:lang w:val="en-US" w:eastAsia="zh-CN"/>
              </w:rPr>
              <w:t>浦东新区各社区健身驿站 (线上)</w:t>
            </w:r>
          </w:p>
        </w:tc>
        <w:tc>
          <w:tcPr>
            <w:tcW w:w="1972" w:type="dxa"/>
            <w:tcBorders>
              <w:top w:val="nil"/>
              <w:left w:val="nil"/>
              <w:bottom w:val="nil"/>
              <w:right w:val="nil"/>
            </w:tcBorders>
            <w:shd w:val="clear" w:color="auto" w:fill="FFFFFF"/>
            <w:vAlign w:val="center"/>
          </w:tcPr>
          <w:p w14:paraId="65FE9D57">
            <w:pPr>
              <w:snapToGrid w:val="0"/>
              <w:ind w:left="0" w:leftChars="0" w:right="0" w:rightChars="0" w:firstLine="0" w:firstLineChars="0"/>
              <w:jc w:val="left"/>
              <w:rPr>
                <w:rFonts w:hint="default"/>
                <w:lang w:val="en-US" w:eastAsia="zh-CN"/>
              </w:rPr>
            </w:pPr>
            <w:r>
              <w:rPr>
                <w:rFonts w:hint="default"/>
                <w:lang w:val="en-US" w:eastAsia="zh-CN"/>
              </w:rPr>
              <w:t>80</w:t>
            </w:r>
          </w:p>
        </w:tc>
      </w:tr>
      <w:tr w14:paraId="0FF76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5DB85584">
            <w:pPr>
              <w:snapToGrid w:val="0"/>
              <w:ind w:left="0" w:leftChars="0" w:right="0" w:rightChars="0" w:firstLine="0" w:firstLineChars="0"/>
              <w:jc w:val="center"/>
              <w:rPr>
                <w:rFonts w:hint="default"/>
                <w:lang w:val="en-US" w:eastAsia="zh-CN"/>
              </w:rPr>
            </w:pPr>
            <w:r>
              <w:rPr>
                <w:rFonts w:hint="default"/>
                <w:lang w:val="en-US" w:eastAsia="zh-CN"/>
              </w:rPr>
              <w:t>宝山区</w:t>
            </w:r>
          </w:p>
        </w:tc>
        <w:tc>
          <w:tcPr>
            <w:tcW w:w="5146" w:type="dxa"/>
            <w:tcBorders>
              <w:top w:val="nil"/>
              <w:left w:val="nil"/>
              <w:bottom w:val="nil"/>
              <w:right w:val="nil"/>
            </w:tcBorders>
            <w:shd w:val="clear" w:color="auto" w:fill="FFFFFF"/>
            <w:vAlign w:val="center"/>
          </w:tcPr>
          <w:p w14:paraId="1952F015">
            <w:pPr>
              <w:snapToGrid w:val="0"/>
              <w:ind w:left="0" w:leftChars="0" w:right="0" w:rightChars="0" w:firstLine="0" w:firstLineChars="0"/>
              <w:jc w:val="center"/>
              <w:rPr>
                <w:rFonts w:hint="default"/>
                <w:lang w:val="en-US" w:eastAsia="zh-CN"/>
              </w:rPr>
            </w:pPr>
            <w:r>
              <w:rPr>
                <w:rFonts w:hint="default"/>
                <w:lang w:val="en-US" w:eastAsia="zh-CN"/>
              </w:rPr>
              <w:t>宝山区各社区健身驿站 (线上)</w:t>
            </w:r>
          </w:p>
        </w:tc>
        <w:tc>
          <w:tcPr>
            <w:tcW w:w="1972" w:type="dxa"/>
            <w:tcBorders>
              <w:top w:val="nil"/>
              <w:left w:val="nil"/>
              <w:bottom w:val="nil"/>
              <w:right w:val="nil"/>
            </w:tcBorders>
            <w:shd w:val="clear" w:color="auto" w:fill="FFFFFF"/>
            <w:vAlign w:val="center"/>
          </w:tcPr>
          <w:p w14:paraId="0EAA21EF">
            <w:pPr>
              <w:snapToGrid w:val="0"/>
              <w:ind w:left="0" w:leftChars="0" w:right="0" w:rightChars="0" w:firstLine="0" w:firstLineChars="0"/>
              <w:jc w:val="left"/>
              <w:rPr>
                <w:rFonts w:hint="default"/>
                <w:lang w:val="en-US" w:eastAsia="zh-CN"/>
              </w:rPr>
            </w:pPr>
            <w:r>
              <w:rPr>
                <w:rFonts w:hint="default"/>
                <w:lang w:val="en-US" w:eastAsia="zh-CN"/>
              </w:rPr>
              <w:t>50</w:t>
            </w:r>
          </w:p>
        </w:tc>
      </w:tr>
      <w:tr w14:paraId="3E3FE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36C26ACB">
            <w:pPr>
              <w:snapToGrid w:val="0"/>
              <w:ind w:left="0" w:leftChars="0" w:right="0" w:rightChars="0" w:firstLine="0" w:firstLineChars="0"/>
              <w:jc w:val="center"/>
              <w:rPr>
                <w:rFonts w:hint="default"/>
                <w:lang w:val="en-US" w:eastAsia="zh-CN"/>
              </w:rPr>
            </w:pPr>
            <w:r>
              <w:rPr>
                <w:rFonts w:hint="default"/>
                <w:lang w:val="en-US" w:eastAsia="zh-CN"/>
              </w:rPr>
              <w:t>松江区</w:t>
            </w:r>
          </w:p>
        </w:tc>
        <w:tc>
          <w:tcPr>
            <w:tcW w:w="5146" w:type="dxa"/>
            <w:tcBorders>
              <w:top w:val="nil"/>
              <w:left w:val="nil"/>
              <w:bottom w:val="nil"/>
              <w:right w:val="nil"/>
            </w:tcBorders>
            <w:shd w:val="clear" w:color="auto" w:fill="FFFFFF"/>
            <w:vAlign w:val="center"/>
          </w:tcPr>
          <w:p w14:paraId="3ECB0935">
            <w:pPr>
              <w:snapToGrid w:val="0"/>
              <w:ind w:left="0" w:leftChars="0" w:right="0" w:rightChars="0" w:firstLine="0" w:firstLineChars="0"/>
              <w:jc w:val="center"/>
              <w:rPr>
                <w:rFonts w:hint="default"/>
                <w:lang w:val="en-US" w:eastAsia="zh-CN"/>
              </w:rPr>
            </w:pPr>
            <w:r>
              <w:rPr>
                <w:rFonts w:hint="default"/>
                <w:lang w:val="en-US" w:eastAsia="zh-CN"/>
              </w:rPr>
              <w:t>松江区各社区健身驿站 (线上)</w:t>
            </w:r>
          </w:p>
        </w:tc>
        <w:tc>
          <w:tcPr>
            <w:tcW w:w="1972" w:type="dxa"/>
            <w:tcBorders>
              <w:top w:val="nil"/>
              <w:left w:val="nil"/>
              <w:bottom w:val="nil"/>
              <w:right w:val="nil"/>
            </w:tcBorders>
            <w:shd w:val="clear" w:color="auto" w:fill="FFFFFF"/>
            <w:vAlign w:val="center"/>
          </w:tcPr>
          <w:p w14:paraId="27800A1C">
            <w:pPr>
              <w:snapToGrid w:val="0"/>
              <w:ind w:left="0" w:leftChars="0" w:right="0" w:rightChars="0" w:firstLine="0" w:firstLineChars="0"/>
              <w:jc w:val="left"/>
              <w:rPr>
                <w:rFonts w:hint="default"/>
                <w:lang w:val="en-US" w:eastAsia="zh-CN"/>
              </w:rPr>
            </w:pPr>
            <w:r>
              <w:rPr>
                <w:rFonts w:hint="default"/>
                <w:lang w:val="en-US" w:eastAsia="zh-CN"/>
              </w:rPr>
              <w:t>40</w:t>
            </w:r>
          </w:p>
        </w:tc>
      </w:tr>
      <w:tr w14:paraId="6E242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32E0453F">
            <w:pPr>
              <w:snapToGrid w:val="0"/>
              <w:ind w:left="0" w:leftChars="0" w:right="0" w:rightChars="0" w:firstLine="0" w:firstLineChars="0"/>
              <w:jc w:val="center"/>
              <w:rPr>
                <w:rFonts w:hint="default"/>
                <w:lang w:val="en-US" w:eastAsia="zh-CN"/>
              </w:rPr>
            </w:pPr>
            <w:r>
              <w:rPr>
                <w:rFonts w:hint="default"/>
                <w:lang w:val="en-US" w:eastAsia="zh-CN"/>
              </w:rPr>
              <w:t>徐汇区</w:t>
            </w:r>
          </w:p>
        </w:tc>
        <w:tc>
          <w:tcPr>
            <w:tcW w:w="5146" w:type="dxa"/>
            <w:tcBorders>
              <w:top w:val="nil"/>
              <w:left w:val="nil"/>
              <w:bottom w:val="nil"/>
              <w:right w:val="nil"/>
            </w:tcBorders>
            <w:shd w:val="clear" w:color="auto" w:fill="FFFFFF"/>
            <w:vAlign w:val="center"/>
          </w:tcPr>
          <w:p w14:paraId="7294AF0E">
            <w:pPr>
              <w:snapToGrid w:val="0"/>
              <w:ind w:left="0" w:leftChars="0" w:right="0" w:rightChars="0" w:firstLine="0" w:firstLineChars="0"/>
              <w:jc w:val="center"/>
              <w:rPr>
                <w:rFonts w:hint="default"/>
                <w:lang w:val="en-US" w:eastAsia="zh-CN"/>
              </w:rPr>
            </w:pPr>
            <w:r>
              <w:rPr>
                <w:rFonts w:hint="default"/>
                <w:lang w:val="en-US" w:eastAsia="zh-CN"/>
              </w:rPr>
              <w:t>徐汇区各社区健身驿站 (线上)</w:t>
            </w:r>
          </w:p>
        </w:tc>
        <w:tc>
          <w:tcPr>
            <w:tcW w:w="1972" w:type="dxa"/>
            <w:tcBorders>
              <w:top w:val="nil"/>
              <w:left w:val="nil"/>
              <w:bottom w:val="nil"/>
              <w:right w:val="nil"/>
            </w:tcBorders>
            <w:shd w:val="clear" w:color="auto" w:fill="FFFFFF"/>
            <w:vAlign w:val="center"/>
          </w:tcPr>
          <w:p w14:paraId="53EA2A16">
            <w:pPr>
              <w:snapToGrid w:val="0"/>
              <w:ind w:left="0" w:leftChars="0" w:right="0" w:rightChars="0" w:firstLine="0" w:firstLineChars="0"/>
              <w:jc w:val="left"/>
              <w:rPr>
                <w:rFonts w:hint="default"/>
                <w:lang w:val="en-US" w:eastAsia="zh-CN"/>
              </w:rPr>
            </w:pPr>
            <w:r>
              <w:rPr>
                <w:rFonts w:hint="default"/>
                <w:lang w:val="en-US" w:eastAsia="zh-CN"/>
              </w:rPr>
              <w:t>36</w:t>
            </w:r>
          </w:p>
        </w:tc>
      </w:tr>
      <w:tr w14:paraId="48C1C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4808BB67">
            <w:pPr>
              <w:snapToGrid w:val="0"/>
              <w:ind w:left="0" w:leftChars="0" w:right="0" w:rightChars="0" w:firstLine="0" w:firstLineChars="0"/>
              <w:jc w:val="center"/>
              <w:rPr>
                <w:rFonts w:hint="default"/>
                <w:lang w:val="en-US" w:eastAsia="zh-CN"/>
              </w:rPr>
            </w:pPr>
            <w:r>
              <w:rPr>
                <w:rFonts w:hint="default"/>
                <w:lang w:val="en-US" w:eastAsia="zh-CN"/>
              </w:rPr>
              <w:t>静安区</w:t>
            </w:r>
          </w:p>
        </w:tc>
        <w:tc>
          <w:tcPr>
            <w:tcW w:w="5146" w:type="dxa"/>
            <w:tcBorders>
              <w:top w:val="nil"/>
              <w:left w:val="nil"/>
              <w:bottom w:val="nil"/>
              <w:right w:val="nil"/>
            </w:tcBorders>
            <w:shd w:val="clear" w:color="auto" w:fill="FFFFFF"/>
            <w:vAlign w:val="center"/>
          </w:tcPr>
          <w:p w14:paraId="21188962">
            <w:pPr>
              <w:snapToGrid w:val="0"/>
              <w:ind w:left="0" w:leftChars="0" w:right="0" w:rightChars="0" w:firstLine="0" w:firstLineChars="0"/>
              <w:jc w:val="center"/>
              <w:rPr>
                <w:rFonts w:hint="default"/>
                <w:lang w:val="en-US" w:eastAsia="zh-CN"/>
              </w:rPr>
            </w:pPr>
            <w:r>
              <w:rPr>
                <w:rFonts w:hint="default"/>
                <w:lang w:val="en-US" w:eastAsia="zh-CN"/>
              </w:rPr>
              <w:t>静安区各社区健身驿站 (线上)</w:t>
            </w:r>
          </w:p>
        </w:tc>
        <w:tc>
          <w:tcPr>
            <w:tcW w:w="1972" w:type="dxa"/>
            <w:tcBorders>
              <w:top w:val="nil"/>
              <w:left w:val="nil"/>
              <w:bottom w:val="nil"/>
              <w:right w:val="nil"/>
            </w:tcBorders>
            <w:shd w:val="clear" w:color="auto" w:fill="FFFFFF"/>
            <w:vAlign w:val="center"/>
          </w:tcPr>
          <w:p w14:paraId="2DAE074C">
            <w:pPr>
              <w:snapToGrid w:val="0"/>
              <w:ind w:left="0" w:leftChars="0" w:right="0" w:rightChars="0" w:firstLine="0" w:firstLineChars="0"/>
              <w:jc w:val="left"/>
              <w:rPr>
                <w:rFonts w:hint="default"/>
                <w:lang w:val="en-US" w:eastAsia="zh-CN"/>
              </w:rPr>
            </w:pPr>
            <w:r>
              <w:rPr>
                <w:rFonts w:hint="default"/>
                <w:lang w:val="en-US" w:eastAsia="zh-CN"/>
              </w:rPr>
              <w:t>30</w:t>
            </w:r>
          </w:p>
        </w:tc>
      </w:tr>
      <w:tr w14:paraId="2AC45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5E202B5C">
            <w:pPr>
              <w:snapToGrid w:val="0"/>
              <w:ind w:left="0" w:leftChars="0" w:right="0" w:rightChars="0" w:firstLine="0" w:firstLineChars="0"/>
              <w:jc w:val="center"/>
              <w:rPr>
                <w:rFonts w:hint="default"/>
                <w:lang w:val="en-US" w:eastAsia="zh-CN"/>
              </w:rPr>
            </w:pPr>
            <w:r>
              <w:rPr>
                <w:rFonts w:hint="default"/>
                <w:lang w:val="en-US" w:eastAsia="zh-CN"/>
              </w:rPr>
              <w:t>黄浦区</w:t>
            </w:r>
          </w:p>
        </w:tc>
        <w:tc>
          <w:tcPr>
            <w:tcW w:w="5146" w:type="dxa"/>
            <w:tcBorders>
              <w:top w:val="nil"/>
              <w:left w:val="nil"/>
              <w:bottom w:val="nil"/>
              <w:right w:val="nil"/>
            </w:tcBorders>
            <w:shd w:val="clear" w:color="auto" w:fill="FFFFFF"/>
            <w:vAlign w:val="center"/>
          </w:tcPr>
          <w:p w14:paraId="20BEFB6C">
            <w:pPr>
              <w:snapToGrid w:val="0"/>
              <w:ind w:left="0" w:leftChars="0" w:right="0" w:rightChars="0" w:firstLine="0" w:firstLineChars="0"/>
              <w:jc w:val="center"/>
              <w:rPr>
                <w:rFonts w:hint="default"/>
                <w:lang w:val="en-US" w:eastAsia="zh-CN"/>
              </w:rPr>
            </w:pPr>
            <w:r>
              <w:rPr>
                <w:rFonts w:hint="default"/>
                <w:lang w:val="en-US" w:eastAsia="zh-CN"/>
              </w:rPr>
              <w:t>黄浦区各社区健身驿站 (线上)</w:t>
            </w:r>
          </w:p>
        </w:tc>
        <w:tc>
          <w:tcPr>
            <w:tcW w:w="1972" w:type="dxa"/>
            <w:tcBorders>
              <w:top w:val="nil"/>
              <w:left w:val="nil"/>
              <w:bottom w:val="nil"/>
              <w:right w:val="nil"/>
            </w:tcBorders>
            <w:shd w:val="clear" w:color="auto" w:fill="FFFFFF"/>
            <w:vAlign w:val="center"/>
          </w:tcPr>
          <w:p w14:paraId="5B5FFAC2">
            <w:pPr>
              <w:snapToGrid w:val="0"/>
              <w:ind w:left="0" w:leftChars="0" w:right="0" w:rightChars="0" w:firstLine="0" w:firstLineChars="0"/>
              <w:jc w:val="left"/>
              <w:rPr>
                <w:rFonts w:hint="default"/>
                <w:lang w:val="en-US" w:eastAsia="zh-CN"/>
              </w:rPr>
            </w:pPr>
            <w:r>
              <w:rPr>
                <w:rFonts w:hint="default"/>
                <w:lang w:val="en-US" w:eastAsia="zh-CN"/>
              </w:rPr>
              <w:t>32</w:t>
            </w:r>
          </w:p>
        </w:tc>
      </w:tr>
      <w:tr w14:paraId="01B52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03623F60">
            <w:pPr>
              <w:snapToGrid w:val="0"/>
              <w:ind w:left="0" w:leftChars="0" w:right="0" w:rightChars="0" w:firstLine="0" w:firstLineChars="0"/>
              <w:jc w:val="center"/>
              <w:rPr>
                <w:rFonts w:hint="default"/>
                <w:lang w:val="en-US" w:eastAsia="zh-CN"/>
              </w:rPr>
            </w:pPr>
            <w:r>
              <w:rPr>
                <w:rFonts w:hint="default"/>
                <w:lang w:val="en-US" w:eastAsia="zh-CN"/>
              </w:rPr>
              <w:t>虹口区</w:t>
            </w:r>
          </w:p>
        </w:tc>
        <w:tc>
          <w:tcPr>
            <w:tcW w:w="5146" w:type="dxa"/>
            <w:tcBorders>
              <w:top w:val="nil"/>
              <w:left w:val="nil"/>
              <w:bottom w:val="nil"/>
              <w:right w:val="nil"/>
            </w:tcBorders>
            <w:shd w:val="clear" w:color="auto" w:fill="FFFFFF"/>
            <w:vAlign w:val="center"/>
          </w:tcPr>
          <w:p w14:paraId="086CE39C">
            <w:pPr>
              <w:snapToGrid w:val="0"/>
              <w:ind w:left="0" w:leftChars="0" w:right="0" w:rightChars="0" w:firstLine="0" w:firstLineChars="0"/>
              <w:jc w:val="center"/>
              <w:rPr>
                <w:rFonts w:hint="default"/>
                <w:lang w:val="en-US" w:eastAsia="zh-CN"/>
              </w:rPr>
            </w:pPr>
            <w:r>
              <w:rPr>
                <w:rFonts w:hint="default"/>
                <w:lang w:val="en-US" w:eastAsia="zh-CN"/>
              </w:rPr>
              <w:t>虹口区各社区健身驿站 (线上)</w:t>
            </w:r>
          </w:p>
        </w:tc>
        <w:tc>
          <w:tcPr>
            <w:tcW w:w="1972" w:type="dxa"/>
            <w:tcBorders>
              <w:top w:val="nil"/>
              <w:left w:val="nil"/>
              <w:bottom w:val="nil"/>
              <w:right w:val="nil"/>
            </w:tcBorders>
            <w:shd w:val="clear" w:color="auto" w:fill="FFFFFF"/>
            <w:vAlign w:val="center"/>
          </w:tcPr>
          <w:p w14:paraId="35232DAE">
            <w:pPr>
              <w:snapToGrid w:val="0"/>
              <w:ind w:left="0" w:leftChars="0" w:right="0" w:rightChars="0" w:firstLine="0" w:firstLineChars="0"/>
              <w:jc w:val="left"/>
              <w:rPr>
                <w:rFonts w:hint="default"/>
                <w:lang w:val="en-US" w:eastAsia="zh-CN"/>
              </w:rPr>
            </w:pPr>
            <w:r>
              <w:rPr>
                <w:rFonts w:hint="default"/>
                <w:lang w:val="en-US" w:eastAsia="zh-CN"/>
              </w:rPr>
              <w:t>30</w:t>
            </w:r>
          </w:p>
        </w:tc>
      </w:tr>
      <w:tr w14:paraId="6137B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46022F59">
            <w:pPr>
              <w:snapToGrid w:val="0"/>
              <w:ind w:left="0" w:leftChars="0" w:right="0" w:rightChars="0" w:firstLine="0" w:firstLineChars="0"/>
              <w:jc w:val="center"/>
              <w:rPr>
                <w:rFonts w:hint="default"/>
                <w:lang w:val="en-US" w:eastAsia="zh-CN"/>
              </w:rPr>
            </w:pPr>
            <w:r>
              <w:rPr>
                <w:rFonts w:hint="default"/>
                <w:lang w:val="en-US" w:eastAsia="zh-CN"/>
              </w:rPr>
              <w:t>长宁区</w:t>
            </w:r>
          </w:p>
        </w:tc>
        <w:tc>
          <w:tcPr>
            <w:tcW w:w="5146" w:type="dxa"/>
            <w:tcBorders>
              <w:top w:val="nil"/>
              <w:left w:val="nil"/>
              <w:bottom w:val="nil"/>
              <w:right w:val="nil"/>
            </w:tcBorders>
            <w:shd w:val="clear" w:color="auto" w:fill="FFFFFF"/>
            <w:vAlign w:val="center"/>
          </w:tcPr>
          <w:p w14:paraId="1A531BD6">
            <w:pPr>
              <w:snapToGrid w:val="0"/>
              <w:ind w:left="0" w:leftChars="0" w:right="0" w:rightChars="0" w:firstLine="0" w:firstLineChars="0"/>
              <w:jc w:val="center"/>
              <w:rPr>
                <w:rFonts w:hint="default"/>
                <w:lang w:val="en-US" w:eastAsia="zh-CN"/>
              </w:rPr>
            </w:pPr>
            <w:r>
              <w:rPr>
                <w:rFonts w:hint="default"/>
                <w:lang w:val="en-US" w:eastAsia="zh-CN"/>
              </w:rPr>
              <w:t>长宁区各社区健身驿站 (线上)</w:t>
            </w:r>
          </w:p>
        </w:tc>
        <w:tc>
          <w:tcPr>
            <w:tcW w:w="1972" w:type="dxa"/>
            <w:tcBorders>
              <w:top w:val="nil"/>
              <w:left w:val="nil"/>
              <w:bottom w:val="nil"/>
              <w:right w:val="nil"/>
            </w:tcBorders>
            <w:shd w:val="clear" w:color="auto" w:fill="FFFFFF"/>
            <w:vAlign w:val="center"/>
          </w:tcPr>
          <w:p w14:paraId="6119FBDF">
            <w:pPr>
              <w:snapToGrid w:val="0"/>
              <w:ind w:left="0" w:leftChars="0" w:right="0" w:rightChars="0" w:firstLine="0" w:firstLineChars="0"/>
              <w:jc w:val="left"/>
              <w:rPr>
                <w:rFonts w:hint="default"/>
                <w:lang w:val="en-US" w:eastAsia="zh-CN"/>
              </w:rPr>
            </w:pPr>
            <w:r>
              <w:rPr>
                <w:rFonts w:hint="default"/>
                <w:lang w:val="en-US" w:eastAsia="zh-CN"/>
              </w:rPr>
              <w:t>37</w:t>
            </w:r>
          </w:p>
        </w:tc>
      </w:tr>
      <w:tr w14:paraId="4FFB5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48105609">
            <w:pPr>
              <w:snapToGrid w:val="0"/>
              <w:ind w:left="0" w:leftChars="0" w:right="0" w:rightChars="0" w:firstLine="0" w:firstLineChars="0"/>
              <w:jc w:val="center"/>
              <w:rPr>
                <w:rFonts w:hint="default"/>
                <w:lang w:val="en-US" w:eastAsia="zh-CN"/>
              </w:rPr>
            </w:pPr>
            <w:r>
              <w:rPr>
                <w:rFonts w:hint="default"/>
                <w:lang w:val="en-US" w:eastAsia="zh-CN"/>
              </w:rPr>
              <w:t>青浦区</w:t>
            </w:r>
          </w:p>
        </w:tc>
        <w:tc>
          <w:tcPr>
            <w:tcW w:w="5146" w:type="dxa"/>
            <w:tcBorders>
              <w:top w:val="nil"/>
              <w:left w:val="nil"/>
              <w:bottom w:val="nil"/>
              <w:right w:val="nil"/>
            </w:tcBorders>
            <w:shd w:val="clear" w:color="auto" w:fill="FFFFFF"/>
            <w:vAlign w:val="center"/>
          </w:tcPr>
          <w:p w14:paraId="4E7D024C">
            <w:pPr>
              <w:snapToGrid w:val="0"/>
              <w:ind w:left="0" w:leftChars="0" w:right="0" w:rightChars="0" w:firstLine="0" w:firstLineChars="0"/>
              <w:jc w:val="center"/>
              <w:rPr>
                <w:rFonts w:hint="default"/>
                <w:lang w:val="en-US" w:eastAsia="zh-CN"/>
              </w:rPr>
            </w:pPr>
            <w:r>
              <w:rPr>
                <w:rFonts w:hint="default"/>
                <w:lang w:val="en-US" w:eastAsia="zh-CN"/>
              </w:rPr>
              <w:t>青浦区各社区健身驿站 (线上)</w:t>
            </w:r>
          </w:p>
        </w:tc>
        <w:tc>
          <w:tcPr>
            <w:tcW w:w="1972" w:type="dxa"/>
            <w:tcBorders>
              <w:top w:val="nil"/>
              <w:left w:val="nil"/>
              <w:bottom w:val="nil"/>
              <w:right w:val="nil"/>
            </w:tcBorders>
            <w:shd w:val="clear" w:color="auto" w:fill="FFFFFF"/>
            <w:vAlign w:val="center"/>
          </w:tcPr>
          <w:p w14:paraId="611F2197">
            <w:pPr>
              <w:snapToGrid w:val="0"/>
              <w:ind w:left="0" w:leftChars="0" w:right="0" w:rightChars="0" w:firstLine="0" w:firstLineChars="0"/>
              <w:jc w:val="left"/>
              <w:rPr>
                <w:rFonts w:hint="default"/>
                <w:lang w:val="en-US" w:eastAsia="zh-CN"/>
              </w:rPr>
            </w:pPr>
            <w:r>
              <w:rPr>
                <w:rFonts w:hint="default"/>
                <w:lang w:val="en-US" w:eastAsia="zh-CN"/>
              </w:rPr>
              <w:t>25</w:t>
            </w:r>
          </w:p>
        </w:tc>
      </w:tr>
      <w:tr w14:paraId="7BA75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38C6A548">
            <w:pPr>
              <w:snapToGrid w:val="0"/>
              <w:ind w:left="0" w:leftChars="0" w:right="0" w:rightChars="0" w:firstLine="0" w:firstLineChars="0"/>
              <w:jc w:val="center"/>
              <w:rPr>
                <w:rFonts w:hint="default"/>
                <w:lang w:val="en-US" w:eastAsia="zh-CN"/>
              </w:rPr>
            </w:pPr>
            <w:r>
              <w:rPr>
                <w:rFonts w:hint="default"/>
                <w:lang w:val="en-US" w:eastAsia="zh-CN"/>
              </w:rPr>
              <w:t>奉贤区</w:t>
            </w:r>
          </w:p>
        </w:tc>
        <w:tc>
          <w:tcPr>
            <w:tcW w:w="5146" w:type="dxa"/>
            <w:tcBorders>
              <w:top w:val="nil"/>
              <w:left w:val="nil"/>
              <w:bottom w:val="nil"/>
              <w:right w:val="nil"/>
            </w:tcBorders>
            <w:shd w:val="clear" w:color="auto" w:fill="FFFFFF"/>
            <w:vAlign w:val="center"/>
          </w:tcPr>
          <w:p w14:paraId="0B7C3D6C">
            <w:pPr>
              <w:snapToGrid w:val="0"/>
              <w:ind w:left="0" w:leftChars="0" w:right="0" w:rightChars="0" w:firstLine="0" w:firstLineChars="0"/>
              <w:jc w:val="center"/>
              <w:rPr>
                <w:rFonts w:hint="default"/>
                <w:lang w:val="en-US" w:eastAsia="zh-CN"/>
              </w:rPr>
            </w:pPr>
            <w:r>
              <w:rPr>
                <w:rFonts w:hint="default"/>
                <w:lang w:val="en-US" w:eastAsia="zh-CN"/>
              </w:rPr>
              <w:t>奉贤区各社区健身驿站 (线上)</w:t>
            </w:r>
          </w:p>
        </w:tc>
        <w:tc>
          <w:tcPr>
            <w:tcW w:w="1972" w:type="dxa"/>
            <w:tcBorders>
              <w:top w:val="nil"/>
              <w:left w:val="nil"/>
              <w:bottom w:val="nil"/>
              <w:right w:val="nil"/>
            </w:tcBorders>
            <w:shd w:val="clear" w:color="auto" w:fill="FFFFFF"/>
            <w:vAlign w:val="center"/>
          </w:tcPr>
          <w:p w14:paraId="7763DF38">
            <w:pPr>
              <w:snapToGrid w:val="0"/>
              <w:ind w:left="0" w:leftChars="0" w:right="0" w:rightChars="0" w:firstLine="0" w:firstLineChars="0"/>
              <w:jc w:val="left"/>
              <w:rPr>
                <w:rFonts w:hint="default"/>
                <w:lang w:val="en-US" w:eastAsia="zh-CN"/>
              </w:rPr>
            </w:pPr>
            <w:r>
              <w:rPr>
                <w:rFonts w:hint="default"/>
                <w:lang w:val="en-US" w:eastAsia="zh-CN"/>
              </w:rPr>
              <w:t>31</w:t>
            </w:r>
          </w:p>
        </w:tc>
      </w:tr>
      <w:tr w14:paraId="634F2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3293E0F5">
            <w:pPr>
              <w:snapToGrid w:val="0"/>
              <w:ind w:left="0" w:leftChars="0" w:right="0" w:rightChars="0" w:firstLine="0" w:firstLineChars="0"/>
              <w:jc w:val="center"/>
              <w:rPr>
                <w:rFonts w:hint="default"/>
                <w:lang w:val="en-US" w:eastAsia="zh-CN"/>
              </w:rPr>
            </w:pPr>
            <w:r>
              <w:rPr>
                <w:rFonts w:hint="default"/>
                <w:lang w:val="en-US" w:eastAsia="zh-CN"/>
              </w:rPr>
              <w:t>崇明区</w:t>
            </w:r>
          </w:p>
        </w:tc>
        <w:tc>
          <w:tcPr>
            <w:tcW w:w="5146" w:type="dxa"/>
            <w:tcBorders>
              <w:top w:val="nil"/>
              <w:left w:val="nil"/>
              <w:bottom w:val="nil"/>
              <w:right w:val="nil"/>
            </w:tcBorders>
            <w:shd w:val="clear" w:color="auto" w:fill="FFFFFF"/>
            <w:vAlign w:val="center"/>
          </w:tcPr>
          <w:p w14:paraId="424217C0">
            <w:pPr>
              <w:snapToGrid w:val="0"/>
              <w:ind w:left="0" w:leftChars="0" w:right="0" w:rightChars="0" w:firstLine="0" w:firstLineChars="0"/>
              <w:jc w:val="center"/>
              <w:rPr>
                <w:rFonts w:hint="default"/>
                <w:lang w:val="en-US" w:eastAsia="zh-CN"/>
              </w:rPr>
            </w:pPr>
            <w:r>
              <w:rPr>
                <w:rFonts w:hint="default"/>
                <w:lang w:val="en-US" w:eastAsia="zh-CN"/>
              </w:rPr>
              <w:t>崇明区各社区健身驿站 (线上)</w:t>
            </w:r>
          </w:p>
        </w:tc>
        <w:tc>
          <w:tcPr>
            <w:tcW w:w="1972" w:type="dxa"/>
            <w:tcBorders>
              <w:top w:val="nil"/>
              <w:left w:val="nil"/>
              <w:bottom w:val="nil"/>
              <w:right w:val="nil"/>
            </w:tcBorders>
            <w:shd w:val="clear" w:color="auto" w:fill="FFFFFF"/>
            <w:vAlign w:val="center"/>
          </w:tcPr>
          <w:p w14:paraId="2C43F444">
            <w:pPr>
              <w:snapToGrid w:val="0"/>
              <w:ind w:left="0" w:leftChars="0" w:right="0" w:rightChars="0" w:firstLine="0" w:firstLineChars="0"/>
              <w:jc w:val="left"/>
              <w:rPr>
                <w:rFonts w:hint="default"/>
                <w:lang w:val="en-US" w:eastAsia="zh-CN"/>
              </w:rPr>
            </w:pPr>
            <w:r>
              <w:rPr>
                <w:rFonts w:hint="default"/>
                <w:lang w:val="en-US" w:eastAsia="zh-CN"/>
              </w:rPr>
              <w:t>19</w:t>
            </w:r>
          </w:p>
        </w:tc>
      </w:tr>
      <w:tr w14:paraId="49F81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1E045E2F">
            <w:pPr>
              <w:snapToGrid w:val="0"/>
              <w:ind w:left="0" w:leftChars="0" w:right="0" w:rightChars="0" w:firstLine="0" w:firstLineChars="0"/>
              <w:jc w:val="center"/>
              <w:rPr>
                <w:rFonts w:hint="default"/>
                <w:b/>
                <w:lang w:val="en-US" w:eastAsia="zh-CN"/>
              </w:rPr>
            </w:pPr>
            <w:r>
              <w:rPr>
                <w:rFonts w:hint="default"/>
                <w:b/>
                <w:lang w:val="en-US" w:eastAsia="zh-CN"/>
              </w:rPr>
              <w:t>总计</w:t>
            </w:r>
          </w:p>
        </w:tc>
        <w:tc>
          <w:tcPr>
            <w:tcW w:w="5146" w:type="dxa"/>
            <w:tcBorders>
              <w:top w:val="nil"/>
              <w:left w:val="nil"/>
              <w:bottom w:val="nil"/>
              <w:right w:val="nil"/>
            </w:tcBorders>
            <w:shd w:val="clear" w:color="auto" w:fill="FFFFFF"/>
            <w:vAlign w:val="center"/>
          </w:tcPr>
          <w:p w14:paraId="30167A97">
            <w:pPr>
              <w:snapToGrid w:val="0"/>
              <w:ind w:left="0" w:leftChars="0" w:right="0" w:rightChars="0" w:firstLine="0" w:firstLineChars="0"/>
              <w:jc w:val="center"/>
              <w:rPr>
                <w:rFonts w:hint="default"/>
                <w:b/>
                <w:lang w:val="en-US" w:eastAsia="zh-CN"/>
              </w:rPr>
            </w:pPr>
          </w:p>
        </w:tc>
        <w:tc>
          <w:tcPr>
            <w:tcW w:w="1972" w:type="dxa"/>
            <w:tcBorders>
              <w:top w:val="nil"/>
              <w:left w:val="nil"/>
              <w:bottom w:val="nil"/>
              <w:right w:val="nil"/>
            </w:tcBorders>
            <w:shd w:val="clear" w:color="auto" w:fill="FFFFFF"/>
            <w:vAlign w:val="center"/>
          </w:tcPr>
          <w:p w14:paraId="4CC7BE8E">
            <w:pPr>
              <w:snapToGrid w:val="0"/>
              <w:ind w:left="0" w:leftChars="0" w:right="0" w:rightChars="0" w:firstLine="0" w:firstLineChars="0"/>
              <w:jc w:val="left"/>
              <w:rPr>
                <w:rFonts w:hint="default"/>
                <w:b/>
                <w:lang w:val="en-US" w:eastAsia="zh-CN"/>
              </w:rPr>
            </w:pPr>
            <w:r>
              <w:rPr>
                <w:rFonts w:hint="default"/>
                <w:b/>
                <w:lang w:val="en-US" w:eastAsia="zh-CN"/>
              </w:rPr>
              <w:t>783</w:t>
            </w:r>
          </w:p>
        </w:tc>
      </w:tr>
    </w:tbl>
    <w:p w14:paraId="067396EC">
      <w:pPr>
        <w:rPr>
          <w:rFonts w:hint="default"/>
          <w:lang w:val="en-US" w:eastAsia="zh-CN"/>
        </w:rPr>
      </w:pPr>
    </w:p>
    <w:p w14:paraId="2246FF93">
      <w:pPr>
        <w:rPr>
          <w:rFonts w:hint="default"/>
          <w:lang w:val="en-US" w:eastAsia="zh-CN"/>
        </w:rPr>
      </w:pPr>
      <w:r>
        <w:rPr>
          <w:rFonts w:hint="default"/>
          <w:lang w:val="en-US" w:eastAsia="zh-CN"/>
        </w:rPr>
        <w:br w:type="page"/>
      </w:r>
    </w:p>
    <w:p w14:paraId="7BE1C319">
      <w:pPr>
        <w:rPr>
          <w:rFonts w:hint="default"/>
          <w:lang w:val="en-US" w:eastAsia="zh-CN"/>
        </w:rPr>
      </w:pPr>
      <w:r>
        <w:rPr>
          <w:rFonts w:hint="default"/>
          <w:lang w:val="en-US" w:eastAsia="zh-CN"/>
        </w:rPr>
        <w:drawing>
          <wp:inline distT="0" distB="0" distL="114300" distR="114300">
            <wp:extent cx="5257800" cy="3154680"/>
            <wp:effectExtent l="0" t="0" r="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257800" cy="3154680"/>
                    </a:xfrm>
                    <a:prstGeom prst="rect">
                      <a:avLst/>
                    </a:prstGeom>
                    <a:noFill/>
                    <a:ln>
                      <a:noFill/>
                    </a:ln>
                  </pic:spPr>
                </pic:pic>
              </a:graphicData>
            </a:graphic>
          </wp:inline>
        </w:drawing>
      </w:r>
    </w:p>
    <w:p w14:paraId="7CB5D835">
      <w:pPr>
        <w:rPr>
          <w:rFonts w:hint="default"/>
          <w:lang w:val="en-US" w:eastAsia="zh-CN"/>
        </w:rPr>
      </w:pPr>
      <w:r>
        <w:rPr>
          <w:rFonts w:hint="default"/>
          <w:lang w:val="en-US" w:eastAsia="zh-CN"/>
        </w:rPr>
        <w:drawing>
          <wp:inline distT="0" distB="0" distL="114300" distR="114300">
            <wp:extent cx="5272405" cy="4569460"/>
            <wp:effectExtent l="0" t="0" r="635" b="254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272405" cy="4569460"/>
                    </a:xfrm>
                    <a:prstGeom prst="rect">
                      <a:avLst/>
                    </a:prstGeom>
                    <a:noFill/>
                    <a:ln>
                      <a:noFill/>
                    </a:ln>
                  </pic:spPr>
                </pic:pic>
              </a:graphicData>
            </a:graphic>
          </wp:inline>
        </w:drawing>
      </w:r>
    </w:p>
    <w:p w14:paraId="0955975E">
      <w:pPr>
        <w:rPr>
          <w:rFonts w:hint="default"/>
          <w:lang w:val="en-US" w:eastAsia="zh-CN"/>
        </w:rPr>
      </w:pPr>
    </w:p>
    <w:p w14:paraId="61C7C457">
      <w:pPr>
        <w:rPr>
          <w:rFonts w:hint="default"/>
          <w:lang w:val="en-US" w:eastAsia="zh-CN"/>
        </w:rPr>
      </w:pPr>
    </w:p>
    <w:p w14:paraId="5AA8D7CC">
      <w:pPr>
        <w:rPr>
          <w:rFonts w:hint="default"/>
          <w:lang w:val="en-US" w:eastAsia="zh-CN"/>
        </w:rPr>
      </w:pPr>
    </w:p>
    <w:p w14:paraId="653ECCC6">
      <w:pPr>
        <w:rPr>
          <w:rFonts w:hint="default"/>
          <w:lang w:val="en-US" w:eastAsia="zh-CN"/>
        </w:rPr>
      </w:pPr>
    </w:p>
    <w:p w14:paraId="6906E546">
      <w:pPr>
        <w:rPr>
          <w:rFonts w:hint="default"/>
          <w:lang w:val="en-US" w:eastAsia="zh-CN"/>
        </w:rPr>
      </w:pPr>
      <w:r>
        <w:rPr>
          <w:rFonts w:hint="default"/>
          <w:lang w:val="en-US" w:eastAsia="zh-CN"/>
        </w:rPr>
        <w:t>模型的完整思路链</w:t>
      </w:r>
    </w:p>
    <w:p w14:paraId="73080466">
      <w:pPr>
        <w:rPr>
          <w:rFonts w:hint="default"/>
          <w:lang w:val="en-US" w:eastAsia="zh-CN"/>
        </w:rPr>
      </w:pPr>
      <w:r>
        <w:rPr>
          <w:rFonts w:hint="default"/>
          <w:lang w:val="en-US" w:eastAsia="zh-CN"/>
        </w:rPr>
        <w:t>SEM 结构方程模型（宏观认知与结构骨架）</w:t>
      </w:r>
    </w:p>
    <w:p w14:paraId="30A66607">
      <w:pPr>
        <w:rPr>
          <w:rFonts w:hint="default"/>
          <w:lang w:val="en-US" w:eastAsia="zh-CN"/>
        </w:rPr>
      </w:pPr>
    </w:p>
    <w:p w14:paraId="1A9FA291">
      <w:pPr>
        <w:rPr>
          <w:rFonts w:hint="default"/>
          <w:lang w:val="en-US" w:eastAsia="zh-CN"/>
        </w:rPr>
      </w:pPr>
      <w:r>
        <w:rPr>
          <w:rFonts w:hint="default"/>
          <w:b/>
          <w:bCs/>
          <w:lang w:val="en-US" w:eastAsia="zh-CN"/>
        </w:rPr>
        <w:t>为什么要用这个模型？</w:t>
      </w:r>
      <w:r>
        <w:rPr>
          <w:rFonts w:hint="default"/>
          <w:lang w:val="en-US" w:eastAsia="zh-CN"/>
        </w:rPr>
        <w:br w:type="textWrapping"/>
      </w:r>
      <w:r>
        <w:rPr>
          <w:rFonts w:hint="default"/>
          <w:lang w:val="en-US" w:eastAsia="zh-CN"/>
        </w:rPr>
        <w:t>在评估健身驿站的服务效能时，市民的“满意度”以及“硬件、软件、数智、便利性”等维度都是无法直接测量的潜变量。我们使用SEM（结构方程模型）是为了从宏观层面验证理论架构是否成立，量化各个服务维度对总体满意度的线性影响路径和权重大小，从而确立上海市民健身驿站服务效能的整体“结构骨架”。</w:t>
      </w:r>
    </w:p>
    <w:p w14:paraId="2B505AB8">
      <w:pPr>
        <w:rPr>
          <w:rFonts w:hint="default"/>
          <w:lang w:val="en-US" w:eastAsia="zh-CN"/>
        </w:rPr>
      </w:pPr>
    </w:p>
    <w:p w14:paraId="6ED624DF">
      <w:pPr>
        <w:rPr>
          <w:rFonts w:hint="default"/>
          <w:b/>
          <w:bCs/>
          <w:lang w:val="en-US" w:eastAsia="zh-CN"/>
        </w:rPr>
      </w:pPr>
      <w:r>
        <w:rPr>
          <w:rFonts w:hint="default"/>
          <w:b/>
          <w:bCs/>
          <w:lang w:val="en-US" w:eastAsia="zh-CN"/>
        </w:rPr>
        <w:t>在用这个模型前我们做了哪些调查/准备？</w:t>
      </w:r>
    </w:p>
    <w:p w14:paraId="337CA475">
      <w:pPr>
        <w:rPr>
          <w:rFonts w:hint="default"/>
          <w:lang w:val="en-US" w:eastAsia="zh-CN"/>
        </w:rPr>
      </w:pPr>
      <w:r>
        <w:rPr>
          <w:rFonts w:hint="default"/>
          <w:lang w:val="en-US" w:eastAsia="zh-CN"/>
        </w:rPr>
        <w:t>理论支撑与变量提取： 基于ACSI（美国顾客满意度指数）模型，结合《上海市民健身驿站建设导则》，通过前期文献调研和线下实地访谈，提取了痛点指标。</w:t>
      </w:r>
    </w:p>
    <w:p w14:paraId="3D27714F">
      <w:pPr>
        <w:rPr>
          <w:rFonts w:hint="default"/>
          <w:lang w:val="en-US" w:eastAsia="zh-CN"/>
        </w:rPr>
      </w:pPr>
      <w:r>
        <w:rPr>
          <w:rFonts w:hint="default"/>
          <w:lang w:val="en-US" w:eastAsia="zh-CN"/>
        </w:rPr>
        <w:t>数据采集与检验： 通过线上线下结合的方式回收了783份有效问卷。在跑模型前，我们进行了严格的信度检验（Cronbach's α）、探索性因子分析（EFA）和验证性因子分析（CFA），确保量表的收敛效度和内部一致性达标后，才将四大维度的潜变量纳入模型。</w:t>
      </w:r>
    </w:p>
    <w:p w14:paraId="3BB48379">
      <w:pPr>
        <w:rPr>
          <w:rFonts w:hint="default"/>
          <w:lang w:val="en-US" w:eastAsia="zh-CN"/>
        </w:rPr>
      </w:pPr>
    </w:p>
    <w:p w14:paraId="4591E91C">
      <w:pPr>
        <w:rPr>
          <w:rFonts w:hint="default"/>
          <w:lang w:val="en-US" w:eastAsia="zh-CN"/>
        </w:rPr>
      </w:pPr>
      <w:r>
        <w:rPr>
          <w:rFonts w:hint="default"/>
          <w:b/>
          <w:bCs/>
          <w:lang w:val="en-US" w:eastAsia="zh-CN"/>
        </w:rPr>
        <w:t> 这个模型呈现出了什么结果？</w:t>
      </w:r>
    </w:p>
    <w:p w14:paraId="7DC06B8E">
      <w:pPr>
        <w:rPr>
          <w:rFonts w:hint="default"/>
          <w:lang w:val="en-US" w:eastAsia="zh-CN"/>
        </w:rPr>
      </w:pPr>
      <w:r>
        <w:rPr>
          <w:rFonts w:hint="default"/>
          <w:lang w:val="en-US" w:eastAsia="zh-CN"/>
        </w:rPr>
        <w:t>模型拟合度极佳（CMIN/DF&lt;3, GFI/CFI&gt;0.98），四大假设（H1-H4）全部成立。</w:t>
      </w:r>
    </w:p>
    <w:p w14:paraId="5A35B35B">
      <w:pPr>
        <w:rPr>
          <w:rFonts w:hint="default"/>
          <w:lang w:val="en-US" w:eastAsia="zh-CN"/>
        </w:rPr>
      </w:pPr>
      <w:r>
        <w:rPr>
          <w:rFonts w:hint="default"/>
          <w:lang w:val="en-US" w:eastAsia="zh-CN"/>
        </w:rPr>
        <w:t>路径系数结果： “硬件设施”的路径系数最高（0.468），“软性服务”次之（0.392），而“数智体验”（0.273）和“便利程度”（0.246）系数相对较低。</w:t>
      </w:r>
    </w:p>
    <w:p w14:paraId="4EB1331A">
      <w:pPr>
        <w:rPr>
          <w:rFonts w:hint="default"/>
          <w:lang w:val="en-US" w:eastAsia="zh-CN"/>
        </w:rPr>
      </w:pPr>
    </w:p>
    <w:p w14:paraId="265B6BBE">
      <w:pPr>
        <w:rPr>
          <w:rFonts w:hint="default"/>
          <w:lang w:val="en-US" w:eastAsia="zh-CN"/>
        </w:rPr>
      </w:pPr>
      <w:r>
        <w:rPr>
          <w:rFonts w:hint="default"/>
          <w:b/>
          <w:bCs/>
          <w:lang w:val="en-US" w:eastAsia="zh-CN"/>
        </w:rPr>
        <w:t> 得到了哪些结论？又是如何指导下一步研究的？</w:t>
      </w:r>
    </w:p>
    <w:p w14:paraId="0974E27E">
      <w:pPr>
        <w:rPr>
          <w:rFonts w:hint="default"/>
          <w:lang w:val="en-US" w:eastAsia="zh-CN"/>
        </w:rPr>
      </w:pPr>
      <w:r>
        <w:rPr>
          <w:rFonts w:hint="default"/>
          <w:lang w:val="en-US" w:eastAsia="zh-CN"/>
        </w:rPr>
        <w:t>宏观结论： 硬件设施依然是服务的基础“压舱石”，而软性服务已成为突破效能瓶颈的“增长极”。同时，便利程度因为“15分钟圈”的普及出现了“边际递减效应”。</w:t>
      </w:r>
    </w:p>
    <w:p w14:paraId="4DEAF27D">
      <w:pPr>
        <w:rPr>
          <w:rFonts w:hint="default"/>
          <w:lang w:val="en-US" w:eastAsia="zh-CN"/>
        </w:rPr>
      </w:pPr>
      <w:r>
        <w:rPr>
          <w:rFonts w:hint="default"/>
          <w:lang w:val="en-US" w:eastAsia="zh-CN"/>
        </w:rPr>
        <w:t>局限发现与下一步指导： 我们发现SEM虽然搭起了骨架，但它只能捕捉线性关系。在SEM中，“数智体验”的系数偏低，这很可能掩盖了智能化设施的“魅力质量”特质（即突破某个特定阈值后效能会激增的非线性特征）。为了打破这种线性局限，深挖具体指标在微观体验中的真实阈值和极限效应，我们自然而然地将下一步研究指向了能够处理复杂非线性关系的机器学习模型——XGBoost与SHAP。</w:t>
      </w:r>
    </w:p>
    <w:p w14:paraId="765A661C">
      <w:pPr>
        <w:rPr>
          <w:rFonts w:hint="default"/>
          <w:lang w:val="en-US" w:eastAsia="zh-CN"/>
        </w:rPr>
      </w:pPr>
    </w:p>
    <w:p w14:paraId="7F0A7646">
      <w:pPr>
        <w:rPr>
          <w:rFonts w:hint="default"/>
          <w:lang w:val="en-US" w:eastAsia="zh-CN"/>
        </w:rPr>
      </w:pPr>
    </w:p>
    <w:p w14:paraId="5E48A253">
      <w:pPr>
        <w:rPr>
          <w:rFonts w:hint="default"/>
          <w:lang w:val="en-US" w:eastAsia="zh-CN"/>
        </w:rPr>
      </w:pPr>
      <w:r>
        <w:rPr>
          <w:rFonts w:hint="default"/>
          <w:lang w:val="en-US" w:eastAsia="zh-CN"/>
        </w:rPr>
        <w:t>XGBoost + SHAP 解释框架（深挖微观痛点与非线性阈值）</w:t>
      </w:r>
    </w:p>
    <w:p w14:paraId="4FA0C199">
      <w:pPr>
        <w:rPr>
          <w:rFonts w:hint="default"/>
          <w:lang w:val="en-US" w:eastAsia="zh-CN"/>
        </w:rPr>
      </w:pPr>
    </w:p>
    <w:p w14:paraId="2033DB89">
      <w:pPr>
        <w:rPr>
          <w:rFonts w:hint="default"/>
          <w:lang w:val="en-US" w:eastAsia="zh-CN"/>
        </w:rPr>
      </w:pPr>
      <w:r>
        <w:rPr>
          <w:rFonts w:hint="default"/>
          <w:b/>
          <w:bCs/>
          <w:lang w:val="en-US" w:eastAsia="zh-CN"/>
        </w:rPr>
        <w:t> 为什么要用这个模型？</w:t>
      </w:r>
      <w:r>
        <w:rPr>
          <w:rFonts w:hint="default"/>
          <w:lang w:val="en-US" w:eastAsia="zh-CN"/>
        </w:rPr>
        <w:br w:type="textWrapping"/>
      </w:r>
      <w:r>
        <w:rPr>
          <w:rFonts w:hint="default"/>
          <w:lang w:val="en-US" w:eastAsia="zh-CN"/>
        </w:rPr>
        <w:t>为了弥补SEM无法处理非线性交互效应的缺陷。XGBoost是一种强大的集成算法，能高精度地捕捉高维数据中复杂的非线性关系；但由于机器学习存在“黑箱”属性，我们引入基于合作博弈论的SHAP解释框架，是为了打开黑箱，精准量化每一个具体的服务指标（如智能设备、步行时间等）对单体用户满意度的正负向贡献及阈值。</w:t>
      </w:r>
    </w:p>
    <w:p w14:paraId="75FA0E20">
      <w:pPr>
        <w:rPr>
          <w:rFonts w:hint="default"/>
          <w:lang w:val="en-US" w:eastAsia="zh-CN"/>
        </w:rPr>
      </w:pPr>
    </w:p>
    <w:p w14:paraId="52C1BDC4">
      <w:pPr>
        <w:rPr>
          <w:rFonts w:hint="default"/>
          <w:lang w:val="en-US" w:eastAsia="zh-CN"/>
        </w:rPr>
      </w:pPr>
      <w:r>
        <w:rPr>
          <w:rFonts w:hint="default"/>
          <w:b/>
          <w:bCs/>
          <w:lang w:val="en-US" w:eastAsia="zh-CN"/>
        </w:rPr>
        <w:t>在用这个模型前我们做了哪些调查/准备？</w:t>
      </w:r>
    </w:p>
    <w:p w14:paraId="708E73C4">
      <w:pPr>
        <w:rPr>
          <w:rFonts w:hint="default"/>
          <w:lang w:val="en-US" w:eastAsia="zh-CN"/>
        </w:rPr>
      </w:pPr>
      <w:r>
        <w:rPr>
          <w:rFonts w:hint="default"/>
          <w:lang w:val="en-US" w:eastAsia="zh-CN"/>
        </w:rPr>
        <w:t>数据准备与目标变量对齐： 我们提取了前期通过模糊综合评价（FCE）测算出的个人服务效能指数（SEI）作为目标变量（Label），将问卷中的12项具体服务指标及人口学特征作为输入特征。</w:t>
      </w:r>
    </w:p>
    <w:p w14:paraId="78A35D87">
      <w:pPr>
        <w:rPr>
          <w:rFonts w:hint="default"/>
          <w:lang w:val="en-US" w:eastAsia="zh-CN"/>
        </w:rPr>
      </w:pPr>
      <w:r>
        <w:rPr>
          <w:rFonts w:hint="default"/>
          <w:lang w:val="en-US" w:eastAsia="zh-CN"/>
        </w:rPr>
        <w:t>模型训练与调优： 按照8:2划分训练集和测试集，通过GridSearch CV进行网格搜索调参，最终模型的拟合优度（R</w:t>
      </w:r>
      <w:r>
        <w:rPr>
          <w:rFonts w:hint="eastAsia"/>
          <w:vertAlign w:val="superscript"/>
          <w:lang w:val="en-US" w:eastAsia="zh-CN"/>
        </w:rPr>
        <w:t>2</w:t>
      </w:r>
      <w:r>
        <w:rPr>
          <w:rFonts w:hint="default"/>
          <w:lang w:val="en-US" w:eastAsia="zh-CN"/>
        </w:rPr>
        <w:t>）高达0.96，RMSE仅为1.38，确保了模型具备极高的预测精度，为SHAP归因奠定了坚实基础。</w:t>
      </w:r>
    </w:p>
    <w:p w14:paraId="4B07F213">
      <w:pPr>
        <w:rPr>
          <w:rFonts w:hint="default"/>
          <w:lang w:val="en-US" w:eastAsia="zh-CN"/>
        </w:rPr>
      </w:pPr>
    </w:p>
    <w:p w14:paraId="22662E70">
      <w:pPr>
        <w:rPr>
          <w:rFonts w:hint="default"/>
          <w:lang w:val="en-US" w:eastAsia="zh-CN"/>
        </w:rPr>
      </w:pPr>
      <w:r>
        <w:rPr>
          <w:rFonts w:hint="default"/>
          <w:b/>
          <w:bCs/>
          <w:lang w:val="en-US" w:eastAsia="zh-CN"/>
        </w:rPr>
        <w:t>这个模型呈现出了什么结果？</w:t>
      </w:r>
    </w:p>
    <w:p w14:paraId="5D70843F">
      <w:pPr>
        <w:rPr>
          <w:rFonts w:hint="default"/>
          <w:lang w:val="en-US" w:eastAsia="zh-CN"/>
        </w:rPr>
      </w:pPr>
      <w:r>
        <w:rPr>
          <w:rFonts w:hint="default"/>
          <w:lang w:val="en-US" w:eastAsia="zh-CN"/>
        </w:rPr>
        <w:t>全局重要性洗牌： SHAP重要性排名彻底颠覆了SEM的宏观结论——“智能设备”（SHAP=1.69）跃居第一核心驱动力，“配套设施”、“器材维护”、“信息发布”和“人员服务”紧随其后。</w:t>
      </w:r>
    </w:p>
    <w:p w14:paraId="77C7D4ED">
      <w:pPr>
        <w:rPr>
          <w:rFonts w:hint="default"/>
          <w:lang w:val="en-US" w:eastAsia="zh-CN"/>
        </w:rPr>
      </w:pPr>
      <w:r>
        <w:rPr>
          <w:rFonts w:hint="default"/>
          <w:lang w:val="en-US" w:eastAsia="zh-CN"/>
        </w:rPr>
        <w:t>发现非线性物理/心理边界： 通过PDP（部分依赖图），我们发现了三个关键阈值：步行时间的“15分钟断崖效应”（超过15分钟满意度直线坠落）、设施维护的“3分底线法则”（低于3分一票否决）以及智能设备的“S型激活区间”。</w:t>
      </w:r>
    </w:p>
    <w:p w14:paraId="2A7E50C6">
      <w:pPr>
        <w:rPr>
          <w:rFonts w:hint="default"/>
          <w:lang w:val="en-US" w:eastAsia="zh-CN"/>
        </w:rPr>
      </w:pPr>
    </w:p>
    <w:p w14:paraId="0EA2BA12">
      <w:pPr>
        <w:rPr>
          <w:rFonts w:hint="default"/>
          <w:lang w:val="en-US" w:eastAsia="zh-CN"/>
        </w:rPr>
      </w:pPr>
      <w:r>
        <w:rPr>
          <w:rFonts w:hint="default"/>
          <w:b/>
          <w:bCs/>
          <w:lang w:val="en-US" w:eastAsia="zh-CN"/>
        </w:rPr>
        <w:t>得到了哪些结论？又是如何指导下一步研究的？</w:t>
      </w:r>
    </w:p>
    <w:p w14:paraId="3E82155F">
      <w:pPr>
        <w:rPr>
          <w:rFonts w:hint="default"/>
          <w:lang w:val="en-US" w:eastAsia="zh-CN"/>
        </w:rPr>
      </w:pPr>
      <w:r>
        <w:rPr>
          <w:rFonts w:hint="default"/>
          <w:lang w:val="en-US" w:eastAsia="zh-CN"/>
        </w:rPr>
        <w:t>微观结论： 在实际用户体验中，“数智化升级”和“精细化软性服务”才是真正左右用户口碑和满意度的分水岭，而物理距离一旦达标就退化成了“保健因子”。</w:t>
      </w:r>
    </w:p>
    <w:p w14:paraId="7B910998">
      <w:pPr>
        <w:rPr>
          <w:rFonts w:hint="default"/>
          <w:lang w:val="en-US" w:eastAsia="zh-CN"/>
        </w:rPr>
      </w:pPr>
    </w:p>
    <w:p w14:paraId="7DAB6BA9">
      <w:pPr>
        <w:rPr>
          <w:rFonts w:hint="default"/>
          <w:b/>
          <w:bCs/>
          <w:lang w:val="en-US" w:eastAsia="zh-CN"/>
        </w:rPr>
      </w:pPr>
      <w:r>
        <w:rPr>
          <w:rFonts w:hint="default"/>
          <w:b/>
          <w:bCs/>
          <w:lang w:val="en-US" w:eastAsia="zh-CN"/>
        </w:rPr>
        <w:t>对最终策略的决定性指导：</w:t>
      </w:r>
    </w:p>
    <w:p w14:paraId="7FB35194">
      <w:pPr>
        <w:rPr>
          <w:rFonts w:hint="default"/>
          <w:lang w:val="en-US" w:eastAsia="zh-CN"/>
        </w:rPr>
      </w:pPr>
      <w:r>
        <w:rPr>
          <w:rFonts w:hint="default"/>
          <w:lang w:val="en-US" w:eastAsia="zh-CN"/>
        </w:rPr>
        <w:t>构建矩阵： XGBoost-SHAP测算出的特征重要性（Y轴）直接与现状满意度（X轴）结合，生成了我们论文的核心策略工具——修正版SHAP-IPA精准治理矩阵，科学划分了“亟待改进、优势保持、次要改进、供给过度”四个象限。</w:t>
      </w:r>
    </w:p>
    <w:p w14:paraId="45FDF67B">
      <w:pPr>
        <w:rPr>
          <w:rFonts w:hint="default"/>
          <w:lang w:val="en-US" w:eastAsia="zh-CN"/>
        </w:rPr>
      </w:pPr>
      <w:r>
        <w:rPr>
          <w:rFonts w:hint="default"/>
          <w:lang w:val="en-US" w:eastAsia="zh-CN"/>
        </w:rPr>
        <w:t>落地设计： 针对SHAP发现的“15分钟断崖”和“人员/信息服务痛点”，直接指导了“驿动申城”小程序原型的功能设计。例如，开发“15分钟圈层导航”解决距离痛点，开发“AI运动处方”弥补人员服务缺失，开发“一键报修”守住3分维护底线。真正实现了从数据归因到落地实践的完美闭环。</w:t>
      </w:r>
    </w:p>
    <w:p w14:paraId="730994C3">
      <w:pPr>
        <w:rPr>
          <w:rFonts w:hint="default"/>
          <w:lang w:val="en-US" w:eastAsia="zh-CN"/>
        </w:rPr>
      </w:pPr>
    </w:p>
    <w:p w14:paraId="226EFD7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2912D7"/>
    <w:rsid w:val="629615EB"/>
    <w:rsid w:val="7B1C0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7">
    <w:name w:val="三线表"/>
    <w:qFormat/>
    <w:uiPriority w:val="99"/>
    <w:pPr>
      <w:jc w:val="center"/>
    </w:pPr>
    <w:rPr>
      <w:rFonts w:eastAsia="宋体"/>
    </w:rPr>
    <w:tblPr>
      <w:tblBorders>
        <w:top w:val="single" w:color="auto" w:sz="12" w:space="0"/>
        <w:bottom w:val="single" w:color="auto" w:sz="12" w:space="0"/>
      </w:tblBorders>
    </w:tblPr>
    <w:tcPr>
      <w:shd w:val="clear" w:color="auto" w:fill="auto"/>
      <w:vAlign w:val="center"/>
    </w:tcPr>
    <w:tblStylePr w:type="firstRow">
      <w:rPr>
        <w:rFonts w:eastAsia="宋体"/>
        <w:b/>
        <w:color w:val="FFFFFF"/>
        <w:sz w:val="21"/>
      </w:rPr>
      <w:tcPr>
        <w:shd w:val="clear" w:color="auto" w:fill="2E75B5"/>
      </w:tcPr>
    </w:tblStylePr>
    <w:tblStylePr w:type="firstCol">
      <w:rPr>
        <w:rFonts w:eastAsia="宋体"/>
        <w:sz w:val="21"/>
      </w:rPr>
      <w:tcPr>
        <w:shd w:val="clear" w:color="auto" w:fill="auto"/>
      </w:tcPr>
    </w:tblStylePr>
    <w:tblStylePr w:type="band1Horz">
      <w:rPr>
        <w:rFonts w:eastAsia="宋体"/>
        <w:sz w:val="21"/>
      </w:rPr>
      <w:tcPr>
        <w:shd w:val="clear" w:color="auto" w:fill="DEEAF6"/>
      </w:tcPr>
    </w:tblStylePr>
    <w:tblStylePr w:type="band2Horz">
      <w:rPr>
        <w:rFonts w:eastAsia="宋体"/>
        <w:sz w:val="21"/>
      </w:rPr>
      <w:tcPr>
        <w:shd w:val="clear" w:color="auto" w:fill="auto"/>
      </w:tcPr>
    </w:tblStylePr>
  </w:style>
  <w:style w:type="character" w:customStyle="1" w:styleId="8">
    <w:name w:val="font31"/>
    <w:basedOn w:val="6"/>
    <w:uiPriority w:val="0"/>
    <w:rPr>
      <w:rFonts w:hint="eastAsia" w:ascii="宋体" w:hAnsi="宋体" w:eastAsia="宋体" w:cs="宋体"/>
      <w:b/>
      <w:bCs/>
      <w:color w:val="2B2D31"/>
      <w:sz w:val="21"/>
      <w:szCs w:val="21"/>
      <w:u w:val="none"/>
    </w:rPr>
  </w:style>
  <w:style w:type="character" w:customStyle="1" w:styleId="9">
    <w:name w:val="font21"/>
    <w:basedOn w:val="6"/>
    <w:uiPriority w:val="0"/>
    <w:rPr>
      <w:rFonts w:hint="default" w:ascii="Arial" w:hAnsi="Arial" w:cs="Arial"/>
      <w:b/>
      <w:bCs/>
      <w:color w:val="2B2D31"/>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899</Words>
  <Characters>1079</Characters>
  <Lines>0</Lines>
  <Paragraphs>0</Paragraphs>
  <TotalTime>154</TotalTime>
  <ScaleCrop>false</ScaleCrop>
  <LinksUpToDate>false</LinksUpToDate>
  <CharactersWithSpaces>1122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2026-03-18T05:34:00Z</dcterms:created>
  <dc:creator>maoxingbo</dc:creator>
  <cp:lastModifiedBy>JL</cp:lastModifiedBy>
  <dcterms:modified xsi:type="dcterms:W3CDTF">2026-03-18T15:00:25Z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A345DF836C374C368FFBEE674D85B457_12</vt:lpwstr>
  </property>
</Properties>
</file>