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D5E3" w14:textId="77777777" w:rsidR="003A1CC2" w:rsidRDefault="00000000">
      <w:r>
        <w:t>（一）主题探索：上海市民健身驿站的建设兴起与服务效能审视</w:t>
      </w:r>
    </w:p>
    <w:p w14:paraId="736BFFC3" w14:textId="77777777" w:rsidR="003A1CC2" w:rsidRDefault="00000000">
      <w:pPr>
        <w:spacing w:beforeLines="50" w:before="156"/>
        <w:ind w:firstLineChars="200" w:firstLine="420"/>
        <w:rPr>
          <w:rFonts w:ascii="宋体" w:eastAsia="宋体" w:hAnsi="宋体" w:cs="Times New Roman" w:hint="eastAsia"/>
          <w:szCs w:val="21"/>
        </w:rPr>
      </w:pPr>
      <w:r>
        <w:rPr>
          <w:rFonts w:ascii="宋体" w:eastAsia="宋体" w:hAnsi="宋体" w:cs="Times New Roman"/>
          <w:szCs w:val="21"/>
          <w:highlight w:val="yellow"/>
        </w:rPr>
        <w:t>2014年，《国务院关于加快发展体育产业促进体育消费的若干意见》</w:t>
      </w:r>
      <w:r>
        <w:rPr>
          <w:rFonts w:ascii="宋体" w:eastAsia="宋体" w:hAnsi="宋体" w:cs="Times New Roman" w:hint="eastAsia"/>
          <w:szCs w:val="21"/>
          <w:highlight w:val="yellow"/>
          <w:vertAlign w:val="superscript"/>
        </w:rPr>
        <w:t>[1</w:t>
      </w:r>
      <w:r>
        <w:rPr>
          <w:rFonts w:ascii="宋体" w:eastAsia="宋体" w:hAnsi="宋体" w:cs="Times New Roman"/>
          <w:szCs w:val="21"/>
          <w:highlight w:val="yellow"/>
          <w:vertAlign w:val="superscript"/>
        </w:rPr>
        <w:t>]</w:t>
      </w:r>
      <w:r>
        <w:rPr>
          <w:rFonts w:ascii="宋体" w:eastAsia="宋体" w:hAnsi="宋体" w:cs="Times New Roman"/>
          <w:szCs w:val="21"/>
          <w:highlight w:val="yellow"/>
        </w:rPr>
        <w:t>的出台深化了全民健身国家战略，推动市民健身驿站等社区便民健身设施在全国兴起。上海市</w:t>
      </w:r>
      <w:r>
        <w:rPr>
          <w:rFonts w:ascii="宋体" w:eastAsia="宋体" w:hAnsi="宋体" w:cs="Times New Roman" w:hint="eastAsia"/>
          <w:szCs w:val="21"/>
          <w:highlight w:val="yellow"/>
        </w:rPr>
        <w:t>随即出台</w:t>
      </w:r>
      <w:r>
        <w:rPr>
          <w:rFonts w:ascii="宋体" w:eastAsia="宋体" w:hAnsi="宋体" w:cs="Times New Roman"/>
          <w:szCs w:val="21"/>
          <w:highlight w:val="yellow"/>
        </w:rPr>
        <w:t>了《市民健身驿站建设导则》</w:t>
      </w:r>
      <w:r>
        <w:rPr>
          <w:rFonts w:ascii="宋体" w:eastAsia="宋体" w:hAnsi="宋体" w:cs="Times New Roman" w:hint="eastAsia"/>
          <w:szCs w:val="21"/>
          <w:highlight w:val="yellow"/>
          <w:vertAlign w:val="superscript"/>
        </w:rPr>
        <w:t>[</w:t>
      </w:r>
      <w:r>
        <w:rPr>
          <w:rFonts w:ascii="宋体" w:eastAsia="宋体" w:hAnsi="宋体" w:cs="Times New Roman"/>
          <w:szCs w:val="21"/>
          <w:highlight w:val="yellow"/>
          <w:vertAlign w:val="superscript"/>
        </w:rPr>
        <w:t>2]</w:t>
      </w:r>
      <w:r>
        <w:rPr>
          <w:rFonts w:ascii="宋体" w:eastAsia="宋体" w:hAnsi="宋体" w:cs="Times New Roman"/>
          <w:szCs w:val="21"/>
          <w:highlight w:val="yellow"/>
        </w:rPr>
        <w:t>等地方规范</w:t>
      </w:r>
      <w:r>
        <w:rPr>
          <w:rFonts w:ascii="宋体" w:eastAsia="宋体" w:hAnsi="宋体" w:cs="Times New Roman" w:hint="eastAsia"/>
          <w:szCs w:val="21"/>
          <w:highlight w:val="yellow"/>
        </w:rPr>
        <w:t>，明确其“嵌入式、多功能、公益性”定位，细化类型分级与智能配置要求，标志着相关工作重心从规模建设转向运营服务的</w:t>
      </w:r>
      <w:r>
        <w:rPr>
          <w:rFonts w:ascii="宋体" w:eastAsia="宋体" w:hAnsi="宋体" w:cs="Times New Roman" w:hint="eastAsia"/>
          <w:b/>
          <w:szCs w:val="21"/>
          <w:highlight w:val="yellow"/>
        </w:rPr>
        <w:t>标准化</w:t>
      </w:r>
      <w:r>
        <w:rPr>
          <w:rFonts w:ascii="宋体" w:eastAsia="宋体" w:hAnsi="宋体" w:cs="Times New Roman" w:hint="eastAsia"/>
          <w:szCs w:val="21"/>
          <w:highlight w:val="yellow"/>
        </w:rPr>
        <w:t>与</w:t>
      </w:r>
      <w:r>
        <w:rPr>
          <w:rFonts w:ascii="宋体" w:eastAsia="宋体" w:hAnsi="宋体" w:cs="Times New Roman" w:hint="eastAsia"/>
          <w:b/>
          <w:szCs w:val="21"/>
          <w:highlight w:val="yellow"/>
        </w:rPr>
        <w:t>精细化</w:t>
      </w:r>
      <w:r>
        <w:rPr>
          <w:rFonts w:ascii="宋体" w:eastAsia="宋体" w:hAnsi="宋体" w:cs="Times New Roman" w:hint="eastAsia"/>
          <w:szCs w:val="21"/>
          <w:highlight w:val="yellow"/>
        </w:rPr>
        <w:t>。</w:t>
      </w:r>
    </w:p>
    <w:p w14:paraId="05C86D1F" w14:textId="77777777" w:rsidR="003A1CC2" w:rsidRDefault="00000000">
      <w:pPr>
        <w:spacing w:beforeLines="50" w:before="156"/>
        <w:ind w:firstLineChars="200" w:firstLine="420"/>
        <w:rPr>
          <w:rFonts w:ascii="宋体" w:eastAsia="宋体" w:hAnsi="宋体" w:cs="Times New Roman" w:hint="eastAsia"/>
          <w:szCs w:val="21"/>
        </w:rPr>
      </w:pPr>
      <w:r>
        <w:rPr>
          <w:rFonts w:ascii="宋体" w:eastAsia="宋体" w:hAnsi="宋体" w:cs="Times New Roman"/>
          <w:szCs w:val="21"/>
        </w:rPr>
        <w:t>与遵循市场逻辑、面向付费消费群体的商业健身房不同，健身驿站以</w:t>
      </w:r>
      <w:r>
        <w:rPr>
          <w:rFonts w:ascii="宋体" w:eastAsia="宋体" w:hAnsi="宋体" w:cs="Times New Roman"/>
          <w:b/>
          <w:szCs w:val="21"/>
        </w:rPr>
        <w:t>公共服务</w:t>
      </w:r>
      <w:r>
        <w:rPr>
          <w:rFonts w:ascii="宋体" w:eastAsia="宋体" w:hAnsi="宋体" w:cs="Times New Roman"/>
          <w:szCs w:val="21"/>
        </w:rPr>
        <w:t>为核心，嵌入社区填补“15 分钟生活圈”设施缺口，不仅凸显普惠属性，更承载着商业场所难以替代的社会功能</w:t>
      </w:r>
      <w:r>
        <w:rPr>
          <w:rFonts w:ascii="宋体" w:eastAsia="宋体" w:hAnsi="宋体" w:cs="Times New Roman" w:hint="eastAsia"/>
          <w:szCs w:val="21"/>
        </w:rPr>
        <w:t>。如</w:t>
      </w:r>
      <w:r>
        <w:rPr>
          <w:rFonts w:ascii="宋体" w:eastAsia="宋体" w:hAnsi="宋体" w:cs="Times New Roman"/>
          <w:szCs w:val="21"/>
        </w:rPr>
        <w:t>杨浦区</w:t>
      </w:r>
      <w:r>
        <w:rPr>
          <w:rFonts w:ascii="宋体" w:eastAsia="宋体" w:hAnsi="宋体" w:cs="Times New Roman" w:hint="eastAsia"/>
          <w:szCs w:val="21"/>
        </w:rPr>
        <w:t>市民健身驿站</w:t>
      </w:r>
      <w:r>
        <w:rPr>
          <w:rFonts w:ascii="宋体" w:eastAsia="宋体" w:hAnsi="宋体" w:cs="Times New Roman"/>
          <w:szCs w:val="21"/>
        </w:rPr>
        <w:t>已通过“体卫联动”开具600余张“运动处方”，同时兼具户外劳动者歇脚点、残障人士康复站、邻里交往平台等多元价值，重点覆盖健身房未触及的群体与需求。</w:t>
      </w:r>
    </w:p>
    <w:p w14:paraId="746C0E1C" w14:textId="77777777" w:rsidR="003A1CC2" w:rsidRDefault="00000000">
      <w:pPr>
        <w:spacing w:beforeLines="50" w:before="156"/>
        <w:ind w:firstLineChars="200" w:firstLine="420"/>
        <w:rPr>
          <w:rFonts w:ascii="宋体" w:eastAsia="宋体" w:hAnsi="宋体" w:cs="Times New Roman" w:hint="eastAsia"/>
          <w:szCs w:val="21"/>
        </w:rPr>
      </w:pPr>
      <w:r>
        <w:rPr>
          <w:rFonts w:ascii="宋体" w:eastAsia="宋体" w:hAnsi="宋体" w:cs="Times New Roman"/>
          <w:szCs w:val="21"/>
        </w:rPr>
        <w:t>目前，上海市民健身驿站已广泛布局各类城市空间，形成</w:t>
      </w:r>
      <w:r>
        <w:rPr>
          <w:rFonts w:ascii="宋体" w:eastAsia="宋体" w:hAnsi="宋体" w:cs="Times New Roman"/>
          <w:b/>
          <w:szCs w:val="21"/>
        </w:rPr>
        <w:t>民建民营、公建民营、公建公营</w:t>
      </w:r>
      <w:r>
        <w:rPr>
          <w:rFonts w:ascii="宋体" w:eastAsia="宋体" w:hAnsi="宋体" w:cs="Times New Roman"/>
          <w:szCs w:val="21"/>
        </w:rPr>
        <w:t>三种运营模式，硬件配置呈现从50平方米以上简易型到200平方米以上综合型</w:t>
      </w:r>
      <w:r>
        <w:rPr>
          <w:rFonts w:ascii="宋体" w:eastAsia="宋体" w:hAnsi="宋体" w:cs="Times New Roman" w:hint="eastAsia"/>
          <w:szCs w:val="21"/>
        </w:rPr>
        <w:t>，</w:t>
      </w:r>
      <w:r>
        <w:rPr>
          <w:rFonts w:ascii="宋体" w:eastAsia="宋体" w:hAnsi="宋体" w:cs="Times New Roman"/>
          <w:szCs w:val="21"/>
        </w:rPr>
        <w:t>含体质测试与数字化指导的梯度格局，满足市民差异化健身需求。</w:t>
      </w:r>
      <w:r>
        <w:rPr>
          <w:rFonts w:ascii="宋体" w:eastAsia="宋体" w:hAnsi="宋体" w:cs="Times New Roman"/>
          <w:szCs w:val="21"/>
          <w:highlight w:val="yellow"/>
        </w:rPr>
        <w:t>但政策倡导的智能化、科学指导等高级服务落地效果尚未验证，设施数量增长背后，服务效能与政策设计、市民期待的匹配度，以及运营可持续性、服务标准化等问题仍待厘清。</w:t>
      </w:r>
      <w:r>
        <w:rPr>
          <w:rFonts w:ascii="宋体" w:eastAsia="宋体" w:hAnsi="宋体" w:cs="Times New Roman"/>
          <w:szCs w:val="21"/>
        </w:rPr>
        <w:t>因此，开展上海健身驿站服务效能系统评估，既是检验政策执行成效的关键，也能精准识别供需差距，为优化管理、提质增效提供实践路径。</w:t>
      </w:r>
    </w:p>
    <w:p w14:paraId="265171A3" w14:textId="77777777" w:rsidR="003A1CC2" w:rsidRDefault="00000000">
      <w:pPr>
        <w:ind w:firstLine="420"/>
        <w:rPr>
          <w:highlight w:val="yellow"/>
        </w:rPr>
      </w:pPr>
      <w:r>
        <w:rPr>
          <w:highlight w:val="yellow"/>
        </w:rPr>
        <w:br/>
      </w:r>
      <w:r>
        <w:rPr>
          <w:highlight w:val="yellow"/>
        </w:rPr>
        <w:br/>
      </w:r>
      <w:r>
        <w:rPr>
          <w:rFonts w:hint="eastAsia"/>
        </w:rPr>
        <w:t xml:space="preserve">    </w:t>
      </w:r>
      <w:r>
        <w:rPr>
          <w:highlight w:val="yellow"/>
        </w:rPr>
        <w:t>在</w:t>
      </w:r>
      <w:r>
        <w:rPr>
          <w:highlight w:val="yellow"/>
        </w:rPr>
        <w:t>“</w:t>
      </w:r>
      <w:r>
        <w:rPr>
          <w:highlight w:val="yellow"/>
        </w:rPr>
        <w:t>健康中国</w:t>
      </w:r>
      <w:r>
        <w:rPr>
          <w:highlight w:val="yellow"/>
        </w:rPr>
        <w:t>”</w:t>
      </w:r>
      <w:r>
        <w:rPr>
          <w:highlight w:val="yellow"/>
        </w:rPr>
        <w:t>与全民健身国家战略深度融合的背景下，城市公共体育服务正从</w:t>
      </w:r>
      <w:r>
        <w:rPr>
          <w:highlight w:val="yellow"/>
        </w:rPr>
        <w:t>“</w:t>
      </w:r>
      <w:r>
        <w:rPr>
          <w:highlight w:val="yellow"/>
        </w:rPr>
        <w:t>增量扩张</w:t>
      </w:r>
      <w:r>
        <w:rPr>
          <w:highlight w:val="yellow"/>
        </w:rPr>
        <w:t>”</w:t>
      </w:r>
      <w:r>
        <w:rPr>
          <w:highlight w:val="yellow"/>
        </w:rPr>
        <w:t>向</w:t>
      </w:r>
      <w:r>
        <w:rPr>
          <w:highlight w:val="yellow"/>
        </w:rPr>
        <w:t>“</w:t>
      </w:r>
      <w:r>
        <w:rPr>
          <w:highlight w:val="yellow"/>
        </w:rPr>
        <w:t>提质增效</w:t>
      </w:r>
      <w:r>
        <w:rPr>
          <w:highlight w:val="yellow"/>
        </w:rPr>
        <w:t>”</w:t>
      </w:r>
      <w:r>
        <w:rPr>
          <w:highlight w:val="yellow"/>
        </w:rPr>
        <w:t>迈进。作为上海市</w:t>
      </w:r>
      <w:r>
        <w:rPr>
          <w:highlight w:val="yellow"/>
        </w:rPr>
        <w:t>“15</w:t>
      </w:r>
      <w:r>
        <w:rPr>
          <w:highlight w:val="yellow"/>
        </w:rPr>
        <w:t>分钟社区生活圈</w:t>
      </w:r>
      <w:r>
        <w:rPr>
          <w:highlight w:val="yellow"/>
        </w:rPr>
        <w:t>”</w:t>
      </w:r>
      <w:r>
        <w:rPr>
          <w:highlight w:val="yellow"/>
        </w:rPr>
        <w:t>的核心载体，市民健身驿站填补了传统商业健身房与免费户外路径之间的服务真空。</w:t>
      </w:r>
      <w:r>
        <w:rPr>
          <w:highlight w:val="yellow"/>
        </w:rPr>
        <w:t> </w:t>
      </w:r>
      <w:r>
        <w:rPr>
          <w:highlight w:val="yellow"/>
        </w:rPr>
        <w:t>自</w:t>
      </w:r>
      <w:r>
        <w:rPr>
          <w:highlight w:val="yellow"/>
        </w:rPr>
        <w:t>2014</w:t>
      </w:r>
      <w:r>
        <w:rPr>
          <w:highlight w:val="yellow"/>
        </w:rPr>
        <w:t>年《国务院关于加快发展体育产业促进体育消费的若干意见》</w:t>
      </w:r>
      <w:r>
        <w:rPr>
          <w:highlight w:val="yellow"/>
          <w:vertAlign w:val="superscript"/>
        </w:rPr>
        <w:t>[1]</w:t>
      </w:r>
      <w:r>
        <w:rPr>
          <w:highlight w:val="yellow"/>
        </w:rPr>
        <w:t>出台，至上海市《市民健身驿站建设导则》</w:t>
      </w:r>
      <w:r>
        <w:rPr>
          <w:highlight w:val="yellow"/>
          <w:vertAlign w:val="superscript"/>
        </w:rPr>
        <w:t>[2]</w:t>
      </w:r>
      <w:r>
        <w:rPr>
          <w:highlight w:val="yellow"/>
        </w:rPr>
        <w:t>发布，健身驿站被明确赋予</w:t>
      </w:r>
      <w:r>
        <w:rPr>
          <w:highlight w:val="yellow"/>
        </w:rPr>
        <w:t>“</w:t>
      </w:r>
      <w:r>
        <w:rPr>
          <w:highlight w:val="yellow"/>
        </w:rPr>
        <w:t>嵌入式、多功能、公益性</w:t>
      </w:r>
      <w:r>
        <w:rPr>
          <w:highlight w:val="yellow"/>
        </w:rPr>
        <w:t>”</w:t>
      </w:r>
      <w:r>
        <w:rPr>
          <w:highlight w:val="yellow"/>
        </w:rPr>
        <w:t>定位。这标志着相关工作重心已从初期的规模建设，全面转向运营服务的标准化与精细化。</w:t>
      </w:r>
    </w:p>
    <w:p w14:paraId="4C2F8A51" w14:textId="77777777" w:rsidR="003A1CC2" w:rsidRDefault="00000000">
      <w:pPr>
        <w:ind w:firstLine="420"/>
      </w:pPr>
      <w:r>
        <w:t>与遵循市场逻辑、面向付费消费群体的商业健身房不同，健身驿站以公共服务为核心，嵌入社区填补</w:t>
      </w:r>
      <w:r>
        <w:t xml:space="preserve">“15 </w:t>
      </w:r>
      <w:r>
        <w:t>分钟生活圈</w:t>
      </w:r>
      <w:r>
        <w:t>”</w:t>
      </w:r>
      <w:r>
        <w:t>设施缺口，不仅凸显普惠属性，更承载着商业场所难以替代的社会功能。如杨浦区市民健身驿站已通过</w:t>
      </w:r>
      <w:r>
        <w:t>“</w:t>
      </w:r>
      <w:r>
        <w:t>体卫联动</w:t>
      </w:r>
      <w:r>
        <w:t>”</w:t>
      </w:r>
      <w:r>
        <w:t>开具</w:t>
      </w:r>
      <w:r>
        <w:t>600</w:t>
      </w:r>
      <w:r>
        <w:t>余张</w:t>
      </w:r>
      <w:r>
        <w:t>“</w:t>
      </w:r>
      <w:r>
        <w:t>运动处方</w:t>
      </w:r>
      <w:r>
        <w:t>”</w:t>
      </w:r>
      <w:r>
        <w:t>，同时兼具户外劳动者歇脚点、残障人士康复站、邻里交往平台等多元价值，重点覆盖健身房未触及的群体与需求。</w:t>
      </w:r>
    </w:p>
    <w:p w14:paraId="28EF6032" w14:textId="77777777" w:rsidR="003A1CC2" w:rsidRDefault="00000000">
      <w:pPr>
        <w:ind w:firstLine="420"/>
      </w:pPr>
      <w:r>
        <w:t>目前，上海市民健身驿站已广泛布局各类城市空间，形成民建民营、公建民营、公建公营三种运营模式，硬件配置呈现从</w:t>
      </w:r>
      <w:r>
        <w:t>50</w:t>
      </w:r>
      <w:r>
        <w:t>平方米以上简易型到</w:t>
      </w:r>
      <w:r>
        <w:t>200</w:t>
      </w:r>
      <w:r>
        <w:t>平方米以上综合型，含体质测试与数字化指导的梯度格局，满足市民差异化健身需求。</w:t>
      </w:r>
      <w:r>
        <w:rPr>
          <w:highlight w:val="yellow"/>
        </w:rPr>
        <w:t>然而，设施数量的增长掩盖了深层次的运营矛盾：政策倡导的智能化、科学指导等高级服务落地效果尚未得到实证检验；服务效能与市民期待之间是否存在错配？无人值守模式下的可持续性如何？这些问题仍待厘清。</w:t>
      </w:r>
      <w:r>
        <w:t>因此，开展上海健身驿站服务效能系统评估，既是检验政策执行成效的关键，也能精准识别供需差距，为优化管理、提质增效提供实践路径。</w:t>
      </w:r>
    </w:p>
    <w:p w14:paraId="246DD3BF" w14:textId="77777777" w:rsidR="003A1CC2" w:rsidRDefault="003A1CC2">
      <w:pPr>
        <w:ind w:firstLine="420"/>
      </w:pPr>
    </w:p>
    <w:p w14:paraId="115D1C99" w14:textId="77777777" w:rsidR="003A1CC2" w:rsidRDefault="00000000">
      <w:pPr>
        <w:ind w:firstLine="420"/>
      </w:pPr>
      <w:r>
        <w:rPr>
          <w:highlight w:val="yellow"/>
        </w:rPr>
        <w:t>为了更直观地呈现该领域的研究热点与关联，本文通过</w:t>
      </w:r>
      <w:proofErr w:type="spellStart"/>
      <w:r>
        <w:rPr>
          <w:highlight w:val="yellow"/>
        </w:rPr>
        <w:t>VOSviewer</w:t>
      </w:r>
      <w:proofErr w:type="spellEnd"/>
      <w:r>
        <w:rPr>
          <w:highlight w:val="yellow"/>
        </w:rPr>
        <w:t>对</w:t>
      </w:r>
      <w:r>
        <w:rPr>
          <w:highlight w:val="yellow"/>
        </w:rPr>
        <w:t>2020-2025</w:t>
      </w:r>
      <w:r>
        <w:rPr>
          <w:highlight w:val="yellow"/>
        </w:rPr>
        <w:t>年相关文献进行关键词共现分析，如下图所示</w:t>
      </w:r>
      <w:r>
        <w:rPr>
          <w:rFonts w:hint="eastAsia"/>
          <w:highlight w:val="yellow"/>
        </w:rPr>
        <w:t>：</w:t>
      </w:r>
    </w:p>
    <w:p w14:paraId="02A35BA0" w14:textId="77777777" w:rsidR="003A1CC2" w:rsidRDefault="00000000">
      <w:pPr>
        <w:ind w:firstLine="420"/>
      </w:pPr>
      <w:r>
        <w:t>为了更直观地呈现该领域的研究热点，本文以中国知网（</w:t>
      </w:r>
      <w:r>
        <w:t>CNKI</w:t>
      </w:r>
      <w:r>
        <w:t>）核心期刊数据库为基础，检索</w:t>
      </w:r>
      <w:r>
        <w:t>2020-2025</w:t>
      </w:r>
      <w:r>
        <w:t>年相关文献共计</w:t>
      </w:r>
      <w:r>
        <w:rPr>
          <w:rFonts w:hint="eastAsia"/>
        </w:rPr>
        <w:t>450</w:t>
      </w:r>
      <w:r>
        <w:t>篇，利用</w:t>
      </w:r>
      <w:proofErr w:type="spellStart"/>
      <w:r>
        <w:t>VOSviewer</w:t>
      </w:r>
      <w:proofErr w:type="spellEnd"/>
      <w:r>
        <w:t>进行关键词共现分析，结果如图</w:t>
      </w:r>
      <w:r>
        <w:t>1</w:t>
      </w:r>
      <w:r>
        <w:t>所示：</w:t>
      </w:r>
    </w:p>
    <w:p w14:paraId="337738A1" w14:textId="77777777" w:rsidR="003A1CC2" w:rsidRDefault="003A1CC2">
      <w:pPr>
        <w:ind w:firstLine="420"/>
      </w:pPr>
    </w:p>
    <w:p w14:paraId="52991E3F" w14:textId="77777777" w:rsidR="003A1CC2" w:rsidRDefault="00000000">
      <w:pPr>
        <w:ind w:firstLine="420"/>
        <w:rPr>
          <w:highlight w:val="yellow"/>
        </w:rPr>
      </w:pPr>
      <w:r>
        <w:rPr>
          <w:highlight w:val="yellow"/>
        </w:rPr>
        <w:t>现有研究多聚焦单一维度的问题描述，缺乏对</w:t>
      </w:r>
      <w:r>
        <w:rPr>
          <w:highlight w:val="yellow"/>
        </w:rPr>
        <w:t>“</w:t>
      </w:r>
      <w:r>
        <w:rPr>
          <w:highlight w:val="yellow"/>
        </w:rPr>
        <w:t>政策</w:t>
      </w:r>
      <w:r>
        <w:rPr>
          <w:highlight w:val="yellow"/>
        </w:rPr>
        <w:t xml:space="preserve"> - </w:t>
      </w:r>
      <w:r>
        <w:rPr>
          <w:highlight w:val="yellow"/>
        </w:rPr>
        <w:t>场景</w:t>
      </w:r>
      <w:r>
        <w:rPr>
          <w:highlight w:val="yellow"/>
        </w:rPr>
        <w:t xml:space="preserve"> - </w:t>
      </w:r>
      <w:r>
        <w:rPr>
          <w:highlight w:val="yellow"/>
        </w:rPr>
        <w:t>用户</w:t>
      </w:r>
      <w:r>
        <w:rPr>
          <w:highlight w:val="yellow"/>
        </w:rPr>
        <w:t xml:space="preserve">” </w:t>
      </w:r>
      <w:r>
        <w:rPr>
          <w:highlight w:val="yellow"/>
        </w:rPr>
        <w:t>三者协同关系的系统性分析。早期文献多孤立讨论其中的某一维度，近年虽开始关注三者协同，但尚未构建完整的效能评估体系；同时，对潜在使用者与特殊群体的需求关注不足，导致服务效能评估存在明显短板。</w:t>
      </w:r>
    </w:p>
    <w:p w14:paraId="0BC0FAEA" w14:textId="77777777" w:rsidR="003A1CC2" w:rsidRDefault="00000000">
      <w:pPr>
        <w:ind w:firstLine="420"/>
      </w:pPr>
      <w:r>
        <w:t>纵观现有文献，多聚焦单一维度的问题描述，缺乏将</w:t>
      </w:r>
      <w:r>
        <w:t>“</w:t>
      </w:r>
      <w:r>
        <w:t>政策导向</w:t>
      </w:r>
      <w:r>
        <w:t>-</w:t>
      </w:r>
      <w:r>
        <w:t>场景实践</w:t>
      </w:r>
      <w:r>
        <w:t>-</w:t>
      </w:r>
      <w:r>
        <w:t>用户体验</w:t>
      </w:r>
      <w:r>
        <w:t>”</w:t>
      </w:r>
      <w:r>
        <w:t>三者协同考察的定量实证分析。此外，以往研究多关注现有中青年用户，对</w:t>
      </w:r>
      <w:r>
        <w:t>“</w:t>
      </w:r>
      <w:r>
        <w:t>潜在使用者</w:t>
      </w:r>
      <w:r>
        <w:t>”</w:t>
      </w:r>
      <w:r>
        <w:t>的转化机制及</w:t>
      </w:r>
      <w:r>
        <w:t>“</w:t>
      </w:r>
      <w:r>
        <w:t>特殊群体</w:t>
      </w:r>
      <w:r>
        <w:t>”</w:t>
      </w:r>
      <w:r>
        <w:t>的包容性需求关注匮乏。这为本研究运用多</w:t>
      </w:r>
      <w:proofErr w:type="gramStart"/>
      <w:r>
        <w:t>源数据</w:t>
      </w:r>
      <w:proofErr w:type="gramEnd"/>
      <w:r>
        <w:t>和高级统计模型进行深度效能归因提供了广阔的探索空间。</w:t>
      </w:r>
    </w:p>
    <w:p w14:paraId="39F97D7E" w14:textId="77777777" w:rsidR="003A1CC2" w:rsidRDefault="003A1CC2">
      <w:pPr>
        <w:ind w:firstLine="420"/>
      </w:pPr>
    </w:p>
    <w:p w14:paraId="36D28F6D" w14:textId="77777777" w:rsidR="003A1CC2" w:rsidRDefault="00000000">
      <w:pPr>
        <w:ind w:firstLine="420"/>
        <w:rPr>
          <w:highlight w:val="yellow"/>
        </w:rPr>
      </w:pPr>
      <w:r>
        <w:rPr>
          <w:highlight w:val="yellow"/>
        </w:rPr>
        <w:t>研究目的：评估健身驿站服务效能并探索精准优化路径</w:t>
      </w:r>
    </w:p>
    <w:p w14:paraId="2C6D1AB3" w14:textId="77777777" w:rsidR="003A1CC2" w:rsidRDefault="00000000">
      <w:pPr>
        <w:ind w:firstLine="420"/>
      </w:pPr>
      <w:r>
        <w:rPr>
          <w:highlight w:val="yellow"/>
        </w:rPr>
        <w:t>本次调研旨在系统评估上海市民健身驿站的服务效能，重点调查并分析其在硬件配置、服务质量、</w:t>
      </w:r>
      <w:proofErr w:type="gramStart"/>
      <w:r>
        <w:rPr>
          <w:highlight w:val="yellow"/>
        </w:rPr>
        <w:t>数智化</w:t>
      </w:r>
      <w:proofErr w:type="gramEnd"/>
      <w:r>
        <w:rPr>
          <w:highlight w:val="yellow"/>
        </w:rPr>
        <w:t>体验与可及性这四大维度的落实情况。通过对这些维度的交叉审视，力图识别当前服务体系中存在的短板与优化潜力。希望通过本次实证调研，不仅能够呈现上海市民健身驿站的真实运行图景，更能在此基础上提出一套分层、分类的精细化提升策略与可操作性方案，为促进公共健身服务从</w:t>
      </w:r>
      <w:r>
        <w:rPr>
          <w:highlight w:val="yellow"/>
        </w:rPr>
        <w:t>“</w:t>
      </w:r>
      <w:r>
        <w:rPr>
          <w:highlight w:val="yellow"/>
        </w:rPr>
        <w:t>有</w:t>
      </w:r>
      <w:r>
        <w:rPr>
          <w:highlight w:val="yellow"/>
        </w:rPr>
        <w:t>”</w:t>
      </w:r>
      <w:r>
        <w:rPr>
          <w:highlight w:val="yellow"/>
        </w:rPr>
        <w:t>向</w:t>
      </w:r>
      <w:r>
        <w:rPr>
          <w:highlight w:val="yellow"/>
        </w:rPr>
        <w:t>“</w:t>
      </w:r>
      <w:r>
        <w:rPr>
          <w:highlight w:val="yellow"/>
        </w:rPr>
        <w:t>优</w:t>
      </w:r>
      <w:r>
        <w:rPr>
          <w:highlight w:val="yellow"/>
        </w:rPr>
        <w:t>”</w:t>
      </w:r>
      <w:r>
        <w:rPr>
          <w:highlight w:val="yellow"/>
        </w:rPr>
        <w:t>的转型提供实证依据与决策参考。</w:t>
      </w:r>
      <w:r>
        <w:br/>
      </w:r>
      <w:r>
        <w:rPr>
          <w:rFonts w:hint="eastAsia"/>
        </w:rPr>
        <w:tab/>
      </w:r>
      <w:r>
        <w:t>本次调研旨在通过构建科学的评估体系，系统剖析上海市民健身驿站的真实运行图景。具体研究目的包括：</w:t>
      </w:r>
    </w:p>
    <w:p w14:paraId="2A652FC1" w14:textId="77777777" w:rsidR="003A1CC2" w:rsidRDefault="00000000">
      <w:pPr>
        <w:numPr>
          <w:ilvl w:val="0"/>
          <w:numId w:val="1"/>
        </w:numPr>
      </w:pPr>
      <w:r>
        <w:t>理论剖析：</w:t>
      </w:r>
      <w:r>
        <w:t> </w:t>
      </w:r>
      <w:r>
        <w:t>评估健身驿站在</w:t>
      </w:r>
      <w:r>
        <w:rPr>
          <w:b/>
          <w:bCs/>
        </w:rPr>
        <w:t>硬件配置、软性服务、</w:t>
      </w:r>
      <w:proofErr w:type="gramStart"/>
      <w:r>
        <w:rPr>
          <w:b/>
          <w:bCs/>
        </w:rPr>
        <w:t>数智化</w:t>
      </w:r>
      <w:proofErr w:type="gramEnd"/>
      <w:r>
        <w:rPr>
          <w:b/>
          <w:bCs/>
        </w:rPr>
        <w:t>体验与便利程度</w:t>
      </w:r>
      <w:r>
        <w:t>四大维度的实际效能表现，厘清影响用户满意度的核心驱动因素与非线性机制。</w:t>
      </w:r>
    </w:p>
    <w:p w14:paraId="5E914286" w14:textId="77777777" w:rsidR="003A1CC2" w:rsidRDefault="00000000">
      <w:pPr>
        <w:numPr>
          <w:ilvl w:val="0"/>
          <w:numId w:val="1"/>
        </w:numPr>
      </w:pPr>
      <w:r>
        <w:t>实践破局：</w:t>
      </w:r>
      <w:r>
        <w:t> </w:t>
      </w:r>
      <w:r>
        <w:t>交叉比对</w:t>
      </w:r>
      <w:r>
        <w:t>“</w:t>
      </w:r>
      <w:r>
        <w:t>现有使用者</w:t>
      </w:r>
      <w:r>
        <w:t>”</w:t>
      </w:r>
      <w:r>
        <w:t>与</w:t>
      </w:r>
      <w:r>
        <w:t>“</w:t>
      </w:r>
      <w:r>
        <w:t>潜在使用者</w:t>
      </w:r>
      <w:r>
        <w:t>”</w:t>
      </w:r>
      <w:r>
        <w:t>的需求差异，力图精准识别服务短板与转化痛点，进而提出一套分层、分类的精细</w:t>
      </w:r>
      <w:proofErr w:type="gramStart"/>
      <w:r>
        <w:t>化治理</w:t>
      </w:r>
      <w:proofErr w:type="gramEnd"/>
      <w:r>
        <w:t>策略，并输出可视化产品原型，为政府决策与企业运营提供数据驱动的参考依据。</w:t>
      </w:r>
    </w:p>
    <w:p w14:paraId="017E282F" w14:textId="77777777" w:rsidR="003A1CC2" w:rsidRDefault="003A1CC2">
      <w:pPr>
        <w:ind w:firstLine="420"/>
      </w:pPr>
    </w:p>
    <w:p w14:paraId="2A3BE844" w14:textId="77777777" w:rsidR="003A1CC2" w:rsidRDefault="00000000">
      <w:pPr>
        <w:ind w:firstLine="420"/>
        <w:rPr>
          <w:highlight w:val="yellow"/>
        </w:rPr>
      </w:pPr>
      <w:r>
        <w:rPr>
          <w:highlight w:val="yellow"/>
        </w:rPr>
        <w:t>本文整理了整体的研究思路，最终设立如下图</w:t>
      </w:r>
      <w:r>
        <w:rPr>
          <w:highlight w:val="yellow"/>
        </w:rPr>
        <w:t>2</w:t>
      </w:r>
      <w:r>
        <w:rPr>
          <w:highlight w:val="yellow"/>
        </w:rPr>
        <w:t>的研究框架路线图。</w:t>
      </w:r>
    </w:p>
    <w:p w14:paraId="27BDD279" w14:textId="77777777" w:rsidR="003A1CC2" w:rsidRDefault="00000000">
      <w:pPr>
        <w:ind w:firstLine="420"/>
      </w:pPr>
      <w:r>
        <w:t>本研究遵循</w:t>
      </w:r>
      <w:r>
        <w:t>“</w:t>
      </w:r>
      <w:r>
        <w:t>问题提出</w:t>
      </w:r>
      <w:r>
        <w:t>—</w:t>
      </w:r>
      <w:r>
        <w:t>理论构建</w:t>
      </w:r>
      <w:r>
        <w:t>—</w:t>
      </w:r>
      <w:r>
        <w:t>实证分析</w:t>
      </w:r>
      <w:r>
        <w:t>—</w:t>
      </w:r>
      <w:r>
        <w:t>策略产出</w:t>
      </w:r>
      <w:r>
        <w:t>”</w:t>
      </w:r>
      <w:r>
        <w:t>的严谨逻辑，具体技术路线与研究进程如图</w:t>
      </w:r>
      <w:r>
        <w:t>2</w:t>
      </w:r>
      <w:r>
        <w:t>所示。</w:t>
      </w:r>
    </w:p>
    <w:p w14:paraId="21D2673F" w14:textId="77777777" w:rsidR="003A1CC2" w:rsidRDefault="00000000">
      <w:r>
        <w:br w:type="page"/>
      </w:r>
    </w:p>
    <w:p w14:paraId="6F30E112" w14:textId="77777777" w:rsidR="003A1CC2" w:rsidRDefault="00000000">
      <w:r>
        <w:rPr>
          <w:highlight w:val="yellow"/>
        </w:rPr>
        <w:lastRenderedPageBreak/>
        <w:t>（一）调查目的：解析服务现状、用户需求与优化方向</w:t>
      </w:r>
      <w:r>
        <w:br/>
      </w:r>
      <w:r>
        <w:rPr>
          <w:rFonts w:hint="eastAsia"/>
        </w:rPr>
        <w:tab/>
      </w:r>
      <w:r>
        <w:t>本研究紧扣上海市</w:t>
      </w:r>
      <w:r>
        <w:t>“15</w:t>
      </w:r>
      <w:r>
        <w:t>分钟健身圈</w:t>
      </w:r>
      <w:r>
        <w:t>”</w:t>
      </w:r>
      <w:r>
        <w:t>建设背景，旨在通过系统的市场调查达成以下目标：</w:t>
      </w:r>
    </w:p>
    <w:p w14:paraId="15152FC0" w14:textId="77777777" w:rsidR="003A1CC2" w:rsidRDefault="00000000">
      <w:pPr>
        <w:numPr>
          <w:ilvl w:val="0"/>
          <w:numId w:val="1"/>
        </w:numPr>
      </w:pPr>
      <w:r>
        <w:t>探究供给现状：</w:t>
      </w:r>
      <w:r>
        <w:t> </w:t>
      </w:r>
      <w:r>
        <w:t>摸底上海市民健身驿站的服务供给现状，诊断日常运营与管理中的痛点问题。</w:t>
      </w:r>
    </w:p>
    <w:p w14:paraId="05A59597" w14:textId="77777777" w:rsidR="003A1CC2" w:rsidRDefault="00000000">
      <w:pPr>
        <w:numPr>
          <w:ilvl w:val="0"/>
          <w:numId w:val="1"/>
        </w:numPr>
      </w:pPr>
      <w:r>
        <w:t>厘清需求画像：</w:t>
      </w:r>
      <w:r>
        <w:t> </w:t>
      </w:r>
      <w:r>
        <w:t>精准描绘不同群体的需求特征，厘清市民对健身驿站的核心诉求与期望差距。</w:t>
      </w:r>
    </w:p>
    <w:p w14:paraId="4AA58B43" w14:textId="77777777" w:rsidR="003A1CC2" w:rsidRDefault="00000000">
      <w:pPr>
        <w:numPr>
          <w:ilvl w:val="0"/>
          <w:numId w:val="1"/>
        </w:numPr>
      </w:pPr>
      <w:r>
        <w:t>提供决策参考：</w:t>
      </w:r>
      <w:r>
        <w:t> </w:t>
      </w:r>
      <w:r>
        <w:t>为市民选择科学、便捷的健身场所提供参考依据，降低全民健身参与门槛。</w:t>
      </w:r>
    </w:p>
    <w:p w14:paraId="2DA420BE" w14:textId="77777777" w:rsidR="003A1CC2" w:rsidRDefault="00000000">
      <w:pPr>
        <w:numPr>
          <w:ilvl w:val="0"/>
          <w:numId w:val="1"/>
        </w:numPr>
      </w:pPr>
      <w:r>
        <w:t>赋能效能跃升：</w:t>
      </w:r>
      <w:r>
        <w:t> </w:t>
      </w:r>
      <w:r>
        <w:t>为政府及相关运营方优化资源配置、提升服务效能提供量化数据支撑，探索其在社区全民健身场景中的推广及商业延展价值。</w:t>
      </w:r>
    </w:p>
    <w:p w14:paraId="06900D28" w14:textId="77777777" w:rsidR="003A1CC2" w:rsidRDefault="003A1CC2">
      <w:pPr>
        <w:ind w:firstLine="420"/>
        <w:rPr>
          <w:highlight w:val="yellow"/>
        </w:rPr>
      </w:pPr>
    </w:p>
    <w:p w14:paraId="7E11276B" w14:textId="77777777" w:rsidR="003A1CC2" w:rsidRDefault="00000000">
      <w:pPr>
        <w:rPr>
          <w:highlight w:val="yellow"/>
        </w:rPr>
      </w:pPr>
      <w:r>
        <w:rPr>
          <w:highlight w:val="yellow"/>
        </w:rPr>
        <w:t>（三）方法整合：多维数据采集策略的三角互证</w:t>
      </w:r>
    </w:p>
    <w:p w14:paraId="65CD24DD" w14:textId="522F12A1" w:rsidR="00A54D60" w:rsidRDefault="00000000" w:rsidP="00A54D60">
      <w:pPr>
        <w:ind w:firstLine="420"/>
      </w:pPr>
      <w:r>
        <w:rPr>
          <w:highlight w:val="yellow"/>
        </w:rPr>
        <w:t>本文首先采用文献研究法梳理城市公共健身服务的发展历程与趋势，同时以线上问卷的方式收集现有使用者的真实体验与潜在使用者的需求，结合开放性问题挖掘市民对健身驿站的优化建议，形成</w:t>
      </w:r>
      <w:r>
        <w:rPr>
          <w:highlight w:val="yellow"/>
        </w:rPr>
        <w:t>“</w:t>
      </w:r>
      <w:r>
        <w:rPr>
          <w:highlight w:val="yellow"/>
        </w:rPr>
        <w:t>现状</w:t>
      </w:r>
      <w:r>
        <w:rPr>
          <w:highlight w:val="yellow"/>
        </w:rPr>
        <w:t xml:space="preserve"> - </w:t>
      </w:r>
      <w:r>
        <w:rPr>
          <w:highlight w:val="yellow"/>
        </w:rPr>
        <w:t>需求</w:t>
      </w:r>
      <w:r>
        <w:rPr>
          <w:highlight w:val="yellow"/>
        </w:rPr>
        <w:t xml:space="preserve"> - </w:t>
      </w:r>
      <w:r>
        <w:rPr>
          <w:highlight w:val="yellow"/>
        </w:rPr>
        <w:t>建议</w:t>
      </w:r>
      <w:r>
        <w:rPr>
          <w:highlight w:val="yellow"/>
        </w:rPr>
        <w:t>”</w:t>
      </w:r>
      <w:r>
        <w:rPr>
          <w:highlight w:val="yellow"/>
        </w:rPr>
        <w:t>的完整数据链。</w:t>
      </w:r>
      <w:r>
        <w:br/>
      </w:r>
      <w:r>
        <w:rPr>
          <w:rFonts w:hint="eastAsia"/>
        </w:rPr>
        <w:tab/>
      </w:r>
      <w:r>
        <w:t>本研究采用</w:t>
      </w:r>
      <w:r>
        <w:t>“</w:t>
      </w:r>
      <w:r>
        <w:t>定性探底</w:t>
      </w:r>
      <w:r>
        <w:t>+</w:t>
      </w:r>
      <w:r>
        <w:t>定量验证</w:t>
      </w:r>
      <w:r>
        <w:t>”</w:t>
      </w:r>
      <w:r>
        <w:t>的混合研究范式（</w:t>
      </w:r>
      <w:r>
        <w:t>Mixed Methods</w:t>
      </w:r>
      <w:r>
        <w:t>）。首先，运用文献研究法梳理城市公共健身服务的演进脉络；其次，通过实地观察与深度访谈获取一手质性资料，发掘真实痛点；最后，依托线上线下问卷调查获取大样本量化数据。多</w:t>
      </w:r>
      <w:proofErr w:type="gramStart"/>
      <w:r>
        <w:t>源数据</w:t>
      </w:r>
      <w:proofErr w:type="gramEnd"/>
      <w:r>
        <w:t>相互支撑，形成</w:t>
      </w:r>
      <w:r>
        <w:t>“</w:t>
      </w:r>
      <w:r>
        <w:t>现状剖析</w:t>
      </w:r>
      <w:r>
        <w:t>-</w:t>
      </w:r>
      <w:r>
        <w:t>需求挖掘</w:t>
      </w:r>
      <w:r>
        <w:t>-</w:t>
      </w:r>
      <w:r>
        <w:t>对策建议</w:t>
      </w:r>
      <w:r>
        <w:t>”</w:t>
      </w:r>
      <w:r>
        <w:t>的完整证据链，确保研究结论的信效度。</w:t>
      </w:r>
    </w:p>
    <w:p w14:paraId="2A2E18D4" w14:textId="77777777" w:rsidR="00A54D60" w:rsidRDefault="00A54D60" w:rsidP="00A54D60">
      <w:pPr>
        <w:ind w:firstLine="420"/>
      </w:pPr>
    </w:p>
    <w:p w14:paraId="681EBA66" w14:textId="77777777" w:rsidR="00A54D60" w:rsidRDefault="00A54D60" w:rsidP="00A54D60">
      <w:pPr>
        <w:ind w:firstLine="420"/>
      </w:pPr>
    </w:p>
    <w:p w14:paraId="57754065" w14:textId="25012086" w:rsidR="00A54D60" w:rsidRDefault="00A54D60" w:rsidP="00A54D60">
      <w:pPr>
        <w:ind w:firstLine="420"/>
        <w:rPr>
          <w:rFonts w:hint="eastAsia"/>
        </w:rPr>
      </w:pPr>
      <w:r w:rsidRPr="00A54D60">
        <w:rPr>
          <w:rFonts w:hint="eastAsia"/>
          <w:highlight w:val="yellow"/>
        </w:rPr>
        <w:t>改一下第一列的名称，全文统一</w:t>
      </w:r>
    </w:p>
    <w:p w14:paraId="0F926740" w14:textId="7EE0768E" w:rsidR="00A54D60" w:rsidRDefault="00A54D60" w:rsidP="00A54D60">
      <w:r>
        <w:rPr>
          <w:noProof/>
        </w:rPr>
        <w:drawing>
          <wp:inline distT="0" distB="0" distL="0" distR="0" wp14:anchorId="04313467" wp14:editId="585B5404">
            <wp:extent cx="4702609" cy="4172674"/>
            <wp:effectExtent l="0" t="0" r="3175" b="0"/>
            <wp:docPr id="35998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8135" name=""/>
                    <pic:cNvPicPr/>
                  </pic:nvPicPr>
                  <pic:blipFill>
                    <a:blip r:embed="rId5"/>
                    <a:stretch>
                      <a:fillRect/>
                    </a:stretch>
                  </pic:blipFill>
                  <pic:spPr>
                    <a:xfrm>
                      <a:off x="0" y="0"/>
                      <a:ext cx="4705881" cy="4175578"/>
                    </a:xfrm>
                    <a:prstGeom prst="rect">
                      <a:avLst/>
                    </a:prstGeom>
                  </pic:spPr>
                </pic:pic>
              </a:graphicData>
            </a:graphic>
          </wp:inline>
        </w:drawing>
      </w:r>
    </w:p>
    <w:p w14:paraId="08314D84" w14:textId="77777777" w:rsidR="00A54D60" w:rsidRPr="00A54D60" w:rsidRDefault="00A54D60" w:rsidP="00A54D60">
      <w:pPr>
        <w:spacing w:beforeLines="50" w:before="156" w:line="300" w:lineRule="auto"/>
        <w:ind w:firstLineChars="200" w:firstLine="420"/>
        <w:rPr>
          <w:rFonts w:ascii="宋体" w:eastAsia="宋体" w:hAnsi="宋体" w:cs="Arial"/>
          <w:color w:val="1F2329"/>
          <w:szCs w:val="21"/>
          <w:shd w:val="clear" w:color="auto" w:fill="FFFFFF"/>
        </w:rPr>
      </w:pPr>
      <w:r w:rsidRPr="00A54D60">
        <w:rPr>
          <w:rFonts w:ascii="宋体" w:eastAsia="宋体" w:hAnsi="宋体" w:cs="Arial"/>
          <w:color w:val="1F2329"/>
          <w:szCs w:val="21"/>
          <w:highlight w:val="yellow"/>
          <w:shd w:val="clear" w:color="auto" w:fill="FFFFFF"/>
        </w:rPr>
        <w:lastRenderedPageBreak/>
        <w:t>总体而言，对正式调研获得的数据进行信度分析后，四大维度在两类群体中均表现出良好的内部一致性，这佐证了本次问卷量表题的整体一致性符合要求，问卷设置合理。</w:t>
      </w:r>
    </w:p>
    <w:p w14:paraId="66776358" w14:textId="77777777" w:rsidR="00A54D60" w:rsidRPr="00A54D60" w:rsidRDefault="00A54D60" w:rsidP="00A54D60">
      <w:pPr>
        <w:spacing w:beforeLines="50" w:before="156" w:line="300" w:lineRule="auto"/>
        <w:ind w:firstLineChars="200" w:firstLine="420"/>
        <w:rPr>
          <w:rFonts w:ascii="宋体" w:eastAsia="宋体" w:hAnsi="宋体" w:cs="Arial" w:hint="eastAsia"/>
          <w:color w:val="1F2329"/>
          <w:szCs w:val="21"/>
          <w:shd w:val="clear" w:color="auto" w:fill="FFFFFF"/>
        </w:rPr>
      </w:pPr>
      <w:r w:rsidRPr="00A54D60">
        <w:rPr>
          <w:rFonts w:ascii="宋体" w:eastAsia="宋体" w:hAnsi="宋体" w:cs="Arial"/>
          <w:color w:val="1F2329"/>
          <w:szCs w:val="21"/>
          <w:shd w:val="clear" w:color="auto" w:fill="FFFFFF"/>
        </w:rPr>
        <w:t>总体而言，</w:t>
      </w:r>
      <w:r w:rsidRPr="00A54D60">
        <w:rPr>
          <w:rFonts w:ascii="宋体" w:eastAsia="宋体" w:hAnsi="宋体" w:cs="Arial" w:hint="eastAsia"/>
          <w:color w:val="1F2329"/>
          <w:szCs w:val="21"/>
          <w:shd w:val="clear" w:color="auto" w:fill="FFFFFF"/>
        </w:rPr>
        <w:t xml:space="preserve">如表6、表7所示，正式大样本的各项 </w:t>
      </w:r>
      <m:oMath>
        <m:r>
          <w:rPr>
            <w:rFonts w:ascii="Cambria Math" w:eastAsia="宋体" w:hAnsi="Cambria Math" w:cs="Arial"/>
            <w:color w:val="1F2329"/>
            <w:szCs w:val="21"/>
            <w:shd w:val="clear" w:color="auto" w:fill="FFFFFF"/>
          </w:rPr>
          <m:t xml:space="preserve">α </m:t>
        </m:r>
      </m:oMath>
      <w:r w:rsidRPr="00A54D60">
        <w:rPr>
          <w:rFonts w:ascii="宋体" w:eastAsia="宋体" w:hAnsi="宋体" w:cs="Arial" w:hint="eastAsia"/>
          <w:color w:val="1F2329"/>
          <w:szCs w:val="21"/>
          <w:shd w:val="clear" w:color="auto" w:fill="FFFFFF"/>
        </w:rPr>
        <w:t>系数均较预调</w:t>
      </w:r>
      <w:proofErr w:type="gramStart"/>
      <w:r w:rsidRPr="00A54D60">
        <w:rPr>
          <w:rFonts w:ascii="宋体" w:eastAsia="宋体" w:hAnsi="宋体" w:cs="Arial" w:hint="eastAsia"/>
          <w:color w:val="1F2329"/>
          <w:szCs w:val="21"/>
          <w:shd w:val="clear" w:color="auto" w:fill="FFFFFF"/>
        </w:rPr>
        <w:t>研</w:t>
      </w:r>
      <w:proofErr w:type="gramEnd"/>
      <w:r w:rsidRPr="00A54D60">
        <w:rPr>
          <w:rFonts w:ascii="宋体" w:eastAsia="宋体" w:hAnsi="宋体" w:cs="Arial" w:hint="eastAsia"/>
          <w:color w:val="1F2329"/>
          <w:szCs w:val="21"/>
          <w:shd w:val="clear" w:color="auto" w:fill="FFFFFF"/>
        </w:rPr>
        <w:t>进一步攀升（总体信度分别达0.915和0.886），再次强力印证了问卷设计的科学性与数据的极高稳定性。</w:t>
      </w:r>
    </w:p>
    <w:p w14:paraId="0D2B1AA0" w14:textId="77777777" w:rsidR="00A54D60" w:rsidRPr="00A54D60" w:rsidRDefault="00A54D60" w:rsidP="00A54D60">
      <w:pPr>
        <w:spacing w:beforeLines="50" w:before="156" w:line="300" w:lineRule="auto"/>
        <w:rPr>
          <w:rFonts w:ascii="宋体" w:eastAsia="宋体" w:hAnsi="宋体" w:cs="Arial" w:hint="eastAsia"/>
          <w:color w:val="1F2329"/>
          <w:szCs w:val="21"/>
          <w:shd w:val="clear" w:color="auto" w:fill="FFFFFF"/>
        </w:rPr>
      </w:pPr>
      <w:r w:rsidRPr="00A54D60">
        <w:rPr>
          <w:rFonts w:ascii="宋体" w:eastAsia="宋体" w:hAnsi="宋体" w:cs="Arial" w:hint="eastAsia"/>
          <w:color w:val="1F2329"/>
          <w:szCs w:val="21"/>
          <w:shd w:val="clear" w:color="auto" w:fill="FFFFFF"/>
        </w:rPr>
        <w:t>（3）效度分析</w:t>
      </w:r>
    </w:p>
    <w:p w14:paraId="49A91A48" w14:textId="77777777" w:rsidR="00A54D60" w:rsidRPr="00A54D60" w:rsidRDefault="00A54D60" w:rsidP="00A54D60">
      <w:pPr>
        <w:spacing w:beforeLines="50" w:before="156" w:line="300" w:lineRule="auto"/>
        <w:ind w:firstLineChars="200" w:firstLine="420"/>
        <w:rPr>
          <w:rFonts w:ascii="宋体" w:eastAsia="宋体" w:hAnsi="宋体" w:cs="Arial"/>
          <w:color w:val="1F2329"/>
          <w:szCs w:val="21"/>
          <w:shd w:val="clear" w:color="auto" w:fill="FFFFFF"/>
        </w:rPr>
      </w:pPr>
      <w:r w:rsidRPr="00A54D60">
        <w:rPr>
          <w:rFonts w:ascii="宋体" w:eastAsia="宋体" w:hAnsi="宋体" w:cs="Arial" w:hint="eastAsia"/>
          <w:color w:val="1F2329"/>
          <w:szCs w:val="21"/>
          <w:highlight w:val="yellow"/>
          <w:shd w:val="clear" w:color="auto" w:fill="FFFFFF"/>
        </w:rPr>
        <w:t>根据预调</w:t>
      </w:r>
      <w:proofErr w:type="gramStart"/>
      <w:r w:rsidRPr="00A54D60">
        <w:rPr>
          <w:rFonts w:ascii="宋体" w:eastAsia="宋体" w:hAnsi="宋体" w:cs="Arial" w:hint="eastAsia"/>
          <w:color w:val="1F2329"/>
          <w:szCs w:val="21"/>
          <w:highlight w:val="yellow"/>
          <w:shd w:val="clear" w:color="auto" w:fill="FFFFFF"/>
        </w:rPr>
        <w:t>研</w:t>
      </w:r>
      <w:proofErr w:type="gramEnd"/>
      <w:r w:rsidRPr="00A54D60">
        <w:rPr>
          <w:rFonts w:ascii="宋体" w:eastAsia="宋体" w:hAnsi="宋体" w:cs="Arial" w:hint="eastAsia"/>
          <w:color w:val="1F2329"/>
          <w:szCs w:val="21"/>
          <w:highlight w:val="yellow"/>
          <w:shd w:val="clear" w:color="auto" w:fill="FFFFFF"/>
        </w:rPr>
        <w:t>关于效度分析的说明，效度分析的相关内容将放于第四、五章进行详细说明。</w:t>
      </w:r>
    </w:p>
    <w:p w14:paraId="776211CC" w14:textId="77777777" w:rsidR="00A54D60" w:rsidRPr="00A54D60" w:rsidRDefault="00A54D60" w:rsidP="00A54D60">
      <w:pPr>
        <w:spacing w:beforeLines="50" w:before="156" w:line="300" w:lineRule="auto"/>
        <w:ind w:firstLineChars="200" w:firstLine="420"/>
        <w:rPr>
          <w:rFonts w:ascii="宋体" w:eastAsia="宋体" w:hAnsi="宋体" w:cs="Arial" w:hint="eastAsia"/>
          <w:color w:val="1F2329"/>
          <w:szCs w:val="21"/>
          <w:shd w:val="clear" w:color="auto" w:fill="FFFFFF"/>
        </w:rPr>
      </w:pPr>
      <w:r w:rsidRPr="00A54D60">
        <w:rPr>
          <w:rFonts w:ascii="宋体" w:eastAsia="宋体" w:hAnsi="宋体" w:cs="Arial" w:hint="eastAsia"/>
          <w:color w:val="1F2329"/>
          <w:szCs w:val="21"/>
          <w:shd w:val="clear" w:color="auto" w:fill="FFFFFF"/>
        </w:rPr>
        <w:t>问卷内容高度契合政策指引与实地探勘反馈，具备优良的内容效度。更为核心的探索性因子分析（EFA）与验证性因子分析（CFA）将置于第四、五</w:t>
      </w:r>
      <w:proofErr w:type="gramStart"/>
      <w:r w:rsidRPr="00A54D60">
        <w:rPr>
          <w:rFonts w:ascii="宋体" w:eastAsia="宋体" w:hAnsi="宋体" w:cs="Arial" w:hint="eastAsia"/>
          <w:color w:val="1F2329"/>
          <w:szCs w:val="21"/>
          <w:shd w:val="clear" w:color="auto" w:fill="FFFFFF"/>
        </w:rPr>
        <w:t>章结合</w:t>
      </w:r>
      <w:proofErr w:type="gramEnd"/>
      <w:r w:rsidRPr="00A54D60">
        <w:rPr>
          <w:rFonts w:ascii="宋体" w:eastAsia="宋体" w:hAnsi="宋体" w:cs="Arial" w:hint="eastAsia"/>
          <w:color w:val="1F2329"/>
          <w:szCs w:val="21"/>
          <w:shd w:val="clear" w:color="auto" w:fill="FFFFFF"/>
        </w:rPr>
        <w:t>结构方程模型（SEM）深度展开，以保证实证推演的严密性与连贯性。</w:t>
      </w:r>
    </w:p>
    <w:p w14:paraId="231F9684" w14:textId="77777777" w:rsidR="00A54D60" w:rsidRPr="00A54D60" w:rsidRDefault="00A54D60" w:rsidP="00A54D60">
      <w:pPr>
        <w:rPr>
          <w:rFonts w:hint="eastAsia"/>
        </w:rPr>
      </w:pPr>
    </w:p>
    <w:p w14:paraId="4D73C9EF" w14:textId="77777777" w:rsidR="002649F2" w:rsidRPr="002649F2" w:rsidRDefault="002649F2" w:rsidP="002649F2">
      <w:pPr>
        <w:rPr>
          <w:rFonts w:hint="eastAsia"/>
          <w:highlight w:val="yellow"/>
        </w:rPr>
      </w:pPr>
      <w:r w:rsidRPr="002649F2">
        <w:rPr>
          <w:rFonts w:hint="eastAsia"/>
          <w:highlight w:val="yellow"/>
        </w:rPr>
        <w:t xml:space="preserve">2. </w:t>
      </w:r>
      <w:r w:rsidRPr="002649F2">
        <w:rPr>
          <w:rFonts w:hint="eastAsia"/>
          <w:highlight w:val="yellow"/>
        </w:rPr>
        <w:t>区域分布：以校区为核心辐射，兼顾全市覆盖</w:t>
      </w:r>
    </w:p>
    <w:p w14:paraId="42AD465B" w14:textId="3B9BD659" w:rsidR="003A1CC2" w:rsidRDefault="002649F2" w:rsidP="002649F2">
      <w:pPr>
        <w:ind w:firstLine="430"/>
      </w:pPr>
      <w:r w:rsidRPr="002649F2">
        <w:rPr>
          <w:rFonts w:hint="eastAsia"/>
          <w:highlight w:val="yellow"/>
        </w:rPr>
        <w:t>常住区域分布呈现明显的</w:t>
      </w:r>
      <w:r w:rsidRPr="002649F2">
        <w:rPr>
          <w:rFonts w:hint="eastAsia"/>
          <w:highlight w:val="yellow"/>
        </w:rPr>
        <w:t>"</w:t>
      </w:r>
      <w:proofErr w:type="gramStart"/>
      <w:r w:rsidRPr="002649F2">
        <w:rPr>
          <w:rFonts w:hint="eastAsia"/>
          <w:highlight w:val="yellow"/>
        </w:rPr>
        <w:t>双核心</w:t>
      </w:r>
      <w:proofErr w:type="gramEnd"/>
      <w:r w:rsidRPr="002649F2">
        <w:rPr>
          <w:rFonts w:hint="eastAsia"/>
          <w:highlight w:val="yellow"/>
        </w:rPr>
        <w:t>"</w:t>
      </w:r>
      <w:r w:rsidRPr="002649F2">
        <w:rPr>
          <w:rFonts w:hint="eastAsia"/>
          <w:highlight w:val="yellow"/>
        </w:rPr>
        <w:t>特征：嘉定区（</w:t>
      </w:r>
      <w:r w:rsidRPr="002649F2">
        <w:rPr>
          <w:rFonts w:hint="eastAsia"/>
          <w:highlight w:val="yellow"/>
        </w:rPr>
        <w:t xml:space="preserve">145 </w:t>
      </w:r>
      <w:r w:rsidRPr="002649F2">
        <w:rPr>
          <w:rFonts w:hint="eastAsia"/>
          <w:highlight w:val="yellow"/>
        </w:rPr>
        <w:t>份）与杨浦区（</w:t>
      </w:r>
      <w:r w:rsidRPr="002649F2">
        <w:rPr>
          <w:rFonts w:hint="eastAsia"/>
          <w:highlight w:val="yellow"/>
        </w:rPr>
        <w:t xml:space="preserve">141 </w:t>
      </w:r>
      <w:r w:rsidRPr="002649F2">
        <w:rPr>
          <w:rFonts w:hint="eastAsia"/>
          <w:highlight w:val="yellow"/>
        </w:rPr>
        <w:t>份）样本量显著领先，合计占总样本的</w:t>
      </w:r>
      <w:r w:rsidRPr="002649F2">
        <w:rPr>
          <w:rFonts w:hint="eastAsia"/>
          <w:highlight w:val="yellow"/>
        </w:rPr>
        <w:t>36.5%</w:t>
      </w:r>
      <w:r w:rsidRPr="002649F2">
        <w:rPr>
          <w:rFonts w:hint="eastAsia"/>
          <w:highlight w:val="yellow"/>
        </w:rPr>
        <w:t>，因调研初期优先在这两个区域开展集中式实地调研，样本搜集效率更高、覆盖范围更广，故而形成样本集中的特点。浦东新区（</w:t>
      </w:r>
      <w:r w:rsidRPr="002649F2">
        <w:rPr>
          <w:rFonts w:hint="eastAsia"/>
          <w:highlight w:val="yellow"/>
        </w:rPr>
        <w:t>80</w:t>
      </w:r>
      <w:r w:rsidRPr="002649F2">
        <w:rPr>
          <w:rFonts w:hint="eastAsia"/>
          <w:highlight w:val="yellow"/>
        </w:rPr>
        <w:t>份）凭借其人口体量位居第三，宝山区（</w:t>
      </w:r>
      <w:r w:rsidRPr="002649F2">
        <w:rPr>
          <w:rFonts w:hint="eastAsia"/>
          <w:highlight w:val="yellow"/>
        </w:rPr>
        <w:t>50</w:t>
      </w:r>
      <w:r w:rsidRPr="002649F2">
        <w:rPr>
          <w:rFonts w:hint="eastAsia"/>
          <w:highlight w:val="yellow"/>
        </w:rPr>
        <w:t>份）、闵行区（</w:t>
      </w:r>
      <w:r w:rsidRPr="002649F2">
        <w:rPr>
          <w:rFonts w:hint="eastAsia"/>
          <w:highlight w:val="yellow"/>
        </w:rPr>
        <w:t xml:space="preserve">46 </w:t>
      </w:r>
      <w:r w:rsidRPr="002649F2">
        <w:rPr>
          <w:rFonts w:hint="eastAsia"/>
          <w:highlight w:val="yellow"/>
        </w:rPr>
        <w:t>份）、松江区（</w:t>
      </w:r>
      <w:r w:rsidRPr="002649F2">
        <w:rPr>
          <w:rFonts w:hint="eastAsia"/>
          <w:highlight w:val="yellow"/>
        </w:rPr>
        <w:t>40</w:t>
      </w:r>
      <w:r w:rsidRPr="002649F2">
        <w:rPr>
          <w:rFonts w:hint="eastAsia"/>
          <w:highlight w:val="yellow"/>
        </w:rPr>
        <w:t>份）等周边城区亦有较充足样本。其余各区样本量在</w:t>
      </w:r>
      <w:r w:rsidRPr="002649F2">
        <w:rPr>
          <w:rFonts w:hint="eastAsia"/>
          <w:highlight w:val="yellow"/>
        </w:rPr>
        <w:t>15</w:t>
      </w:r>
      <w:r w:rsidRPr="002649F2">
        <w:rPr>
          <w:rFonts w:hint="eastAsia"/>
          <w:highlight w:val="yellow"/>
        </w:rPr>
        <w:t>～</w:t>
      </w:r>
      <w:r w:rsidRPr="002649F2">
        <w:rPr>
          <w:rFonts w:hint="eastAsia"/>
          <w:highlight w:val="yellow"/>
        </w:rPr>
        <w:t xml:space="preserve">37 </w:t>
      </w:r>
      <w:r w:rsidRPr="002649F2">
        <w:rPr>
          <w:rFonts w:hint="eastAsia"/>
          <w:highlight w:val="yellow"/>
        </w:rPr>
        <w:t>份之间，实现了上海</w:t>
      </w:r>
      <w:r w:rsidRPr="002649F2">
        <w:rPr>
          <w:rFonts w:hint="eastAsia"/>
          <w:highlight w:val="yellow"/>
        </w:rPr>
        <w:t>16</w:t>
      </w:r>
      <w:r w:rsidRPr="002649F2">
        <w:rPr>
          <w:rFonts w:hint="eastAsia"/>
          <w:highlight w:val="yellow"/>
        </w:rPr>
        <w:t>个行政区的全覆盖。该</w:t>
      </w:r>
      <w:proofErr w:type="gramStart"/>
      <w:r w:rsidRPr="002649F2">
        <w:rPr>
          <w:rFonts w:hint="eastAsia"/>
          <w:highlight w:val="yellow"/>
        </w:rPr>
        <w:t>分布既</w:t>
      </w:r>
      <w:proofErr w:type="gramEnd"/>
      <w:r w:rsidRPr="002649F2">
        <w:rPr>
          <w:rFonts w:hint="eastAsia"/>
          <w:highlight w:val="yellow"/>
        </w:rPr>
        <w:t>保证了核心区域的样本深度，又兼顾了中心城区与郊区新城的广泛代表性，能够客观反映不同空间形态下健身驿站的服务现状。</w:t>
      </w:r>
    </w:p>
    <w:p w14:paraId="26378952" w14:textId="34E12463" w:rsidR="002649F2" w:rsidRDefault="0016330A" w:rsidP="002649F2">
      <w:pPr>
        <w:ind w:firstLine="430"/>
      </w:pPr>
      <w:r w:rsidRPr="0016330A">
        <w:rPr>
          <w:rFonts w:hint="eastAsia"/>
        </w:rPr>
        <w:t>常住区域分布呈现明显的</w:t>
      </w:r>
      <w:r w:rsidRPr="0016330A">
        <w:rPr>
          <w:rFonts w:hint="eastAsia"/>
        </w:rPr>
        <w:t>"</w:t>
      </w:r>
      <w:proofErr w:type="gramStart"/>
      <w:r w:rsidRPr="0016330A">
        <w:rPr>
          <w:rFonts w:hint="eastAsia"/>
        </w:rPr>
        <w:t>双核心</w:t>
      </w:r>
      <w:proofErr w:type="gramEnd"/>
      <w:r w:rsidRPr="0016330A">
        <w:rPr>
          <w:rFonts w:hint="eastAsia"/>
        </w:rPr>
        <w:t>"</w:t>
      </w:r>
      <w:r w:rsidRPr="0016330A">
        <w:rPr>
          <w:rFonts w:hint="eastAsia"/>
        </w:rPr>
        <w:t>特征：嘉定区（</w:t>
      </w:r>
      <w:r w:rsidRPr="0016330A">
        <w:rPr>
          <w:rFonts w:hint="eastAsia"/>
        </w:rPr>
        <w:t>145</w:t>
      </w:r>
      <w:r w:rsidRPr="0016330A">
        <w:rPr>
          <w:rFonts w:hint="eastAsia"/>
        </w:rPr>
        <w:t>份）与杨浦区（</w:t>
      </w:r>
      <w:r w:rsidRPr="0016330A">
        <w:rPr>
          <w:rFonts w:hint="eastAsia"/>
        </w:rPr>
        <w:t>141</w:t>
      </w:r>
      <w:r w:rsidRPr="0016330A">
        <w:rPr>
          <w:rFonts w:hint="eastAsia"/>
        </w:rPr>
        <w:t>份）样本量显著领先（合计占</w:t>
      </w:r>
      <w:r w:rsidRPr="0016330A">
        <w:rPr>
          <w:rFonts w:hint="eastAsia"/>
        </w:rPr>
        <w:t>36.5%</w:t>
      </w:r>
      <w:r w:rsidRPr="0016330A">
        <w:rPr>
          <w:rFonts w:hint="eastAsia"/>
        </w:rPr>
        <w:t>）。这一分布是基于科学的调研策略规划：杨浦与嘉定作为</w:t>
      </w:r>
      <w:proofErr w:type="gramStart"/>
      <w:r w:rsidRPr="0016330A">
        <w:rPr>
          <w:rFonts w:hint="eastAsia"/>
        </w:rPr>
        <w:t>上海科创产学研</w:t>
      </w:r>
      <w:proofErr w:type="gramEnd"/>
      <w:r w:rsidRPr="0016330A">
        <w:rPr>
          <w:rFonts w:hint="eastAsia"/>
        </w:rPr>
        <w:t>集聚区与大型居住社区的典型代表，是“</w:t>
      </w:r>
      <w:r w:rsidRPr="0016330A">
        <w:rPr>
          <w:rFonts w:hint="eastAsia"/>
        </w:rPr>
        <w:t>15</w:t>
      </w:r>
      <w:r w:rsidRPr="0016330A">
        <w:rPr>
          <w:rFonts w:hint="eastAsia"/>
        </w:rPr>
        <w:t>分钟社区生活圈”健身驿站落地的核心示范带。</w:t>
      </w:r>
      <w:r w:rsidRPr="0016330A">
        <w:rPr>
          <w:rFonts w:hint="eastAsia"/>
        </w:rPr>
        <w:t xml:space="preserve"> </w:t>
      </w:r>
      <w:r w:rsidRPr="0016330A">
        <w:rPr>
          <w:rFonts w:hint="eastAsia"/>
        </w:rPr>
        <w:t>此外，浦东新区（</w:t>
      </w:r>
      <w:r w:rsidRPr="0016330A">
        <w:rPr>
          <w:rFonts w:hint="eastAsia"/>
        </w:rPr>
        <w:t>80</w:t>
      </w:r>
      <w:r w:rsidRPr="0016330A">
        <w:rPr>
          <w:rFonts w:hint="eastAsia"/>
        </w:rPr>
        <w:t>份）、宝山区（</w:t>
      </w:r>
      <w:r w:rsidRPr="0016330A">
        <w:rPr>
          <w:rFonts w:hint="eastAsia"/>
        </w:rPr>
        <w:t>50</w:t>
      </w:r>
      <w:r w:rsidRPr="0016330A">
        <w:rPr>
          <w:rFonts w:hint="eastAsia"/>
        </w:rPr>
        <w:t>份）、闵行区（</w:t>
      </w:r>
      <w:r w:rsidRPr="0016330A">
        <w:rPr>
          <w:rFonts w:hint="eastAsia"/>
        </w:rPr>
        <w:t>46</w:t>
      </w:r>
      <w:r w:rsidRPr="0016330A">
        <w:rPr>
          <w:rFonts w:hint="eastAsia"/>
        </w:rPr>
        <w:t>份）等周边城区亦有充足样本，其余各区样本量在</w:t>
      </w:r>
      <w:r w:rsidRPr="0016330A">
        <w:rPr>
          <w:rFonts w:hint="eastAsia"/>
        </w:rPr>
        <w:t>15</w:t>
      </w:r>
      <w:r w:rsidRPr="0016330A">
        <w:rPr>
          <w:rFonts w:hint="eastAsia"/>
        </w:rPr>
        <w:t>～</w:t>
      </w:r>
      <w:r w:rsidRPr="0016330A">
        <w:rPr>
          <w:rFonts w:hint="eastAsia"/>
        </w:rPr>
        <w:t>37</w:t>
      </w:r>
      <w:r w:rsidRPr="0016330A">
        <w:rPr>
          <w:rFonts w:hint="eastAsia"/>
        </w:rPr>
        <w:t>份之间，实现了上海</w:t>
      </w:r>
      <w:r w:rsidRPr="0016330A">
        <w:rPr>
          <w:rFonts w:hint="eastAsia"/>
        </w:rPr>
        <w:t>16</w:t>
      </w:r>
      <w:r w:rsidRPr="0016330A">
        <w:rPr>
          <w:rFonts w:hint="eastAsia"/>
        </w:rPr>
        <w:t>个行政区的全覆盖。该</w:t>
      </w:r>
      <w:proofErr w:type="gramStart"/>
      <w:r w:rsidRPr="0016330A">
        <w:rPr>
          <w:rFonts w:hint="eastAsia"/>
        </w:rPr>
        <w:t>分布既</w:t>
      </w:r>
      <w:proofErr w:type="gramEnd"/>
      <w:r w:rsidRPr="0016330A">
        <w:rPr>
          <w:rFonts w:hint="eastAsia"/>
        </w:rPr>
        <w:t>保证了典型区域的样本挖掘深度，又兼顾了全市不同空间形态的广泛代表性。</w:t>
      </w:r>
    </w:p>
    <w:p w14:paraId="2DDFC54C" w14:textId="77777777" w:rsidR="0016330A" w:rsidRDefault="0016330A" w:rsidP="002649F2">
      <w:pPr>
        <w:ind w:firstLine="430"/>
      </w:pPr>
    </w:p>
    <w:p w14:paraId="0B01ED70" w14:textId="6447439B" w:rsidR="0016330A" w:rsidRDefault="0016330A" w:rsidP="008E41F0">
      <w:r w:rsidRPr="008E41F0">
        <w:rPr>
          <w:rFonts w:hint="eastAsia"/>
          <w:highlight w:val="yellow"/>
        </w:rPr>
        <w:t xml:space="preserve">2. </w:t>
      </w:r>
      <w:r w:rsidRPr="008E41F0">
        <w:rPr>
          <w:rFonts w:hint="eastAsia"/>
          <w:highlight w:val="yellow"/>
        </w:rPr>
        <w:t>综合评价：模糊综合评价（</w:t>
      </w:r>
      <w:r w:rsidRPr="008E41F0">
        <w:rPr>
          <w:rFonts w:hint="eastAsia"/>
          <w:highlight w:val="yellow"/>
        </w:rPr>
        <w:t>FCE</w:t>
      </w:r>
      <w:r w:rsidRPr="008E41F0">
        <w:rPr>
          <w:rFonts w:hint="eastAsia"/>
          <w:highlight w:val="yellow"/>
        </w:rPr>
        <w:t>）结果解读</w:t>
      </w:r>
    </w:p>
    <w:p w14:paraId="22435BA9" w14:textId="666D527A" w:rsidR="0016330A" w:rsidRPr="0016330A" w:rsidRDefault="0016330A" w:rsidP="0016330A">
      <w:pPr>
        <w:ind w:firstLine="420"/>
      </w:pPr>
      <w:r w:rsidRPr="0016330A">
        <w:t xml:space="preserve">7 </w:t>
      </w:r>
      <w:r w:rsidRPr="0016330A">
        <w:t>分</w:t>
      </w:r>
      <w:proofErr w:type="gramStart"/>
      <w:r w:rsidRPr="0016330A">
        <w:t>制综合</w:t>
      </w:r>
      <w:proofErr w:type="gramEnd"/>
      <w:r w:rsidRPr="0016330A">
        <w:t>分（记为</w:t>
      </w:r>
      <w:r w:rsidRPr="0016330A">
        <w:t> </w:t>
      </w:r>
      <m:oMath>
        <m:sSub>
          <m:sSubPr>
            <m:ctrlPr>
              <w:rPr>
                <w:rFonts w:ascii="Cambria Math" w:hAnsi="Cambria Math"/>
              </w:rPr>
            </m:ctrlPr>
          </m:sSubPr>
          <m:e>
            <m:r>
              <w:rPr>
                <w:rFonts w:ascii="Cambria Math" w:hAnsi="Cambria Math"/>
              </w:rPr>
              <m:t>S</m:t>
            </m:r>
          </m:e>
          <m:sub>
            <m:r>
              <w:rPr>
                <w:rFonts w:ascii="Cambria Math" w:hAnsi="Cambria Math"/>
              </w:rPr>
              <m:t>7</m:t>
            </m:r>
          </m:sub>
        </m:sSub>
      </m:oMath>
      <w:r w:rsidRPr="0016330A">
        <w:t>）按加权求和得到：</w:t>
      </w:r>
    </w:p>
    <w:p w14:paraId="0D20363E" w14:textId="3F0A2317" w:rsidR="0016330A" w:rsidRPr="0016330A" w:rsidRDefault="0016330A" w:rsidP="0016330A">
      <m:oMathPara>
        <m:oMath>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e>
          </m:nary>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X</m:t>
              </m:r>
            </m:e>
          </m:acc>
          <m:r>
            <w:rPr>
              <w:rFonts w:ascii="Cambria Math" w:hAnsi="Cambria Math"/>
            </w:rPr>
            <m:t>⋅W</m:t>
          </m:r>
        </m:oMath>
      </m:oMathPara>
    </w:p>
    <w:p w14:paraId="2C09A9E7" w14:textId="4E3E2019" w:rsidR="0016330A" w:rsidRPr="0016330A" w:rsidRDefault="0016330A" w:rsidP="008E41F0">
      <w:pPr>
        <w:ind w:firstLine="420"/>
      </w:pPr>
      <w:r w:rsidRPr="0016330A">
        <w:t>该值可理解为</w:t>
      </w:r>
      <w:r w:rsidRPr="0016330A">
        <w:t>“</w:t>
      </w:r>
      <w:r w:rsidRPr="0016330A">
        <w:t>总体服务效能在李克特</w:t>
      </w:r>
      <w:r w:rsidRPr="0016330A">
        <w:t xml:space="preserve"> 7 </w:t>
      </w:r>
      <w:r w:rsidRPr="0016330A">
        <w:t>分量表上的加权平均水平</w:t>
      </w:r>
      <w:r w:rsidRPr="0016330A">
        <w:t>”</w:t>
      </w:r>
      <w:r w:rsidRPr="0016330A">
        <w:t>。</w:t>
      </w:r>
      <w:r w:rsidRPr="0016330A">
        <w:rPr>
          <w:rFonts w:ascii="Segoe UI" w:eastAsia="宋体" w:hAnsi="Segoe UI" w:cs="Segoe UI"/>
          <w:color w:val="CCCCCC"/>
          <w:kern w:val="0"/>
          <w:sz w:val="20"/>
          <w:szCs w:val="20"/>
        </w:rPr>
        <w:t xml:space="preserve"> </w:t>
      </w:r>
      <w:r w:rsidRPr="0016330A">
        <w:t>为便于直观呈现和横向比较，将</w:t>
      </w:r>
      <w:r w:rsidRPr="0016330A">
        <w:t> </w:t>
      </w:r>
      <m:oMath>
        <m:sSub>
          <m:sSubPr>
            <m:ctrlPr>
              <w:rPr>
                <w:rFonts w:ascii="Cambria Math" w:hAnsi="Cambria Math"/>
              </w:rPr>
            </m:ctrlPr>
          </m:sSubPr>
          <m:e>
            <m:r>
              <w:rPr>
                <w:rFonts w:ascii="Cambria Math" w:hAnsi="Cambria Math"/>
              </w:rPr>
              <m:t>S</m:t>
            </m:r>
          </m:e>
          <m:sub>
            <m:r>
              <w:rPr>
                <w:rFonts w:ascii="Cambria Math" w:hAnsi="Cambria Math"/>
              </w:rPr>
              <m:t>7</m:t>
            </m:r>
          </m:sub>
        </m:sSub>
      </m:oMath>
      <w:r w:rsidRPr="0016330A">
        <w:t> </w:t>
      </w:r>
      <w:r w:rsidRPr="0016330A">
        <w:t>做线性映射到</w:t>
      </w:r>
      <w:r w:rsidRPr="0016330A">
        <w:t xml:space="preserve"> 0-100 </w:t>
      </w:r>
      <w:r w:rsidRPr="0016330A">
        <w:t>分。由于原始量表最小值为</w:t>
      </w:r>
      <w:r w:rsidRPr="0016330A">
        <w:t xml:space="preserve"> 1</w:t>
      </w:r>
      <w:r w:rsidRPr="0016330A">
        <w:t>、最大值为</w:t>
      </w:r>
      <w:r w:rsidRPr="0016330A">
        <w:t xml:space="preserve"> 7</w:t>
      </w:r>
      <w:r w:rsidRPr="0016330A">
        <w:t>，映射公式为：</w:t>
      </w:r>
    </w:p>
    <w:p w14:paraId="6D4E6447" w14:textId="7D6655AF" w:rsidR="008E41F0" w:rsidRDefault="0016330A" w:rsidP="008E41F0">
      <w:pPr>
        <w:ind w:firstLine="42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7</m:t>
                  </m:r>
                </m:sub>
              </m:sSub>
              <m:r>
                <w:rPr>
                  <w:rFonts w:ascii="Cambria Math" w:hAnsi="Cambria Math"/>
                </w:rPr>
                <m:t>-1</m:t>
              </m:r>
            </m:num>
            <m:den>
              <m:r>
                <w:rPr>
                  <w:rFonts w:ascii="Cambria Math" w:hAnsi="Cambria Math"/>
                </w:rPr>
                <m:t>7-1</m:t>
              </m:r>
            </m:den>
          </m:f>
          <m:r>
            <w:rPr>
              <w:rFonts w:ascii="Cambria Math" w:hAnsi="Cambria Math"/>
            </w:rPr>
            <m:t>×100=</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7</m:t>
                  </m:r>
                </m:sub>
              </m:sSub>
            </m:e>
            <m:e>
              <m:r>
                <w:rPr>
                  <w:rFonts w:ascii="Cambria Math" w:hAnsi="Cambria Math"/>
                </w:rPr>
                <m:t>1</m:t>
              </m:r>
            </m:e>
          </m:d>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6</m:t>
              </m:r>
            </m:den>
          </m:f>
        </m:oMath>
      </m:oMathPara>
    </w:p>
    <w:p w14:paraId="7369EEB4" w14:textId="04E024B5" w:rsidR="008E41F0" w:rsidRDefault="008E41F0" w:rsidP="008E41F0">
      <w:pPr>
        <w:ind w:firstLine="420"/>
      </w:pPr>
      <w:r w:rsidRPr="0016330A">
        <w:rPr>
          <w:rFonts w:hint="eastAsia"/>
        </w:rPr>
        <w:t>将熵值法计算</w:t>
      </w:r>
      <w:r w:rsidRPr="0016330A">
        <w:t>获得</w:t>
      </w:r>
      <w:r>
        <w:rPr>
          <w:rFonts w:hint="eastAsia"/>
        </w:rPr>
        <w:t>的</w:t>
      </w:r>
      <w:r w:rsidRPr="0016330A">
        <w:rPr>
          <w:rFonts w:hint="eastAsia"/>
        </w:rPr>
        <w:t>客观</w:t>
      </w:r>
      <w:r w:rsidRPr="0016330A">
        <w:t>权重向量</w:t>
      </w:r>
      <w:r w:rsidRPr="0016330A">
        <w:t> </w:t>
      </w:r>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oMath>
      <w:r w:rsidRPr="0016330A">
        <w:t> </w:t>
      </w:r>
      <w:r>
        <w:rPr>
          <w:rFonts w:hint="eastAsia"/>
        </w:rPr>
        <w:t>和</w:t>
      </w:r>
      <w:r w:rsidRPr="0016330A">
        <w:rPr>
          <w:rFonts w:hint="eastAsia"/>
        </w:rPr>
        <w:t>各指标样本均值</w:t>
      </w:r>
      <w:r w:rsidRPr="0016330A">
        <w:t>形成</w:t>
      </w:r>
      <w:r>
        <w:rPr>
          <w:rFonts w:hint="eastAsia"/>
        </w:rPr>
        <w:t>的</w:t>
      </w:r>
      <w:r w:rsidRPr="0016330A">
        <w:t>均值向量</w:t>
      </w:r>
      <w:r w:rsidRPr="0016330A">
        <w:t> </w:t>
      </w:r>
      <m:oMath>
        <m:acc>
          <m:accPr>
            <m:chr m:val="ˉ"/>
            <m:ctrlPr>
              <w:rPr>
                <w:rFonts w:ascii="Cambria Math" w:hAnsi="Cambria Math"/>
              </w:rPr>
            </m:ctrlPr>
          </m:accPr>
          <m:e>
            <m:r>
              <w:rPr>
                <w:rFonts w:ascii="Cambria Math" w:hAnsi="Cambria Math"/>
              </w:rPr>
              <m:t>X</m:t>
            </m:r>
          </m:e>
        </m:acc>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m</m:t>
            </m:r>
          </m:sub>
        </m:sSub>
        <m:r>
          <w:rPr>
            <w:rFonts w:ascii="Cambria Math" w:hAnsi="Cambria Math"/>
          </w:rPr>
          <m:t>)</m:t>
        </m:r>
      </m:oMath>
      <w:r>
        <w:rPr>
          <w:rFonts w:hint="eastAsia"/>
        </w:rPr>
        <w:t>代入</w:t>
      </w:r>
      <w:r w:rsidRPr="0016330A">
        <w:rPr>
          <w:rFonts w:hint="eastAsia"/>
        </w:rPr>
        <w:t>模糊综合评价模型</w:t>
      </w:r>
      <w:r>
        <w:rPr>
          <w:rFonts w:hint="eastAsia"/>
        </w:rPr>
        <w:t>，</w:t>
      </w:r>
      <w:r w:rsidRPr="008E41F0">
        <w:rPr>
          <w:rFonts w:hint="eastAsia"/>
        </w:rPr>
        <w:t>并将</w:t>
      </w:r>
      <w:r w:rsidRPr="008E41F0">
        <w:rPr>
          <w:rFonts w:hint="eastAsia"/>
        </w:rPr>
        <w:t>7</w:t>
      </w:r>
      <w:r w:rsidRPr="008E41F0">
        <w:rPr>
          <w:rFonts w:hint="eastAsia"/>
        </w:rPr>
        <w:t>级量表得分进行百分制转化后，得出当前上海市健身驿站整体服务效能指数（</w:t>
      </w:r>
      <w:r w:rsidRPr="008E41F0">
        <w:rPr>
          <w:rFonts w:hint="eastAsia"/>
        </w:rPr>
        <w:t>SEI</w:t>
      </w:r>
      <w:r w:rsidRPr="008E41F0">
        <w:rPr>
          <w:rFonts w:hint="eastAsia"/>
        </w:rPr>
        <w:t>）为</w:t>
      </w:r>
      <w:r w:rsidRPr="008E41F0">
        <w:rPr>
          <w:rFonts w:hint="eastAsia"/>
        </w:rPr>
        <w:t>56.88</w:t>
      </w:r>
      <w:r w:rsidRPr="008E41F0">
        <w:rPr>
          <w:rFonts w:hint="eastAsia"/>
        </w:rPr>
        <w:t>分。该得分处于“及格边缘，亟待提升”的区间，暴露出鲜明的“硬强软弱”结构性矛盾：</w:t>
      </w:r>
    </w:p>
    <w:p w14:paraId="27CDA5D1" w14:textId="05327677" w:rsidR="0016330A" w:rsidRPr="0016330A" w:rsidRDefault="0016330A" w:rsidP="0016330A">
      <w:pPr>
        <w:ind w:firstLine="420"/>
      </w:pPr>
    </w:p>
    <w:p w14:paraId="777FB379" w14:textId="77777777" w:rsidR="00425D35" w:rsidRPr="00425D35" w:rsidRDefault="00425D35" w:rsidP="00425D35">
      <w:pPr>
        <w:rPr>
          <w:rFonts w:hint="eastAsia"/>
        </w:rPr>
      </w:pPr>
      <w:bookmarkStart w:id="0" w:name="_Toc223127882"/>
      <w:r w:rsidRPr="00425D35">
        <w:rPr>
          <w:rFonts w:hint="eastAsia"/>
          <w:highlight w:val="yellow"/>
        </w:rPr>
        <w:lastRenderedPageBreak/>
        <w:t>表</w:t>
      </w:r>
      <w:r w:rsidRPr="00425D35">
        <w:rPr>
          <w:rFonts w:hint="eastAsia"/>
          <w:highlight w:val="yellow"/>
        </w:rPr>
        <w:t>1</w:t>
      </w:r>
      <w:r w:rsidRPr="00425D35">
        <w:rPr>
          <w:highlight w:val="yellow"/>
        </w:rPr>
        <w:t xml:space="preserve">3  </w:t>
      </w:r>
      <w:r w:rsidRPr="00425D35">
        <w:rPr>
          <w:rFonts w:hint="eastAsia"/>
          <w:highlight w:val="yellow"/>
        </w:rPr>
        <w:t>基于</w:t>
      </w:r>
      <w:r w:rsidRPr="00425D35">
        <w:rPr>
          <w:rFonts w:hint="eastAsia"/>
          <w:highlight w:val="yellow"/>
        </w:rPr>
        <w:t>S</w:t>
      </w:r>
      <w:r w:rsidRPr="00425D35">
        <w:rPr>
          <w:highlight w:val="yellow"/>
        </w:rPr>
        <w:t>H</w:t>
      </w:r>
      <w:r w:rsidRPr="00425D35">
        <w:rPr>
          <w:rFonts w:hint="eastAsia"/>
          <w:highlight w:val="yellow"/>
        </w:rPr>
        <w:t>AP</w:t>
      </w:r>
      <w:r w:rsidRPr="00425D35">
        <w:rPr>
          <w:highlight w:val="yellow"/>
        </w:rPr>
        <w:t>-IPA</w:t>
      </w:r>
      <w:r w:rsidRPr="00425D35">
        <w:rPr>
          <w:rFonts w:hint="eastAsia"/>
          <w:highlight w:val="yellow"/>
        </w:rPr>
        <w:t>的上海市民健身驿站精准治理策略矩阵</w:t>
      </w:r>
      <w:bookmarkEnd w:id="0"/>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760"/>
        <w:gridCol w:w="1539"/>
        <w:gridCol w:w="2608"/>
        <w:gridCol w:w="1834"/>
        <w:gridCol w:w="1550"/>
      </w:tblGrid>
      <w:tr w:rsidR="00425D35" w:rsidRPr="00425D35" w14:paraId="64341F55" w14:textId="77777777" w:rsidTr="00095FA0">
        <w:trPr>
          <w:trHeight w:val="478"/>
        </w:trPr>
        <w:tc>
          <w:tcPr>
            <w:tcW w:w="760" w:type="dxa"/>
            <w:shd w:val="clear" w:color="auto" w:fill="2D53A0" w:themeFill="accent1" w:themeFillShade="BF"/>
            <w:vAlign w:val="center"/>
          </w:tcPr>
          <w:p w14:paraId="79152483" w14:textId="77777777" w:rsidR="00425D35" w:rsidRPr="00425D35" w:rsidRDefault="00425D35" w:rsidP="00425D35">
            <w:pPr>
              <w:rPr>
                <w:rFonts w:hint="eastAsia"/>
                <w:bCs/>
              </w:rPr>
            </w:pPr>
            <w:r w:rsidRPr="00425D35">
              <w:rPr>
                <w:rFonts w:hint="eastAsia"/>
                <w:b/>
                <w:bCs/>
              </w:rPr>
              <w:t>象限</w:t>
            </w:r>
          </w:p>
        </w:tc>
        <w:tc>
          <w:tcPr>
            <w:tcW w:w="1539" w:type="dxa"/>
            <w:shd w:val="clear" w:color="auto" w:fill="2D53A0" w:themeFill="accent1" w:themeFillShade="BF"/>
            <w:vAlign w:val="center"/>
          </w:tcPr>
          <w:p w14:paraId="3B26A3A9" w14:textId="77777777" w:rsidR="00425D35" w:rsidRPr="00425D35" w:rsidRDefault="00425D35" w:rsidP="00425D35">
            <w:pPr>
              <w:rPr>
                <w:rFonts w:hint="eastAsia"/>
                <w:bCs/>
              </w:rPr>
            </w:pPr>
            <w:r w:rsidRPr="00425D35">
              <w:rPr>
                <w:rFonts w:hint="eastAsia"/>
                <w:b/>
                <w:bCs/>
              </w:rPr>
              <w:t>名称</w:t>
            </w:r>
          </w:p>
        </w:tc>
        <w:tc>
          <w:tcPr>
            <w:tcW w:w="2608" w:type="dxa"/>
            <w:shd w:val="clear" w:color="auto" w:fill="2D53A0" w:themeFill="accent1" w:themeFillShade="BF"/>
            <w:vAlign w:val="center"/>
          </w:tcPr>
          <w:p w14:paraId="54615DCA" w14:textId="77777777" w:rsidR="00425D35" w:rsidRPr="00425D35" w:rsidRDefault="00425D35" w:rsidP="00425D35">
            <w:pPr>
              <w:rPr>
                <w:rFonts w:hint="eastAsia"/>
                <w:bCs/>
              </w:rPr>
            </w:pPr>
            <w:r w:rsidRPr="00425D35">
              <w:rPr>
                <w:rFonts w:hint="eastAsia"/>
                <w:b/>
                <w:bCs/>
              </w:rPr>
              <w:t>特征描述</w:t>
            </w:r>
          </w:p>
        </w:tc>
        <w:tc>
          <w:tcPr>
            <w:tcW w:w="1834" w:type="dxa"/>
            <w:shd w:val="clear" w:color="auto" w:fill="2D53A0" w:themeFill="accent1" w:themeFillShade="BF"/>
            <w:vAlign w:val="center"/>
          </w:tcPr>
          <w:p w14:paraId="3657EE97" w14:textId="77777777" w:rsidR="00425D35" w:rsidRPr="00425D35" w:rsidRDefault="00425D35" w:rsidP="00425D35">
            <w:pPr>
              <w:rPr>
                <w:rFonts w:hint="eastAsia"/>
                <w:bCs/>
              </w:rPr>
            </w:pPr>
            <w:r w:rsidRPr="00425D35">
              <w:rPr>
                <w:rFonts w:hint="eastAsia"/>
                <w:b/>
                <w:bCs/>
              </w:rPr>
              <w:t>落点指标</w:t>
            </w:r>
          </w:p>
        </w:tc>
        <w:tc>
          <w:tcPr>
            <w:tcW w:w="1550" w:type="dxa"/>
            <w:shd w:val="clear" w:color="auto" w:fill="2D53A0" w:themeFill="accent1" w:themeFillShade="BF"/>
            <w:vAlign w:val="center"/>
          </w:tcPr>
          <w:p w14:paraId="6668F962" w14:textId="77777777" w:rsidR="00425D35" w:rsidRPr="00425D35" w:rsidRDefault="00425D35" w:rsidP="00425D35">
            <w:pPr>
              <w:rPr>
                <w:rFonts w:hint="eastAsia"/>
                <w:bCs/>
              </w:rPr>
            </w:pPr>
            <w:r w:rsidRPr="00425D35">
              <w:rPr>
                <w:rFonts w:hint="eastAsia"/>
                <w:b/>
                <w:bCs/>
              </w:rPr>
              <w:t>战略导向</w:t>
            </w:r>
          </w:p>
        </w:tc>
      </w:tr>
      <w:tr w:rsidR="00425D35" w:rsidRPr="00425D35" w14:paraId="271A74EB" w14:textId="77777777" w:rsidTr="00095FA0">
        <w:trPr>
          <w:trHeight w:val="1276"/>
        </w:trPr>
        <w:tc>
          <w:tcPr>
            <w:tcW w:w="760" w:type="dxa"/>
            <w:shd w:val="clear" w:color="auto" w:fill="DAE3F4" w:themeFill="accent1" w:themeFillTint="33"/>
            <w:vAlign w:val="center"/>
          </w:tcPr>
          <w:p w14:paraId="3EA2EDF3" w14:textId="77777777" w:rsidR="00425D35" w:rsidRPr="00425D35" w:rsidRDefault="00425D35" w:rsidP="00425D35">
            <w:pPr>
              <w:rPr>
                <w:rFonts w:hint="eastAsia"/>
                <w:b/>
                <w:bCs/>
              </w:rPr>
            </w:pPr>
            <w:r w:rsidRPr="00425D35">
              <w:rPr>
                <w:rFonts w:hint="eastAsia"/>
                <w:b/>
                <w:bCs/>
              </w:rPr>
              <w:t>I</w:t>
            </w:r>
          </w:p>
        </w:tc>
        <w:tc>
          <w:tcPr>
            <w:tcW w:w="1539" w:type="dxa"/>
            <w:shd w:val="clear" w:color="auto" w:fill="DAE3F4" w:themeFill="accent1" w:themeFillTint="33"/>
            <w:vAlign w:val="center"/>
          </w:tcPr>
          <w:p w14:paraId="0B8F569A" w14:textId="77777777" w:rsidR="00425D35" w:rsidRPr="00425D35" w:rsidRDefault="00425D35" w:rsidP="00425D35">
            <w:pPr>
              <w:rPr>
                <w:rFonts w:hint="eastAsia"/>
              </w:rPr>
            </w:pPr>
            <w:r w:rsidRPr="00425D35">
              <w:rPr>
                <w:rFonts w:hint="eastAsia"/>
                <w:b/>
                <w:bCs/>
              </w:rPr>
              <w:t>亟待</w:t>
            </w:r>
            <w:proofErr w:type="gramStart"/>
            <w:r w:rsidRPr="00425D35">
              <w:rPr>
                <w:rFonts w:hint="eastAsia"/>
                <w:b/>
                <w:bCs/>
              </w:rPr>
              <w:t>改进区</w:t>
            </w:r>
            <w:proofErr w:type="gramEnd"/>
            <w:r w:rsidRPr="00425D35">
              <w:rPr>
                <w:rFonts w:hint="eastAsia"/>
              </w:rPr>
              <w:t xml:space="preserve"> (Priority)</w:t>
            </w:r>
          </w:p>
        </w:tc>
        <w:tc>
          <w:tcPr>
            <w:tcW w:w="2608" w:type="dxa"/>
            <w:shd w:val="clear" w:color="auto" w:fill="DAE3F4" w:themeFill="accent1" w:themeFillTint="33"/>
            <w:vAlign w:val="center"/>
          </w:tcPr>
          <w:p w14:paraId="14FA04D3" w14:textId="77777777" w:rsidR="00425D35" w:rsidRPr="00425D35" w:rsidRDefault="00425D35" w:rsidP="00425D35">
            <w:pPr>
              <w:rPr>
                <w:rFonts w:hint="eastAsia"/>
                <w:b/>
                <w:bCs/>
              </w:rPr>
            </w:pPr>
            <w:r w:rsidRPr="00425D35">
              <w:rPr>
                <w:rFonts w:hint="eastAsia"/>
                <w:b/>
                <w:bCs/>
              </w:rPr>
              <w:t>高重要性</w:t>
            </w:r>
            <w:r w:rsidRPr="00425D35">
              <w:rPr>
                <w:rFonts w:hint="eastAsia"/>
                <w:b/>
                <w:bCs/>
              </w:rPr>
              <w:t xml:space="preserve"> - </w:t>
            </w:r>
            <w:proofErr w:type="gramStart"/>
            <w:r w:rsidRPr="00425D35">
              <w:rPr>
                <w:rFonts w:hint="eastAsia"/>
                <w:b/>
                <w:bCs/>
              </w:rPr>
              <w:t>低满意</w:t>
            </w:r>
            <w:proofErr w:type="gramEnd"/>
            <w:r w:rsidRPr="00425D35">
              <w:rPr>
                <w:rFonts w:hint="eastAsia"/>
                <w:b/>
                <w:bCs/>
              </w:rPr>
              <w:t>度</w:t>
            </w:r>
          </w:p>
          <w:p w14:paraId="5697D2F1" w14:textId="77777777" w:rsidR="00425D35" w:rsidRPr="00425D35" w:rsidRDefault="00425D35" w:rsidP="00425D35">
            <w:pPr>
              <w:rPr>
                <w:rFonts w:hint="eastAsia"/>
              </w:rPr>
            </w:pPr>
            <w:r w:rsidRPr="00425D35">
              <w:rPr>
                <w:rFonts w:hint="eastAsia"/>
              </w:rPr>
              <w:t>效能提升的“主战场”，痛点最集中。</w:t>
            </w:r>
          </w:p>
        </w:tc>
        <w:tc>
          <w:tcPr>
            <w:tcW w:w="1834" w:type="dxa"/>
            <w:shd w:val="clear" w:color="auto" w:fill="DAE3F4" w:themeFill="accent1" w:themeFillTint="33"/>
            <w:vAlign w:val="center"/>
          </w:tcPr>
          <w:p w14:paraId="19843B8C" w14:textId="77777777" w:rsidR="00425D35" w:rsidRPr="00425D35" w:rsidRDefault="00425D35" w:rsidP="00425D35">
            <w:pPr>
              <w:rPr>
                <w:rFonts w:hint="eastAsia"/>
                <w:b/>
                <w:bCs/>
              </w:rPr>
            </w:pPr>
            <w:r w:rsidRPr="00425D35">
              <w:rPr>
                <w:rFonts w:hint="eastAsia"/>
                <w:b/>
                <w:bCs/>
              </w:rPr>
              <w:t>智能设备、数据服务、信息发布、营业时间、人员服务</w:t>
            </w:r>
          </w:p>
        </w:tc>
        <w:tc>
          <w:tcPr>
            <w:tcW w:w="1550" w:type="dxa"/>
            <w:shd w:val="clear" w:color="auto" w:fill="DAE3F4" w:themeFill="accent1" w:themeFillTint="33"/>
            <w:vAlign w:val="center"/>
          </w:tcPr>
          <w:p w14:paraId="00ED3517" w14:textId="77777777" w:rsidR="00425D35" w:rsidRPr="00425D35" w:rsidRDefault="00425D35" w:rsidP="00425D35">
            <w:pPr>
              <w:rPr>
                <w:rFonts w:hint="eastAsia"/>
                <w:b/>
                <w:bCs/>
              </w:rPr>
            </w:pPr>
            <w:r w:rsidRPr="00425D35">
              <w:rPr>
                <w:rFonts w:hint="eastAsia"/>
                <w:b/>
                <w:bCs/>
              </w:rPr>
              <w:t>集中资源，优先突破</w:t>
            </w:r>
          </w:p>
        </w:tc>
      </w:tr>
      <w:tr w:rsidR="00425D35" w:rsidRPr="00425D35" w14:paraId="487ADF3F" w14:textId="77777777" w:rsidTr="00095FA0">
        <w:tc>
          <w:tcPr>
            <w:tcW w:w="760" w:type="dxa"/>
            <w:vAlign w:val="center"/>
          </w:tcPr>
          <w:p w14:paraId="3D0432BD" w14:textId="77777777" w:rsidR="00425D35" w:rsidRPr="00425D35" w:rsidRDefault="00425D35" w:rsidP="00425D35">
            <w:pPr>
              <w:rPr>
                <w:rFonts w:hint="eastAsia"/>
                <w:b/>
                <w:bCs/>
              </w:rPr>
            </w:pPr>
            <w:r w:rsidRPr="00425D35">
              <w:rPr>
                <w:rFonts w:hint="eastAsia"/>
                <w:b/>
                <w:bCs/>
              </w:rPr>
              <w:t>II</w:t>
            </w:r>
          </w:p>
        </w:tc>
        <w:tc>
          <w:tcPr>
            <w:tcW w:w="1539" w:type="dxa"/>
            <w:vAlign w:val="center"/>
          </w:tcPr>
          <w:p w14:paraId="651B5A0E" w14:textId="77777777" w:rsidR="00425D35" w:rsidRPr="00425D35" w:rsidRDefault="00425D35" w:rsidP="00425D35">
            <w:pPr>
              <w:rPr>
                <w:rFonts w:hint="eastAsia"/>
              </w:rPr>
            </w:pPr>
            <w:r w:rsidRPr="00425D35">
              <w:rPr>
                <w:rFonts w:hint="eastAsia"/>
                <w:b/>
                <w:bCs/>
              </w:rPr>
              <w:t>优势</w:t>
            </w:r>
            <w:proofErr w:type="gramStart"/>
            <w:r w:rsidRPr="00425D35">
              <w:rPr>
                <w:rFonts w:hint="eastAsia"/>
                <w:b/>
                <w:bCs/>
              </w:rPr>
              <w:t>保持区</w:t>
            </w:r>
            <w:proofErr w:type="gramEnd"/>
            <w:r w:rsidRPr="00425D35">
              <w:rPr>
                <w:rFonts w:hint="eastAsia"/>
              </w:rPr>
              <w:t xml:space="preserve"> (Keep)</w:t>
            </w:r>
          </w:p>
        </w:tc>
        <w:tc>
          <w:tcPr>
            <w:tcW w:w="2608" w:type="dxa"/>
            <w:vAlign w:val="center"/>
          </w:tcPr>
          <w:p w14:paraId="655AC810" w14:textId="77777777" w:rsidR="00425D35" w:rsidRPr="00425D35" w:rsidRDefault="00425D35" w:rsidP="00425D35">
            <w:pPr>
              <w:rPr>
                <w:rFonts w:hint="eastAsia"/>
                <w:b/>
                <w:bCs/>
              </w:rPr>
            </w:pPr>
            <w:r w:rsidRPr="00425D35">
              <w:rPr>
                <w:rFonts w:hint="eastAsia"/>
                <w:b/>
                <w:bCs/>
              </w:rPr>
              <w:t>高重要性</w:t>
            </w:r>
            <w:r w:rsidRPr="00425D35">
              <w:rPr>
                <w:rFonts w:hint="eastAsia"/>
                <w:b/>
                <w:bCs/>
              </w:rPr>
              <w:t xml:space="preserve"> - </w:t>
            </w:r>
            <w:r w:rsidRPr="00425D35">
              <w:rPr>
                <w:rFonts w:hint="eastAsia"/>
                <w:b/>
                <w:bCs/>
              </w:rPr>
              <w:t>高满意度</w:t>
            </w:r>
          </w:p>
          <w:p w14:paraId="66BA0D1D" w14:textId="77777777" w:rsidR="00425D35" w:rsidRPr="00425D35" w:rsidRDefault="00425D35" w:rsidP="00425D35">
            <w:pPr>
              <w:rPr>
                <w:rFonts w:hint="eastAsia"/>
              </w:rPr>
            </w:pPr>
            <w:r w:rsidRPr="00425D35">
              <w:rPr>
                <w:rFonts w:hint="eastAsia"/>
              </w:rPr>
              <w:t>服务的“压舱石”，一旦滑落影响巨大。</w:t>
            </w:r>
          </w:p>
        </w:tc>
        <w:tc>
          <w:tcPr>
            <w:tcW w:w="1834" w:type="dxa"/>
            <w:vAlign w:val="center"/>
          </w:tcPr>
          <w:p w14:paraId="0A9602AE" w14:textId="77777777" w:rsidR="00425D35" w:rsidRPr="00425D35" w:rsidRDefault="00425D35" w:rsidP="00425D35">
            <w:pPr>
              <w:rPr>
                <w:rFonts w:hint="eastAsia"/>
                <w:b/>
                <w:bCs/>
              </w:rPr>
            </w:pPr>
            <w:r w:rsidRPr="00425D35">
              <w:rPr>
                <w:rFonts w:hint="eastAsia"/>
                <w:b/>
                <w:bCs/>
              </w:rPr>
              <w:t>配套设施、器材维护</w:t>
            </w:r>
          </w:p>
        </w:tc>
        <w:tc>
          <w:tcPr>
            <w:tcW w:w="1550" w:type="dxa"/>
            <w:vAlign w:val="center"/>
          </w:tcPr>
          <w:p w14:paraId="37F18B54" w14:textId="77777777" w:rsidR="00425D35" w:rsidRPr="00425D35" w:rsidRDefault="00425D35" w:rsidP="00425D35">
            <w:pPr>
              <w:rPr>
                <w:rFonts w:hint="eastAsia"/>
                <w:b/>
                <w:bCs/>
              </w:rPr>
            </w:pPr>
            <w:r w:rsidRPr="00425D35">
              <w:rPr>
                <w:rFonts w:hint="eastAsia"/>
                <w:b/>
                <w:bCs/>
              </w:rPr>
              <w:t>标准固化，防止滑坡</w:t>
            </w:r>
          </w:p>
        </w:tc>
      </w:tr>
      <w:tr w:rsidR="00425D35" w:rsidRPr="00425D35" w14:paraId="7238AA67" w14:textId="77777777" w:rsidTr="00095FA0">
        <w:trPr>
          <w:trHeight w:val="1198"/>
        </w:trPr>
        <w:tc>
          <w:tcPr>
            <w:tcW w:w="760" w:type="dxa"/>
            <w:shd w:val="clear" w:color="auto" w:fill="DAE3F4" w:themeFill="accent1" w:themeFillTint="33"/>
            <w:vAlign w:val="center"/>
          </w:tcPr>
          <w:p w14:paraId="2CD34389" w14:textId="77777777" w:rsidR="00425D35" w:rsidRPr="00425D35" w:rsidRDefault="00425D35" w:rsidP="00425D35">
            <w:pPr>
              <w:rPr>
                <w:rFonts w:hint="eastAsia"/>
                <w:b/>
                <w:bCs/>
              </w:rPr>
            </w:pPr>
            <w:r w:rsidRPr="00425D35">
              <w:rPr>
                <w:rFonts w:hint="eastAsia"/>
                <w:b/>
                <w:bCs/>
              </w:rPr>
              <w:t>III</w:t>
            </w:r>
          </w:p>
        </w:tc>
        <w:tc>
          <w:tcPr>
            <w:tcW w:w="1539" w:type="dxa"/>
            <w:shd w:val="clear" w:color="auto" w:fill="DAE3F4" w:themeFill="accent1" w:themeFillTint="33"/>
            <w:vAlign w:val="center"/>
          </w:tcPr>
          <w:p w14:paraId="3FD2BBD5" w14:textId="77777777" w:rsidR="00425D35" w:rsidRPr="00425D35" w:rsidRDefault="00425D35" w:rsidP="00425D35">
            <w:pPr>
              <w:rPr>
                <w:rFonts w:hint="eastAsia"/>
              </w:rPr>
            </w:pPr>
            <w:r w:rsidRPr="00425D35">
              <w:rPr>
                <w:rFonts w:hint="eastAsia"/>
                <w:b/>
                <w:bCs/>
              </w:rPr>
              <w:t>次要</w:t>
            </w:r>
            <w:proofErr w:type="gramStart"/>
            <w:r w:rsidRPr="00425D35">
              <w:rPr>
                <w:rFonts w:hint="eastAsia"/>
                <w:b/>
                <w:bCs/>
              </w:rPr>
              <w:t>改进区</w:t>
            </w:r>
            <w:proofErr w:type="gramEnd"/>
            <w:r w:rsidRPr="00425D35">
              <w:rPr>
                <w:rFonts w:hint="eastAsia"/>
              </w:rPr>
              <w:t xml:space="preserve"> (Low Priority)</w:t>
            </w:r>
          </w:p>
        </w:tc>
        <w:tc>
          <w:tcPr>
            <w:tcW w:w="2608" w:type="dxa"/>
            <w:shd w:val="clear" w:color="auto" w:fill="DAE3F4" w:themeFill="accent1" w:themeFillTint="33"/>
            <w:vAlign w:val="center"/>
          </w:tcPr>
          <w:p w14:paraId="127CA4C9" w14:textId="77777777" w:rsidR="00425D35" w:rsidRPr="00425D35" w:rsidRDefault="00425D35" w:rsidP="00425D35">
            <w:pPr>
              <w:rPr>
                <w:rFonts w:hint="eastAsia"/>
                <w:b/>
                <w:bCs/>
              </w:rPr>
            </w:pPr>
            <w:r w:rsidRPr="00425D35">
              <w:rPr>
                <w:rFonts w:hint="eastAsia"/>
                <w:b/>
                <w:bCs/>
              </w:rPr>
              <w:t>低重要性</w:t>
            </w:r>
            <w:r w:rsidRPr="00425D35">
              <w:rPr>
                <w:rFonts w:hint="eastAsia"/>
                <w:b/>
                <w:bCs/>
              </w:rPr>
              <w:t xml:space="preserve"> - </w:t>
            </w:r>
            <w:proofErr w:type="gramStart"/>
            <w:r w:rsidRPr="00425D35">
              <w:rPr>
                <w:rFonts w:hint="eastAsia"/>
                <w:b/>
                <w:bCs/>
              </w:rPr>
              <w:t>低满意</w:t>
            </w:r>
            <w:proofErr w:type="gramEnd"/>
            <w:r w:rsidRPr="00425D35">
              <w:rPr>
                <w:rFonts w:hint="eastAsia"/>
                <w:b/>
                <w:bCs/>
              </w:rPr>
              <w:t>度</w:t>
            </w:r>
          </w:p>
          <w:p w14:paraId="52CA74A8" w14:textId="77777777" w:rsidR="00425D35" w:rsidRPr="00425D35" w:rsidRDefault="00425D35" w:rsidP="00425D35">
            <w:pPr>
              <w:rPr>
                <w:rFonts w:hint="eastAsia"/>
              </w:rPr>
            </w:pPr>
            <w:r w:rsidRPr="00425D35">
              <w:rPr>
                <w:rFonts w:hint="eastAsia"/>
              </w:rPr>
              <w:t>影响相对较小，非当前核心矛盾。</w:t>
            </w:r>
          </w:p>
        </w:tc>
        <w:tc>
          <w:tcPr>
            <w:tcW w:w="1834" w:type="dxa"/>
            <w:shd w:val="clear" w:color="auto" w:fill="DAE3F4" w:themeFill="accent1" w:themeFillTint="33"/>
            <w:vAlign w:val="center"/>
          </w:tcPr>
          <w:p w14:paraId="3BEA2F5E" w14:textId="77777777" w:rsidR="00425D35" w:rsidRPr="00425D35" w:rsidRDefault="00425D35" w:rsidP="00425D35">
            <w:pPr>
              <w:rPr>
                <w:rFonts w:hint="eastAsia"/>
                <w:b/>
                <w:bCs/>
              </w:rPr>
            </w:pPr>
            <w:r w:rsidRPr="00425D35">
              <w:rPr>
                <w:rFonts w:hint="eastAsia"/>
                <w:b/>
                <w:bCs/>
              </w:rPr>
              <w:t>价格费用</w:t>
            </w:r>
          </w:p>
        </w:tc>
        <w:tc>
          <w:tcPr>
            <w:tcW w:w="1550" w:type="dxa"/>
            <w:shd w:val="clear" w:color="auto" w:fill="DAE3F4" w:themeFill="accent1" w:themeFillTint="33"/>
            <w:vAlign w:val="center"/>
          </w:tcPr>
          <w:p w14:paraId="2227F6ED" w14:textId="77777777" w:rsidR="00425D35" w:rsidRPr="00425D35" w:rsidRDefault="00425D35" w:rsidP="00425D35">
            <w:pPr>
              <w:rPr>
                <w:rFonts w:hint="eastAsia"/>
                <w:b/>
                <w:bCs/>
              </w:rPr>
            </w:pPr>
            <w:r w:rsidRPr="00425D35">
              <w:rPr>
                <w:rFonts w:hint="eastAsia"/>
                <w:b/>
                <w:bCs/>
              </w:rPr>
              <w:t>长期优化，循序渐进</w:t>
            </w:r>
          </w:p>
        </w:tc>
      </w:tr>
      <w:tr w:rsidR="00425D35" w:rsidRPr="00425D35" w14:paraId="1975AFFA" w14:textId="77777777" w:rsidTr="00095FA0">
        <w:tc>
          <w:tcPr>
            <w:tcW w:w="760" w:type="dxa"/>
            <w:vAlign w:val="center"/>
          </w:tcPr>
          <w:p w14:paraId="02EE1620" w14:textId="77777777" w:rsidR="00425D35" w:rsidRPr="00425D35" w:rsidRDefault="00425D35" w:rsidP="00425D35">
            <w:pPr>
              <w:rPr>
                <w:rFonts w:hint="eastAsia"/>
                <w:b/>
                <w:bCs/>
              </w:rPr>
            </w:pPr>
            <w:r w:rsidRPr="00425D35">
              <w:rPr>
                <w:rFonts w:hint="eastAsia"/>
                <w:b/>
                <w:bCs/>
              </w:rPr>
              <w:t>IV</w:t>
            </w:r>
          </w:p>
        </w:tc>
        <w:tc>
          <w:tcPr>
            <w:tcW w:w="1539" w:type="dxa"/>
            <w:vAlign w:val="center"/>
          </w:tcPr>
          <w:p w14:paraId="02D381E6" w14:textId="77777777" w:rsidR="00425D35" w:rsidRPr="00425D35" w:rsidRDefault="00425D35" w:rsidP="00425D35">
            <w:pPr>
              <w:rPr>
                <w:rFonts w:hint="eastAsia"/>
              </w:rPr>
            </w:pPr>
            <w:r w:rsidRPr="00425D35">
              <w:rPr>
                <w:rFonts w:hint="eastAsia"/>
                <w:b/>
                <w:bCs/>
              </w:rPr>
              <w:t>供给过度区</w:t>
            </w:r>
            <w:r w:rsidRPr="00425D35">
              <w:rPr>
                <w:rFonts w:hint="eastAsia"/>
              </w:rPr>
              <w:t xml:space="preserve"> (Possible Overkill)</w:t>
            </w:r>
          </w:p>
        </w:tc>
        <w:tc>
          <w:tcPr>
            <w:tcW w:w="2608" w:type="dxa"/>
            <w:vAlign w:val="center"/>
          </w:tcPr>
          <w:p w14:paraId="072B17D9" w14:textId="77777777" w:rsidR="00425D35" w:rsidRPr="00425D35" w:rsidRDefault="00425D35" w:rsidP="00425D35">
            <w:pPr>
              <w:rPr>
                <w:rFonts w:hint="eastAsia"/>
                <w:b/>
                <w:bCs/>
              </w:rPr>
            </w:pPr>
            <w:r w:rsidRPr="00425D35">
              <w:rPr>
                <w:rFonts w:hint="eastAsia"/>
                <w:b/>
                <w:bCs/>
              </w:rPr>
              <w:t>低重要性</w:t>
            </w:r>
            <w:r w:rsidRPr="00425D35">
              <w:rPr>
                <w:rFonts w:hint="eastAsia"/>
                <w:b/>
                <w:bCs/>
              </w:rPr>
              <w:t xml:space="preserve"> - </w:t>
            </w:r>
            <w:r w:rsidRPr="00425D35">
              <w:rPr>
                <w:rFonts w:hint="eastAsia"/>
                <w:b/>
                <w:bCs/>
              </w:rPr>
              <w:t>高满意度</w:t>
            </w:r>
          </w:p>
          <w:p w14:paraId="1B3E884B" w14:textId="77777777" w:rsidR="00425D35" w:rsidRPr="00425D35" w:rsidRDefault="00425D35" w:rsidP="00425D35">
            <w:pPr>
              <w:rPr>
                <w:rFonts w:hint="eastAsia"/>
              </w:rPr>
            </w:pPr>
            <w:r w:rsidRPr="00425D35">
              <w:rPr>
                <w:rFonts w:hint="eastAsia"/>
              </w:rPr>
              <w:t>边际效益递减，资源配置过剩。</w:t>
            </w:r>
          </w:p>
        </w:tc>
        <w:tc>
          <w:tcPr>
            <w:tcW w:w="1834" w:type="dxa"/>
            <w:vAlign w:val="center"/>
          </w:tcPr>
          <w:p w14:paraId="48FF5465" w14:textId="77777777" w:rsidR="00425D35" w:rsidRPr="00425D35" w:rsidRDefault="00425D35" w:rsidP="00425D35">
            <w:pPr>
              <w:rPr>
                <w:rFonts w:hint="eastAsia"/>
                <w:b/>
                <w:bCs/>
              </w:rPr>
            </w:pPr>
            <w:r w:rsidRPr="00425D35">
              <w:rPr>
                <w:rFonts w:hint="eastAsia"/>
                <w:b/>
                <w:bCs/>
              </w:rPr>
              <w:t>距离便利性、交通通达性、设施种类、场馆环境</w:t>
            </w:r>
          </w:p>
        </w:tc>
        <w:tc>
          <w:tcPr>
            <w:tcW w:w="1550" w:type="dxa"/>
            <w:vAlign w:val="center"/>
          </w:tcPr>
          <w:p w14:paraId="06558255" w14:textId="77777777" w:rsidR="00425D35" w:rsidRPr="00425D35" w:rsidRDefault="00425D35" w:rsidP="00425D35">
            <w:pPr>
              <w:rPr>
                <w:rFonts w:hint="eastAsia"/>
                <w:b/>
                <w:bCs/>
              </w:rPr>
            </w:pPr>
            <w:r w:rsidRPr="00425D35">
              <w:rPr>
                <w:rFonts w:hint="eastAsia"/>
                <w:b/>
                <w:bCs/>
              </w:rPr>
              <w:t>存量优化，控制增量</w:t>
            </w:r>
          </w:p>
        </w:tc>
      </w:tr>
    </w:tbl>
    <w:p w14:paraId="52D486B4" w14:textId="70F271BA" w:rsidR="0016330A" w:rsidRDefault="0016330A" w:rsidP="0016330A"/>
    <w:p w14:paraId="001C6701" w14:textId="77777777" w:rsidR="00425D35" w:rsidRDefault="00425D35" w:rsidP="0016330A"/>
    <w:p w14:paraId="1FDAE178" w14:textId="77777777" w:rsidR="00425D35" w:rsidRPr="0016330A" w:rsidRDefault="00425D35" w:rsidP="0016330A">
      <w:pPr>
        <w:rPr>
          <w:rFonts w:hint="eastAsia"/>
        </w:rPr>
      </w:pPr>
    </w:p>
    <w:sectPr w:rsidR="00425D35" w:rsidRPr="001633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C4CBC"/>
    <w:multiLevelType w:val="singleLevel"/>
    <w:tmpl w:val="17BC4CBC"/>
    <w:lvl w:ilvl="0">
      <w:start w:val="1"/>
      <w:numFmt w:val="bullet"/>
      <w:lvlText w:val=""/>
      <w:lvlJc w:val="left"/>
      <w:pPr>
        <w:ind w:left="420" w:hanging="420"/>
      </w:pPr>
      <w:rPr>
        <w:rFonts w:ascii="Wingdings" w:hAnsi="Wingdings" w:hint="default"/>
      </w:rPr>
    </w:lvl>
  </w:abstractNum>
  <w:abstractNum w:abstractNumId="1" w15:restartNumberingAfterBreak="0">
    <w:nsid w:val="34BE28DD"/>
    <w:multiLevelType w:val="multilevel"/>
    <w:tmpl w:val="CE8E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353071">
    <w:abstractNumId w:val="0"/>
  </w:num>
  <w:num w:numId="2" w16cid:durableId="93902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1CC2"/>
    <w:rsid w:val="0016330A"/>
    <w:rsid w:val="002649F2"/>
    <w:rsid w:val="003A1CC2"/>
    <w:rsid w:val="00425D35"/>
    <w:rsid w:val="008E41F0"/>
    <w:rsid w:val="0092752E"/>
    <w:rsid w:val="00A54D60"/>
    <w:rsid w:val="0A8E056B"/>
    <w:rsid w:val="54361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0C5F7"/>
  <w15:docId w15:val="{8D474290-168E-4AFB-BB08-83FD6345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2189</Words>
  <Characters>2255</Characters>
  <Application>Microsoft Office Word</Application>
  <DocSecurity>0</DocSecurity>
  <Lines>75</Lines>
  <Paragraphs>38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maoxingbo</dc:creator>
  <cp:lastModifiedBy>星博 毛</cp:lastModifiedBy>
  <cp:revision>2</cp:revision>
  <dcterms:created xsi:type="dcterms:W3CDTF">2026-03-19T02:38:00Z</dcterms:created>
  <dcterms:modified xsi:type="dcterms:W3CDTF">2026-03-19T06:44:00Z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AD892FDA923645BDA84B32979011AFEA_12</vt:lpwstr>
  </property>
</Properties>
</file>