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6ACFE5">
      <w:pPr>
        <w:spacing w:line="360" w:lineRule="auto"/>
        <w:rPr>
          <w:b/>
          <w:bCs/>
          <w:sz w:val="28"/>
          <w:szCs w:val="36"/>
        </w:rPr>
      </w:pPr>
      <w:r>
        <w:rPr>
          <w:rFonts w:hint="default"/>
          <w:b/>
          <w:bCs/>
          <w:sz w:val="28"/>
          <w:szCs w:val="36"/>
        </w:rPr>
        <w:t>第三章 样本描述与健身驿站服务效能现状测度</w:t>
      </w:r>
    </w:p>
    <w:p w14:paraId="1029445F">
      <w:pPr>
        <w:spacing w:line="360" w:lineRule="auto"/>
        <w:rPr>
          <w:rFonts w:hint="default"/>
          <w:b/>
          <w:bCs/>
        </w:rPr>
      </w:pPr>
      <w:r>
        <w:rPr>
          <w:rFonts w:hint="default"/>
          <w:b/>
          <w:bCs/>
        </w:rPr>
        <w:t>3.1 样本人口学特征描述与分析</w:t>
      </w:r>
    </w:p>
    <w:p w14:paraId="1B5202F3">
      <w:pPr>
        <w:spacing w:line="360" w:lineRule="auto"/>
        <w:rPr>
          <w:rFonts w:hint="default"/>
        </w:rPr>
      </w:pPr>
      <w:r>
        <w:rPr>
          <w:rFonts w:hint="default"/>
        </w:rPr>
        <w:t>为了确保调查结果的广泛代表性与科学性，项目组采用分层随机抽样方法，共回收有效问卷 783份。利用 Python 绘制样本人口学特征分布图，具体分析如下：</w:t>
      </w:r>
    </w:p>
    <w:p w14:paraId="6C97FA22">
      <w:pPr>
        <w:spacing w:line="360" w:lineRule="auto"/>
        <w:rPr>
          <w:rFonts w:hint="default"/>
        </w:rPr>
      </w:pPr>
      <w:r>
        <w:rPr>
          <w:rFonts w:hint="default"/>
          <w:b/>
          <w:bCs/>
        </w:rPr>
        <w:t>（1）性别与年龄分布均衡，覆盖全龄段健身人群</w:t>
      </w:r>
      <w:r>
        <w:rPr>
          <w:rFonts w:hint="default"/>
        </w:rPr>
        <w:br w:type="textWrapping"/>
      </w:r>
      <w:r>
        <w:rPr>
          <w:rFonts w:hint="default"/>
        </w:rPr>
        <w:t>从性别分布来看，男性占比 50.1%，女性占比 49.9%，性别比例接近 1:1，消除了性别偏差对评价结果的影响。在年龄结构上，样本呈现出“中间大、两头小”的正态分布特征。其中，19-30岁青年群体（44.6%）与31-45岁中青年群体（27.1%）构成了样本主体，合计占比超七成。这一分布特征与当前上海市常住人口结构及健身驿站的主要使用者画像高度吻合——中青年不仅是社会的中坚力量，也是利用碎片化时间进行社区健身的核心群体。同时，61岁以上老年群体占比 10.8%，保证了适老化需求在评价中的体现。</w:t>
      </w:r>
    </w:p>
    <w:p w14:paraId="19DB1350">
      <w:pPr>
        <w:spacing w:line="360" w:lineRule="auto"/>
        <w:rPr>
          <w:rFonts w:hint="default"/>
        </w:rPr>
      </w:pPr>
      <w:r>
        <w:rPr>
          <w:rFonts w:hint="default"/>
        </w:rPr>
        <w:drawing>
          <wp:inline distT="0" distB="0" distL="114300" distR="114300">
            <wp:extent cx="2628265" cy="2738755"/>
            <wp:effectExtent l="0" t="0" r="635" b="444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2628265" cy="2738755"/>
                    </a:xfrm>
                    <a:prstGeom prst="rect">
                      <a:avLst/>
                    </a:prstGeom>
                    <a:noFill/>
                    <a:ln>
                      <a:noFill/>
                    </a:ln>
                  </pic:spPr>
                </pic:pic>
              </a:graphicData>
            </a:graphic>
          </wp:inline>
        </w:drawing>
      </w:r>
      <w:r>
        <w:rPr>
          <w:rFonts w:hint="default"/>
        </w:rPr>
        <w:drawing>
          <wp:inline distT="0" distB="0" distL="114300" distR="114300">
            <wp:extent cx="2622550" cy="2596515"/>
            <wp:effectExtent l="0" t="0" r="6350" b="698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
                    <a:stretch>
                      <a:fillRect/>
                    </a:stretch>
                  </pic:blipFill>
                  <pic:spPr>
                    <a:xfrm>
                      <a:off x="0" y="0"/>
                      <a:ext cx="2622550" cy="2596515"/>
                    </a:xfrm>
                    <a:prstGeom prst="rect">
                      <a:avLst/>
                    </a:prstGeom>
                    <a:noFill/>
                    <a:ln>
                      <a:noFill/>
                    </a:ln>
                  </pic:spPr>
                </pic:pic>
              </a:graphicData>
            </a:graphic>
          </wp:inline>
        </w:drawing>
      </w:r>
    </w:p>
    <w:p w14:paraId="2DFB1A83">
      <w:pPr>
        <w:spacing w:line="360" w:lineRule="auto"/>
        <w:rPr>
          <w:rFonts w:hint="default"/>
        </w:rPr>
      </w:pPr>
      <w:r>
        <w:rPr>
          <w:rFonts w:hint="default"/>
          <w:b/>
          <w:bCs/>
        </w:rPr>
        <w:t>（2）区域分布广泛，与城市人口密度呈正相关</w:t>
      </w:r>
      <w:r>
        <w:rPr>
          <w:rFonts w:hint="default"/>
        </w:rPr>
        <w:br w:type="textWrapping"/>
      </w:r>
      <w:r>
        <w:rPr>
          <w:rFonts w:hint="default"/>
        </w:rPr>
        <w:t>从常住区域分布来看，浦东新区作为上海面积最大、人口最多的行政区，样本量达到 229 份，位居首位；其次为嘉定区（65份）、闵行区（62份）等人口导入大区。这种与行政区人口密度高度正相关的样本分布，确保了研究结论能够客观反映上海“中心城区+郊区新城”不同空间形态下的健身驿站服务现状，避免了地域偏差。</w:t>
      </w:r>
    </w:p>
    <w:p w14:paraId="5222627F">
      <w:pPr>
        <w:spacing w:line="360" w:lineRule="auto"/>
        <w:rPr>
          <w:rFonts w:hint="default"/>
        </w:rPr>
      </w:pPr>
      <w:r>
        <w:rPr>
          <w:rFonts w:hint="default"/>
        </w:rPr>
        <w:drawing>
          <wp:inline distT="0" distB="0" distL="114300" distR="114300">
            <wp:extent cx="5252720" cy="4352290"/>
            <wp:effectExtent l="0" t="0" r="5080" b="381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6"/>
                    <a:stretch>
                      <a:fillRect/>
                    </a:stretch>
                  </pic:blipFill>
                  <pic:spPr>
                    <a:xfrm>
                      <a:off x="0" y="0"/>
                      <a:ext cx="5252720" cy="4352290"/>
                    </a:xfrm>
                    <a:prstGeom prst="rect">
                      <a:avLst/>
                    </a:prstGeom>
                    <a:noFill/>
                    <a:ln>
                      <a:noFill/>
                    </a:ln>
                  </pic:spPr>
                </pic:pic>
              </a:graphicData>
            </a:graphic>
          </wp:inline>
        </w:drawing>
      </w:r>
    </w:p>
    <w:p w14:paraId="6B177D68">
      <w:pPr>
        <w:spacing w:line="360" w:lineRule="auto"/>
        <w:rPr>
          <w:rFonts w:hint="default"/>
        </w:rPr>
      </w:pPr>
      <w:r>
        <w:rPr>
          <w:rFonts w:hint="default"/>
          <w:b/>
          <w:bCs/>
        </w:rPr>
        <w:t>（3）收入水平呈阶梯状分布，契合公共服务对象特征</w:t>
      </w:r>
      <w:r>
        <w:rPr>
          <w:rFonts w:hint="default"/>
        </w:rPr>
        <w:br w:type="textWrapping"/>
      </w:r>
      <w:r>
        <w:rPr>
          <w:rFonts w:hint="default"/>
        </w:rPr>
        <w:t>月收入在 8001-12000 元（166人）及 20001 元以上（198人）的群体占比较高，显示出受访者具备一定的经济基础，对生活品质有较高追求。值得注意的是，“不便透露”选项的高占比（198人）体现了市民对隐私的保护意识。整体来看，样本覆盖了从低收入到高收入的各阶层群体，有助于全面评估“免费/低收费”健身驿站的普惠性与社会公平性。</w:t>
      </w:r>
    </w:p>
    <w:p w14:paraId="1C91F0C8">
      <w:pPr>
        <w:spacing w:line="360" w:lineRule="auto"/>
      </w:pPr>
      <w:r>
        <w:rPr/>
        <w:drawing>
          <wp:inline distT="0" distB="0" distL="114300" distR="114300">
            <wp:extent cx="5255260" cy="4748530"/>
            <wp:effectExtent l="0" t="0" r="2540" b="127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7"/>
                    <a:stretch>
                      <a:fillRect/>
                    </a:stretch>
                  </pic:blipFill>
                  <pic:spPr>
                    <a:xfrm>
                      <a:off x="0" y="0"/>
                      <a:ext cx="5255260" cy="4748530"/>
                    </a:xfrm>
                    <a:prstGeom prst="rect">
                      <a:avLst/>
                    </a:prstGeom>
                    <a:noFill/>
                    <a:ln>
                      <a:noFill/>
                    </a:ln>
                  </pic:spPr>
                </pic:pic>
              </a:graphicData>
            </a:graphic>
          </wp:inline>
        </w:drawing>
      </w:r>
      <w:bookmarkStart w:id="0" w:name="_GoBack"/>
      <w:bookmarkEnd w:id="0"/>
    </w:p>
    <w:p w14:paraId="6CABB9A0">
      <w:pPr>
        <w:spacing w:line="360" w:lineRule="auto"/>
        <w:rPr>
          <w:b/>
          <w:bCs/>
        </w:rPr>
      </w:pPr>
      <w:r>
        <w:rPr>
          <w:rFonts w:hint="default"/>
          <w:b/>
          <w:bCs/>
        </w:rPr>
        <w:t>3.2 服务效能评价指标体系的构建</w:t>
      </w:r>
    </w:p>
    <w:p w14:paraId="69EC08F0">
      <w:pPr>
        <w:spacing w:line="360" w:lineRule="auto"/>
        <w:rPr>
          <w:rFonts w:hint="default"/>
        </w:rPr>
      </w:pPr>
      <w:r>
        <w:rPr>
          <w:rFonts w:hint="default"/>
        </w:rPr>
        <w:t>科学的评价指标体系是测度服务效能的基石。本研究遵循“理论预设—数据验证”的逻辑，首先基于 ACSI 模型与 PESTEL 分析初拟指标，随后利用探索性因子分析（EFA）对测量维度进行降维与重构，并严格进行信效度检验。</w:t>
      </w:r>
    </w:p>
    <w:p w14:paraId="16453E57">
      <w:pPr>
        <w:spacing w:line="360" w:lineRule="auto"/>
        <w:rPr>
          <w:rFonts w:hint="default"/>
          <w:b/>
          <w:bCs/>
        </w:rPr>
      </w:pPr>
      <w:r>
        <w:rPr>
          <w:rFonts w:hint="default"/>
          <w:b/>
          <w:bCs/>
        </w:rPr>
        <w:t>3.2.1 探索性因子分析与指标重构</w:t>
      </w:r>
    </w:p>
    <w:p w14:paraId="3085EAAC">
      <w:pPr>
        <w:spacing w:line="360" w:lineRule="auto"/>
        <w:rPr>
          <w:rFonts w:hint="default"/>
        </w:rPr>
      </w:pPr>
      <w:r>
        <w:rPr>
          <w:rFonts w:hint="default"/>
        </w:rPr>
        <w:t>首先，对问卷中关于服务评价的 12 个量表题项进行 KMO 和 Bartlett 球形检验，以判断数据是否适合进行因子分析。如表 3-1 所示，KMO 值为 0.703，大于 0.7 的阈值；Bartlett 球形检验显著性 P &lt; 0.001，拒绝了变量间独立的零假设。这表明各变量间存在显著的相关性，数据结构适合进行因子提取。</w:t>
      </w:r>
    </w:p>
    <w:p w14:paraId="67840483">
      <w:pPr>
        <w:spacing w:line="360" w:lineRule="auto"/>
        <w:rPr>
          <w:rFonts w:hint="eastAsia" w:eastAsiaTheme="minorEastAsia"/>
          <w:lang w:eastAsia="zh-CN"/>
        </w:rPr>
      </w:pPr>
      <w:r>
        <w:rPr>
          <w:rFonts w:hint="default"/>
        </w:rPr>
        <w:t>随后，采用主成分分析法（PCA）提取公因子，并使用最大方差法（Varimax）进行旋转。如图 3-2 因子载荷热力图所示，12 个指标清晰地聚类为四个维度，且各题项在对应因子上的载荷均大于 0.6，交叉载荷低，说明指标分类具有明确的物理意义。根据各因子包含的题项内容，本研究将一级指标命名为：</w:t>
      </w:r>
    </w:p>
    <w:p w14:paraId="79045C0B">
      <w:pPr>
        <w:numPr>
          <w:ilvl w:val="0"/>
          <w:numId w:val="1"/>
        </w:numPr>
        <w:spacing w:line="360" w:lineRule="auto"/>
        <w:ind w:left="420" w:leftChars="0" w:hanging="420" w:firstLineChars="0"/>
        <w:rPr>
          <w:rFonts w:hint="default"/>
        </w:rPr>
      </w:pPr>
      <w:r>
        <w:rPr>
          <w:rFonts w:hint="default"/>
        </w:rPr>
        <w:t>F1 硬件设施（Hardware）： 包含设施种类、维护状况、场馆环境、配套设施（Q14, Q15, Q16, Q19）。</w:t>
      </w:r>
    </w:p>
    <w:p w14:paraId="62908A9D">
      <w:pPr>
        <w:numPr>
          <w:ilvl w:val="0"/>
          <w:numId w:val="1"/>
        </w:numPr>
        <w:spacing w:line="360" w:lineRule="auto"/>
        <w:ind w:left="420" w:leftChars="0" w:hanging="420" w:firstLineChars="0"/>
        <w:rPr>
          <w:rFonts w:hint="default"/>
        </w:rPr>
      </w:pPr>
      <w:r>
        <w:rPr>
          <w:rFonts w:hint="default"/>
        </w:rPr>
        <w:t>F2 软性服务（Service）： 包含营业时间、价格费用、人员服务、信息发布（Q17, Q18, Q20, Q21）。</w:t>
      </w:r>
    </w:p>
    <w:p w14:paraId="2FF62FD1">
      <w:pPr>
        <w:numPr>
          <w:ilvl w:val="0"/>
          <w:numId w:val="1"/>
        </w:numPr>
        <w:spacing w:line="360" w:lineRule="auto"/>
        <w:ind w:left="420" w:leftChars="0" w:hanging="420" w:firstLineChars="0"/>
        <w:rPr>
          <w:rFonts w:hint="default"/>
        </w:rPr>
      </w:pPr>
      <w:r>
        <w:rPr>
          <w:rFonts w:hint="default"/>
        </w:rPr>
        <w:t>F3 数智体验（Smart）： 包含智能设备丰富度、运动数据服务（Q16_Smart_Device, Q16_Smart_Data）。</w:t>
      </w:r>
    </w:p>
    <w:p w14:paraId="583BE72B">
      <w:pPr>
        <w:numPr>
          <w:ilvl w:val="0"/>
          <w:numId w:val="1"/>
        </w:numPr>
        <w:spacing w:line="360" w:lineRule="auto"/>
        <w:ind w:left="420" w:leftChars="0" w:hanging="420" w:firstLineChars="0"/>
        <w:rPr>
          <w:rFonts w:hint="default"/>
        </w:rPr>
      </w:pPr>
      <w:r>
        <w:rPr>
          <w:rFonts w:hint="default"/>
        </w:rPr>
        <w:t>F4 便利程度（Convenience）： 包含距离便利性、交通通达性（Q13a, Q13b）。</w:t>
      </w:r>
    </w:p>
    <w:p w14:paraId="22FDD705">
      <w:pPr>
        <w:numPr>
          <w:ilvl w:val="0"/>
          <w:numId w:val="0"/>
        </w:numPr>
        <w:spacing w:line="360" w:lineRule="auto"/>
        <w:ind w:leftChars="0"/>
        <w:rPr>
          <w:rFonts w:hint="default"/>
        </w:rPr>
      </w:pPr>
      <w:r>
        <w:rPr>
          <w:rFonts w:hint="default"/>
        </w:rPr>
        <w:drawing>
          <wp:inline distT="0" distB="0" distL="114300" distR="114300">
            <wp:extent cx="5257800" cy="4206240"/>
            <wp:effectExtent l="0" t="0" r="0" b="1016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5257800" cy="4206240"/>
                    </a:xfrm>
                    <a:prstGeom prst="rect">
                      <a:avLst/>
                    </a:prstGeom>
                    <a:noFill/>
                    <a:ln>
                      <a:noFill/>
                    </a:ln>
                  </pic:spPr>
                </pic:pic>
              </a:graphicData>
            </a:graphic>
          </wp:inline>
        </w:drawing>
      </w:r>
    </w:p>
    <w:p w14:paraId="7661191B">
      <w:pPr>
        <w:numPr>
          <w:ilvl w:val="0"/>
          <w:numId w:val="0"/>
        </w:numPr>
        <w:spacing w:line="360" w:lineRule="auto"/>
        <w:ind w:leftChars="0"/>
        <w:rPr>
          <w:rFonts w:hint="default"/>
        </w:rPr>
      </w:pPr>
    </w:p>
    <w:p w14:paraId="60370270">
      <w:pPr>
        <w:numPr>
          <w:ilvl w:val="0"/>
          <w:numId w:val="0"/>
        </w:numPr>
        <w:spacing w:line="360" w:lineRule="auto"/>
        <w:ind w:leftChars="0"/>
        <w:rPr>
          <w:rFonts w:hint="default"/>
        </w:rPr>
      </w:pPr>
      <w:r>
        <w:rPr>
          <w:rFonts w:hint="default"/>
        </w:rPr>
        <w:t>3.2.2 信度与效度检验</w:t>
      </w:r>
    </w:p>
    <w:p w14:paraId="2AA596F5">
      <w:pPr>
        <w:numPr>
          <w:ilvl w:val="0"/>
          <w:numId w:val="0"/>
        </w:numPr>
        <w:spacing w:line="360" w:lineRule="auto"/>
        <w:ind w:leftChars="0"/>
        <w:rPr>
          <w:rFonts w:hint="default"/>
        </w:rPr>
      </w:pPr>
      <w:r>
        <w:rPr>
          <w:rFonts w:hint="default"/>
        </w:rPr>
        <w:t>为了确保测量结果的可靠性与准确性，本研究进一步进行了信效度检验。</w:t>
      </w:r>
    </w:p>
    <w:p w14:paraId="0C985291">
      <w:pPr>
        <w:numPr>
          <w:ilvl w:val="0"/>
          <w:numId w:val="0"/>
        </w:numPr>
        <w:spacing w:line="360" w:lineRule="auto"/>
        <w:ind w:leftChars="0"/>
        <w:rPr>
          <w:rFonts w:hint="default"/>
        </w:rPr>
      </w:pPr>
      <w:r>
        <w:rPr>
          <w:rFonts w:hint="default"/>
        </w:rPr>
        <w:t>（1）信度检验（Reliability）</w:t>
      </w:r>
      <w:r>
        <w:rPr>
          <w:rFonts w:hint="default"/>
        </w:rPr>
        <w:br w:type="textWrapping"/>
      </w:r>
      <w:r>
        <w:rPr>
          <w:rFonts w:hint="default"/>
        </w:rPr>
        <w:t>采用 Cronbach's </w:t>
      </w:r>
      <w:r>
        <w:rPr>
          <w:rFonts w:hint="eastAsia"/>
          <w:lang w:val="en-US" w:eastAsia="zh-CN"/>
        </w:rPr>
        <w:t xml:space="preserve"> </w:t>
      </w:r>
      <w:r>
        <w:rPr>
          <w:rFonts w:hint="default"/>
        </w:rPr>
        <w:t>α</w:t>
      </w:r>
      <w:r>
        <w:rPr>
          <w:rFonts w:hint="eastAsia"/>
          <w:lang w:val="en-US" w:eastAsia="zh-CN"/>
        </w:rPr>
        <w:t xml:space="preserve"> </w:t>
      </w:r>
      <w:r>
        <w:rPr>
          <w:rFonts w:hint="default"/>
          <w:lang w:val="en-US" w:eastAsia="zh-CN"/>
        </w:rPr>
        <w:t>系数评价量表的内部一致性。分析结果显示，硬件设施（0.921）、数智体验（0.905）、软性服务（0.884）及便利程度（0.812）四个分量表的 </w:t>
      </w:r>
      <w:r>
        <w:rPr>
          <w:rFonts w:hint="default"/>
        </w:rPr>
        <w:t>α</w:t>
      </w:r>
      <w:r>
        <w:rPr>
          <w:rFonts w:hint="default"/>
          <w:lang w:val="en-US" w:eastAsia="zh-CN"/>
        </w:rPr>
        <w:t> 系数均大于 0.8，表明问卷在各细分维度上具有极高的信度，测量结果稳定可靠。</w:t>
      </w:r>
    </w:p>
    <w:p w14:paraId="364B3249">
      <w:pPr>
        <w:numPr>
          <w:ilvl w:val="0"/>
          <w:numId w:val="0"/>
        </w:numPr>
        <w:spacing w:line="360" w:lineRule="auto"/>
        <w:ind w:leftChars="0"/>
        <w:rPr>
          <w:rFonts w:hint="default"/>
        </w:rPr>
      </w:pPr>
      <w:r>
        <w:rPr>
          <w:rFonts w:hint="default"/>
        </w:rPr>
        <w:t>（2）效度检验（Validity）</w:t>
      </w:r>
      <w:r>
        <w:rPr>
          <w:rFonts w:hint="default"/>
        </w:rPr>
        <w:br w:type="textWrapping"/>
      </w:r>
      <w:r>
        <w:rPr>
          <w:rFonts w:hint="default"/>
        </w:rPr>
        <w:t>本研究不仅通过 KMO 检验了结构效度，还利用验证性因子分析（CFA）进一步计算了平均方差抽取量（AVE）和组合信度（CR）。计算结果显示，各潜变量的 AVE 值均大于 0.5，CR 值均大于 0.7，表明指标体系具有良好的收敛效度（Convergent Validity）。同时，各因子间的相关系数小于 AVE 的平方根，证明了良好的区别效度（Discriminant Validity）。</w:t>
      </w:r>
    </w:p>
    <w:p w14:paraId="7DB61593">
      <w:pPr>
        <w:numPr>
          <w:ilvl w:val="0"/>
          <w:numId w:val="0"/>
        </w:numPr>
        <w:spacing w:line="360" w:lineRule="auto"/>
        <w:ind w:leftChars="0"/>
        <w:rPr>
          <w:rFonts w:hint="default"/>
        </w:rPr>
      </w:pPr>
    </w:p>
    <w:p w14:paraId="7F89156B">
      <w:pPr>
        <w:spacing w:line="360" w:lineRule="auto"/>
        <w:rPr>
          <w:rFonts w:hint="default"/>
          <w:b/>
          <w:bCs/>
        </w:rPr>
      </w:pPr>
      <w:r>
        <w:rPr>
          <w:rFonts w:hint="default"/>
          <w:b/>
          <w:bCs/>
        </w:rPr>
        <w:t>3.3 基于熵值法与 FCE 的服务效能现状测度</w:t>
      </w:r>
    </w:p>
    <w:p w14:paraId="385BDD2B">
      <w:pPr>
        <w:spacing w:line="360" w:lineRule="auto"/>
        <w:rPr>
          <w:rFonts w:hint="default"/>
        </w:rPr>
      </w:pPr>
      <w:r>
        <w:rPr>
          <w:rFonts w:hint="default"/>
        </w:rPr>
        <w:t>在确立指标体系后，本研究采用“客观赋权+模糊评价”的组合方法，对上海市民健身驿站的服务效能进行全方位测度。</w:t>
      </w:r>
    </w:p>
    <w:p w14:paraId="1375A4D2">
      <w:pPr>
        <w:spacing w:line="360" w:lineRule="auto"/>
        <w:rPr>
          <w:rFonts w:hint="default"/>
          <w:b/>
          <w:bCs/>
        </w:rPr>
      </w:pPr>
      <w:r>
        <w:rPr>
          <w:rFonts w:hint="default"/>
          <w:b/>
          <w:bCs/>
        </w:rPr>
        <w:t>3.3.1 熵值法权重计算</w:t>
      </w:r>
    </w:p>
    <w:p w14:paraId="25F32789">
      <w:pPr>
        <w:spacing w:line="360" w:lineRule="auto"/>
        <w:rPr>
          <w:rFonts w:hint="default"/>
        </w:rPr>
      </w:pPr>
      <w:r>
        <w:rPr>
          <w:rFonts w:hint="default"/>
        </w:rPr>
        <w:t>为了避免主观经验对权重的干扰，本研究采用熵值法（Entropy Method）计算各指标的客观权重。权重计算结果如表 3-2 所示。</w:t>
      </w:r>
    </w:p>
    <w:p w14:paraId="4C32CB0F">
      <w:pPr>
        <w:spacing w:line="360" w:lineRule="auto"/>
        <w:rPr>
          <w:rFonts w:hint="default"/>
        </w:rPr>
      </w:pPr>
      <w:r>
        <w:rPr>
          <w:rFonts w:hint="default"/>
        </w:rPr>
        <w:t>从权重分布来看，“软性服务”与“数智体验”相关指标的权重普遍较高。其中，“营业时间（Q17）”权重最高（0.1025），说明在当前市民需求下，驿站“开不开门、何时开门”是信息熵最大、评价差异最剧烈的痛点。紧随其后的是**“信息发布（0.1008）”和“智能设备（0.0981）”。相反，“距离便利性（Q13a）”的权重最低（0.0484）**，这侧面反映出上海在“15分钟生活圈”建设上已取得成效，市民对距离的感知差异较小，不再是区分效能高低的核心变量。</w:t>
      </w:r>
    </w:p>
    <w:p w14:paraId="6C6E1E2E">
      <w:pPr>
        <w:spacing w:line="360" w:lineRule="auto"/>
        <w:rPr>
          <w:rFonts w:hint="default"/>
        </w:rPr>
      </w:pPr>
      <w:r>
        <w:rPr>
          <w:rFonts w:hint="default"/>
        </w:rPr>
        <w:t>表 3-2 上海市民健身驿站服务效能评价指标体系及权重</w:t>
      </w:r>
    </w:p>
    <w:tbl>
      <w:tblPr>
        <w:tblStyle w:val="8"/>
        <w:tblW w:w="852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4"/>
        <w:gridCol w:w="1257"/>
        <w:gridCol w:w="2167"/>
        <w:gridCol w:w="2180"/>
        <w:gridCol w:w="1274"/>
      </w:tblGrid>
      <w:tr w14:paraId="71AAC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1599" w:type="dxa"/>
            <w:tcBorders>
              <w:top w:val="nil"/>
              <w:right w:val="nil"/>
            </w:tcBorders>
            <w:shd w:val="clear" w:color="auto" w:fill="auto"/>
            <w:tcMar>
              <w:top w:w="60" w:type="dxa"/>
              <w:left w:w="120" w:type="dxa"/>
              <w:bottom w:w="60" w:type="dxa"/>
              <w:right w:w="120" w:type="dxa"/>
            </w:tcMar>
            <w:vAlign w:val="center"/>
          </w:tcPr>
          <w:p w14:paraId="19DB71E6">
            <w:pPr>
              <w:snapToGrid w:val="0"/>
              <w:spacing w:line="360" w:lineRule="auto"/>
              <w:ind w:left="0" w:leftChars="0" w:right="0" w:rightChars="0" w:firstLine="0" w:firstLineChars="0"/>
              <w:jc w:val="center"/>
              <w:rPr>
                <w:rFonts w:hint="default"/>
                <w:b/>
              </w:rPr>
            </w:pPr>
            <w:r>
              <w:rPr>
                <w:rFonts w:hint="default"/>
                <w:b/>
                <w:lang w:val="en-US" w:eastAsia="zh-CN"/>
              </w:rPr>
              <w:t>一级指标</w:t>
            </w:r>
          </w:p>
        </w:tc>
        <w:tc>
          <w:tcPr>
            <w:tcW w:w="1227" w:type="dxa"/>
            <w:tcBorders>
              <w:top w:val="nil"/>
              <w:right w:val="nil"/>
            </w:tcBorders>
            <w:shd w:val="clear" w:color="auto" w:fill="auto"/>
            <w:tcMar>
              <w:top w:w="60" w:type="dxa"/>
              <w:left w:w="120" w:type="dxa"/>
              <w:bottom w:w="60" w:type="dxa"/>
              <w:right w:w="120" w:type="dxa"/>
            </w:tcMar>
            <w:vAlign w:val="center"/>
          </w:tcPr>
          <w:p w14:paraId="25909C8A">
            <w:pPr>
              <w:snapToGrid w:val="0"/>
              <w:spacing w:line="360" w:lineRule="auto"/>
              <w:ind w:left="0" w:leftChars="0" w:right="0" w:rightChars="0" w:firstLine="0" w:firstLineChars="0"/>
              <w:jc w:val="center"/>
              <w:rPr>
                <w:rFonts w:hint="default"/>
                <w:b/>
              </w:rPr>
            </w:pPr>
            <w:r>
              <w:rPr>
                <w:rFonts w:hint="default"/>
                <w:b/>
                <w:lang w:val="en-US" w:eastAsia="zh-CN"/>
              </w:rPr>
              <w:t>二级指标</w:t>
            </w:r>
          </w:p>
        </w:tc>
        <w:tc>
          <w:tcPr>
            <w:tcW w:w="2137" w:type="dxa"/>
            <w:tcBorders>
              <w:top w:val="nil"/>
              <w:right w:val="nil"/>
            </w:tcBorders>
            <w:shd w:val="clear" w:color="auto" w:fill="auto"/>
            <w:tcMar>
              <w:top w:w="60" w:type="dxa"/>
              <w:left w:w="120" w:type="dxa"/>
              <w:bottom w:w="60" w:type="dxa"/>
              <w:right w:w="120" w:type="dxa"/>
            </w:tcMar>
            <w:vAlign w:val="center"/>
          </w:tcPr>
          <w:p w14:paraId="59507D2D">
            <w:pPr>
              <w:snapToGrid w:val="0"/>
              <w:spacing w:line="360" w:lineRule="auto"/>
              <w:ind w:left="0" w:leftChars="0" w:right="0" w:rightChars="0" w:firstLine="0" w:firstLineChars="0"/>
              <w:jc w:val="center"/>
              <w:rPr>
                <w:rFonts w:hint="default"/>
                <w:b/>
              </w:rPr>
            </w:pPr>
            <w:r>
              <w:rPr>
                <w:rFonts w:hint="default"/>
                <w:b/>
                <w:lang w:val="en-US" w:eastAsia="zh-CN"/>
              </w:rPr>
              <w:t>指标内容</w:t>
            </w:r>
          </w:p>
        </w:tc>
        <w:tc>
          <w:tcPr>
            <w:tcW w:w="2150" w:type="dxa"/>
            <w:tcBorders>
              <w:top w:val="nil"/>
              <w:right w:val="nil"/>
            </w:tcBorders>
            <w:shd w:val="clear" w:color="auto" w:fill="auto"/>
            <w:tcMar>
              <w:top w:w="60" w:type="dxa"/>
              <w:left w:w="120" w:type="dxa"/>
              <w:bottom w:w="60" w:type="dxa"/>
              <w:right w:w="120" w:type="dxa"/>
            </w:tcMar>
            <w:vAlign w:val="center"/>
          </w:tcPr>
          <w:p w14:paraId="60AADE7B">
            <w:pPr>
              <w:snapToGrid w:val="0"/>
              <w:spacing w:line="360" w:lineRule="auto"/>
              <w:ind w:left="0" w:leftChars="0" w:right="0" w:rightChars="0" w:firstLine="0" w:firstLineChars="0"/>
              <w:jc w:val="center"/>
              <w:rPr>
                <w:rFonts w:hint="default"/>
                <w:b/>
              </w:rPr>
            </w:pPr>
            <w:r>
              <w:rPr>
                <w:rFonts w:hint="default"/>
                <w:b/>
                <w:lang w:val="en-US" w:eastAsia="zh-CN"/>
              </w:rPr>
              <w:t>熵值权重(</w:t>
            </w:r>
            <w:r>
              <w:rPr>
                <w:rFonts w:hint="default"/>
                <w:b/>
              </w:rPr>
              <w:t>Wj</w:t>
            </w:r>
            <w:r>
              <w:rPr>
                <w:rFonts w:hint="default"/>
                <w:b/>
                <w:lang w:val="en-US" w:eastAsia="zh-CN"/>
              </w:rPr>
              <w:t>)</w:t>
            </w:r>
          </w:p>
        </w:tc>
        <w:tc>
          <w:tcPr>
            <w:tcW w:w="1229" w:type="dxa"/>
            <w:tcBorders>
              <w:top w:val="nil"/>
              <w:right w:val="nil"/>
            </w:tcBorders>
            <w:shd w:val="clear" w:color="auto" w:fill="auto"/>
            <w:tcMar>
              <w:top w:w="60" w:type="dxa"/>
              <w:left w:w="120" w:type="dxa"/>
              <w:bottom w:w="60" w:type="dxa"/>
              <w:right w:w="120" w:type="dxa"/>
            </w:tcMar>
            <w:vAlign w:val="center"/>
          </w:tcPr>
          <w:p w14:paraId="16EEFB34">
            <w:pPr>
              <w:snapToGrid w:val="0"/>
              <w:spacing w:line="360" w:lineRule="auto"/>
              <w:ind w:left="0" w:leftChars="0" w:right="0" w:rightChars="0" w:firstLine="0" w:firstLineChars="0"/>
              <w:jc w:val="center"/>
              <w:rPr>
                <w:rFonts w:hint="default"/>
                <w:b/>
              </w:rPr>
            </w:pPr>
            <w:r>
              <w:rPr>
                <w:rFonts w:hint="default"/>
                <w:b/>
                <w:lang w:val="en-US" w:eastAsia="zh-CN"/>
              </w:rPr>
              <w:t>现状均值</w:t>
            </w:r>
          </w:p>
        </w:tc>
      </w:tr>
      <w:tr w14:paraId="7DC92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599" w:type="dxa"/>
            <w:tcBorders>
              <w:top w:val="nil"/>
              <w:left w:val="nil"/>
              <w:right w:val="nil"/>
            </w:tcBorders>
            <w:shd w:val="clear" w:color="auto" w:fill="auto"/>
            <w:tcMar>
              <w:top w:w="60" w:type="dxa"/>
              <w:left w:w="120" w:type="dxa"/>
              <w:bottom w:w="60" w:type="dxa"/>
              <w:right w:w="120" w:type="dxa"/>
            </w:tcMar>
            <w:vAlign w:val="center"/>
          </w:tcPr>
          <w:p w14:paraId="0C40B7D4">
            <w:pPr>
              <w:snapToGrid w:val="0"/>
              <w:spacing w:line="360" w:lineRule="auto"/>
              <w:ind w:left="0" w:leftChars="0" w:right="0" w:rightChars="0" w:firstLine="0" w:firstLineChars="0"/>
              <w:jc w:val="center"/>
              <w:rPr>
                <w:rFonts w:hint="default"/>
              </w:rPr>
            </w:pPr>
            <w:r>
              <w:rPr>
                <w:rFonts w:hint="default"/>
                <w:lang w:val="en-US" w:eastAsia="zh-CN"/>
              </w:rPr>
              <w:t>B1 硬件设施</w:t>
            </w:r>
          </w:p>
        </w:tc>
        <w:tc>
          <w:tcPr>
            <w:tcW w:w="1227" w:type="dxa"/>
            <w:tcBorders>
              <w:right w:val="nil"/>
            </w:tcBorders>
            <w:shd w:val="clear" w:color="auto" w:fill="auto"/>
            <w:tcMar>
              <w:top w:w="60" w:type="dxa"/>
              <w:left w:w="120" w:type="dxa"/>
              <w:bottom w:w="60" w:type="dxa"/>
              <w:right w:w="120" w:type="dxa"/>
            </w:tcMar>
            <w:vAlign w:val="center"/>
          </w:tcPr>
          <w:p w14:paraId="0694D018">
            <w:pPr>
              <w:snapToGrid w:val="0"/>
              <w:spacing w:line="360" w:lineRule="auto"/>
              <w:ind w:left="0" w:leftChars="0" w:right="0" w:rightChars="0" w:firstLine="0" w:firstLineChars="0"/>
              <w:jc w:val="center"/>
              <w:rPr>
                <w:rFonts w:hint="default"/>
              </w:rPr>
            </w:pPr>
            <w:r>
              <w:rPr>
                <w:rFonts w:hint="default"/>
                <w:lang w:val="en-US" w:eastAsia="zh-CN"/>
              </w:rPr>
              <w:t>C1</w:t>
            </w:r>
          </w:p>
        </w:tc>
        <w:tc>
          <w:tcPr>
            <w:tcW w:w="2137" w:type="dxa"/>
            <w:tcBorders>
              <w:right w:val="nil"/>
            </w:tcBorders>
            <w:shd w:val="clear" w:color="auto" w:fill="auto"/>
            <w:tcMar>
              <w:top w:w="60" w:type="dxa"/>
              <w:left w:w="120" w:type="dxa"/>
              <w:bottom w:w="60" w:type="dxa"/>
              <w:right w:w="120" w:type="dxa"/>
            </w:tcMar>
            <w:vAlign w:val="center"/>
          </w:tcPr>
          <w:p w14:paraId="533F14F5">
            <w:pPr>
              <w:snapToGrid w:val="0"/>
              <w:spacing w:line="360" w:lineRule="auto"/>
              <w:ind w:left="0" w:leftChars="0" w:right="0" w:rightChars="0" w:firstLine="0" w:firstLineChars="0"/>
              <w:jc w:val="left"/>
              <w:rPr>
                <w:rFonts w:hint="default"/>
              </w:rPr>
            </w:pPr>
            <w:r>
              <w:rPr>
                <w:rFonts w:hint="default"/>
                <w:lang w:val="en-US" w:eastAsia="zh-CN"/>
              </w:rPr>
              <w:t>Q14 设施种类</w:t>
            </w:r>
          </w:p>
        </w:tc>
        <w:tc>
          <w:tcPr>
            <w:tcW w:w="2150" w:type="dxa"/>
            <w:tcBorders>
              <w:right w:val="nil"/>
            </w:tcBorders>
            <w:shd w:val="clear" w:color="auto" w:fill="auto"/>
            <w:tcMar>
              <w:top w:w="60" w:type="dxa"/>
              <w:left w:w="120" w:type="dxa"/>
              <w:bottom w:w="60" w:type="dxa"/>
              <w:right w:w="120" w:type="dxa"/>
            </w:tcMar>
            <w:vAlign w:val="center"/>
          </w:tcPr>
          <w:p w14:paraId="731779D3">
            <w:pPr>
              <w:snapToGrid w:val="0"/>
              <w:spacing w:line="360" w:lineRule="auto"/>
              <w:ind w:left="0" w:leftChars="0" w:right="0" w:rightChars="0" w:firstLine="0" w:firstLineChars="0"/>
              <w:jc w:val="left"/>
              <w:rPr>
                <w:rFonts w:hint="default"/>
              </w:rPr>
            </w:pPr>
            <w:r>
              <w:rPr>
                <w:rFonts w:hint="default"/>
                <w:lang w:val="en-US" w:eastAsia="zh-CN"/>
              </w:rPr>
              <w:t>0.0897</w:t>
            </w:r>
          </w:p>
        </w:tc>
        <w:tc>
          <w:tcPr>
            <w:tcW w:w="1229" w:type="dxa"/>
            <w:tcBorders>
              <w:right w:val="nil"/>
            </w:tcBorders>
            <w:shd w:val="clear" w:color="auto" w:fill="auto"/>
            <w:tcMar>
              <w:top w:w="60" w:type="dxa"/>
              <w:left w:w="120" w:type="dxa"/>
              <w:bottom w:w="60" w:type="dxa"/>
              <w:right w:w="120" w:type="dxa"/>
            </w:tcMar>
            <w:vAlign w:val="center"/>
          </w:tcPr>
          <w:p w14:paraId="7DF00DEC">
            <w:pPr>
              <w:snapToGrid w:val="0"/>
              <w:spacing w:line="360" w:lineRule="auto"/>
              <w:ind w:left="0" w:leftChars="0" w:right="0" w:rightChars="0" w:firstLine="0" w:firstLineChars="0"/>
              <w:jc w:val="right"/>
              <w:rPr>
                <w:rFonts w:hint="default"/>
              </w:rPr>
            </w:pPr>
            <w:r>
              <w:rPr>
                <w:rFonts w:hint="default"/>
                <w:lang w:val="en-US" w:eastAsia="zh-CN"/>
              </w:rPr>
              <w:t>4.56</w:t>
            </w:r>
          </w:p>
        </w:tc>
      </w:tr>
      <w:tr w14:paraId="29F8B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599" w:type="dxa"/>
            <w:tcBorders>
              <w:left w:val="nil"/>
              <w:right w:val="nil"/>
            </w:tcBorders>
            <w:shd w:val="clear" w:color="auto" w:fill="auto"/>
            <w:tcMar>
              <w:top w:w="60" w:type="dxa"/>
              <w:left w:w="120" w:type="dxa"/>
              <w:bottom w:w="60" w:type="dxa"/>
              <w:right w:w="120" w:type="dxa"/>
            </w:tcMar>
            <w:vAlign w:val="center"/>
          </w:tcPr>
          <w:p w14:paraId="4BE72A42">
            <w:pPr>
              <w:snapToGrid w:val="0"/>
              <w:spacing w:line="360" w:lineRule="auto"/>
              <w:ind w:left="0" w:leftChars="0" w:right="0" w:rightChars="0" w:firstLine="0" w:firstLineChars="0"/>
              <w:jc w:val="center"/>
              <w:rPr>
                <w:rFonts w:hint="default"/>
              </w:rPr>
            </w:pPr>
          </w:p>
        </w:tc>
        <w:tc>
          <w:tcPr>
            <w:tcW w:w="1227" w:type="dxa"/>
            <w:tcBorders>
              <w:right w:val="nil"/>
            </w:tcBorders>
            <w:shd w:val="clear" w:color="auto" w:fill="auto"/>
            <w:tcMar>
              <w:top w:w="60" w:type="dxa"/>
              <w:left w:w="120" w:type="dxa"/>
              <w:bottom w:w="60" w:type="dxa"/>
              <w:right w:w="120" w:type="dxa"/>
            </w:tcMar>
            <w:vAlign w:val="center"/>
          </w:tcPr>
          <w:p w14:paraId="341E3D76">
            <w:pPr>
              <w:snapToGrid w:val="0"/>
              <w:spacing w:line="360" w:lineRule="auto"/>
              <w:ind w:left="0" w:leftChars="0" w:right="0" w:rightChars="0" w:firstLine="0" w:firstLineChars="0"/>
              <w:jc w:val="center"/>
              <w:rPr>
                <w:rFonts w:hint="default"/>
              </w:rPr>
            </w:pPr>
            <w:r>
              <w:rPr>
                <w:rFonts w:hint="default"/>
                <w:lang w:val="en-US" w:eastAsia="zh-CN"/>
              </w:rPr>
              <w:t>C2</w:t>
            </w:r>
          </w:p>
        </w:tc>
        <w:tc>
          <w:tcPr>
            <w:tcW w:w="2137" w:type="dxa"/>
            <w:tcBorders>
              <w:right w:val="nil"/>
            </w:tcBorders>
            <w:shd w:val="clear" w:color="auto" w:fill="auto"/>
            <w:tcMar>
              <w:top w:w="60" w:type="dxa"/>
              <w:left w:w="120" w:type="dxa"/>
              <w:bottom w:w="60" w:type="dxa"/>
              <w:right w:w="120" w:type="dxa"/>
            </w:tcMar>
            <w:vAlign w:val="center"/>
          </w:tcPr>
          <w:p w14:paraId="4BDA5D0C">
            <w:pPr>
              <w:snapToGrid w:val="0"/>
              <w:spacing w:line="360" w:lineRule="auto"/>
              <w:ind w:left="0" w:leftChars="0" w:right="0" w:rightChars="0" w:firstLine="0" w:firstLineChars="0"/>
              <w:jc w:val="left"/>
              <w:rPr>
                <w:rFonts w:hint="default"/>
              </w:rPr>
            </w:pPr>
            <w:r>
              <w:rPr>
                <w:rFonts w:hint="default"/>
                <w:lang w:val="en-US" w:eastAsia="zh-CN"/>
              </w:rPr>
              <w:t>Q15 器材维护</w:t>
            </w:r>
          </w:p>
        </w:tc>
        <w:tc>
          <w:tcPr>
            <w:tcW w:w="2150" w:type="dxa"/>
            <w:tcBorders>
              <w:right w:val="nil"/>
            </w:tcBorders>
            <w:shd w:val="clear" w:color="auto" w:fill="auto"/>
            <w:tcMar>
              <w:top w:w="60" w:type="dxa"/>
              <w:left w:w="120" w:type="dxa"/>
              <w:bottom w:w="60" w:type="dxa"/>
              <w:right w:w="120" w:type="dxa"/>
            </w:tcMar>
            <w:vAlign w:val="center"/>
          </w:tcPr>
          <w:p w14:paraId="574C99F5">
            <w:pPr>
              <w:snapToGrid w:val="0"/>
              <w:spacing w:line="360" w:lineRule="auto"/>
              <w:ind w:left="0" w:leftChars="0" w:right="0" w:rightChars="0" w:firstLine="0" w:firstLineChars="0"/>
              <w:jc w:val="left"/>
              <w:rPr>
                <w:rFonts w:hint="default"/>
              </w:rPr>
            </w:pPr>
            <w:r>
              <w:rPr>
                <w:rFonts w:hint="default"/>
                <w:lang w:val="en-US" w:eastAsia="zh-CN"/>
              </w:rPr>
              <w:t>0.0790</w:t>
            </w:r>
          </w:p>
        </w:tc>
        <w:tc>
          <w:tcPr>
            <w:tcW w:w="1229" w:type="dxa"/>
            <w:tcBorders>
              <w:right w:val="nil"/>
            </w:tcBorders>
            <w:shd w:val="clear" w:color="auto" w:fill="auto"/>
            <w:tcMar>
              <w:top w:w="60" w:type="dxa"/>
              <w:left w:w="120" w:type="dxa"/>
              <w:bottom w:w="60" w:type="dxa"/>
              <w:right w:w="120" w:type="dxa"/>
            </w:tcMar>
            <w:vAlign w:val="center"/>
          </w:tcPr>
          <w:p w14:paraId="6EE6981D">
            <w:pPr>
              <w:snapToGrid w:val="0"/>
              <w:spacing w:line="360" w:lineRule="auto"/>
              <w:ind w:left="0" w:leftChars="0" w:right="0" w:rightChars="0" w:firstLine="0" w:firstLineChars="0"/>
              <w:jc w:val="right"/>
              <w:rPr>
                <w:rFonts w:hint="default"/>
              </w:rPr>
            </w:pPr>
            <w:r>
              <w:rPr>
                <w:rFonts w:hint="default"/>
                <w:lang w:val="en-US" w:eastAsia="zh-CN"/>
              </w:rPr>
              <w:t>4.59</w:t>
            </w:r>
          </w:p>
        </w:tc>
      </w:tr>
      <w:tr w14:paraId="63DD8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599" w:type="dxa"/>
            <w:tcBorders>
              <w:left w:val="nil"/>
              <w:right w:val="nil"/>
            </w:tcBorders>
            <w:shd w:val="clear" w:color="auto" w:fill="auto"/>
            <w:tcMar>
              <w:top w:w="60" w:type="dxa"/>
              <w:left w:w="120" w:type="dxa"/>
              <w:bottom w:w="60" w:type="dxa"/>
              <w:right w:w="120" w:type="dxa"/>
            </w:tcMar>
            <w:vAlign w:val="center"/>
          </w:tcPr>
          <w:p w14:paraId="420A58A7">
            <w:pPr>
              <w:snapToGrid w:val="0"/>
              <w:spacing w:line="360" w:lineRule="auto"/>
              <w:ind w:left="0" w:leftChars="0" w:right="0" w:rightChars="0" w:firstLine="0" w:firstLineChars="0"/>
              <w:jc w:val="center"/>
              <w:rPr>
                <w:rFonts w:hint="default"/>
              </w:rPr>
            </w:pPr>
          </w:p>
        </w:tc>
        <w:tc>
          <w:tcPr>
            <w:tcW w:w="1227" w:type="dxa"/>
            <w:tcBorders>
              <w:right w:val="nil"/>
            </w:tcBorders>
            <w:shd w:val="clear" w:color="auto" w:fill="auto"/>
            <w:tcMar>
              <w:top w:w="60" w:type="dxa"/>
              <w:left w:w="120" w:type="dxa"/>
              <w:bottom w:w="60" w:type="dxa"/>
              <w:right w:w="120" w:type="dxa"/>
            </w:tcMar>
            <w:vAlign w:val="center"/>
          </w:tcPr>
          <w:p w14:paraId="5ADD6F06">
            <w:pPr>
              <w:snapToGrid w:val="0"/>
              <w:spacing w:line="360" w:lineRule="auto"/>
              <w:ind w:left="0" w:leftChars="0" w:right="0" w:rightChars="0" w:firstLine="0" w:firstLineChars="0"/>
              <w:jc w:val="center"/>
              <w:rPr>
                <w:rFonts w:hint="default"/>
              </w:rPr>
            </w:pPr>
            <w:r>
              <w:rPr>
                <w:rFonts w:hint="default"/>
                <w:lang w:val="en-US" w:eastAsia="zh-CN"/>
              </w:rPr>
              <w:t>C3</w:t>
            </w:r>
          </w:p>
        </w:tc>
        <w:tc>
          <w:tcPr>
            <w:tcW w:w="2137" w:type="dxa"/>
            <w:tcBorders>
              <w:right w:val="nil"/>
            </w:tcBorders>
            <w:shd w:val="clear" w:color="auto" w:fill="auto"/>
            <w:tcMar>
              <w:top w:w="60" w:type="dxa"/>
              <w:left w:w="120" w:type="dxa"/>
              <w:bottom w:w="60" w:type="dxa"/>
              <w:right w:w="120" w:type="dxa"/>
            </w:tcMar>
            <w:vAlign w:val="center"/>
          </w:tcPr>
          <w:p w14:paraId="39CBDB62">
            <w:pPr>
              <w:snapToGrid w:val="0"/>
              <w:spacing w:line="360" w:lineRule="auto"/>
              <w:ind w:left="0" w:leftChars="0" w:right="0" w:rightChars="0" w:firstLine="0" w:firstLineChars="0"/>
              <w:jc w:val="left"/>
              <w:rPr>
                <w:rFonts w:hint="default"/>
              </w:rPr>
            </w:pPr>
            <w:r>
              <w:rPr>
                <w:rFonts w:hint="default"/>
                <w:lang w:val="en-US" w:eastAsia="zh-CN"/>
              </w:rPr>
              <w:t>Q16 场馆环境</w:t>
            </w:r>
          </w:p>
        </w:tc>
        <w:tc>
          <w:tcPr>
            <w:tcW w:w="2150" w:type="dxa"/>
            <w:tcBorders>
              <w:right w:val="nil"/>
            </w:tcBorders>
            <w:shd w:val="clear" w:color="auto" w:fill="auto"/>
            <w:tcMar>
              <w:top w:w="60" w:type="dxa"/>
              <w:left w:w="120" w:type="dxa"/>
              <w:bottom w:w="60" w:type="dxa"/>
              <w:right w:w="120" w:type="dxa"/>
            </w:tcMar>
            <w:vAlign w:val="center"/>
          </w:tcPr>
          <w:p w14:paraId="6A687FD1">
            <w:pPr>
              <w:snapToGrid w:val="0"/>
              <w:spacing w:line="360" w:lineRule="auto"/>
              <w:ind w:left="0" w:leftChars="0" w:right="0" w:rightChars="0" w:firstLine="0" w:firstLineChars="0"/>
              <w:jc w:val="left"/>
              <w:rPr>
                <w:rFonts w:hint="default"/>
              </w:rPr>
            </w:pPr>
            <w:r>
              <w:rPr>
                <w:rFonts w:hint="default"/>
                <w:lang w:val="en-US" w:eastAsia="zh-CN"/>
              </w:rPr>
              <w:t>0.0788</w:t>
            </w:r>
          </w:p>
        </w:tc>
        <w:tc>
          <w:tcPr>
            <w:tcW w:w="1229" w:type="dxa"/>
            <w:tcBorders>
              <w:right w:val="nil"/>
            </w:tcBorders>
            <w:shd w:val="clear" w:color="auto" w:fill="auto"/>
            <w:tcMar>
              <w:top w:w="60" w:type="dxa"/>
              <w:left w:w="120" w:type="dxa"/>
              <w:bottom w:w="60" w:type="dxa"/>
              <w:right w:w="120" w:type="dxa"/>
            </w:tcMar>
            <w:vAlign w:val="center"/>
          </w:tcPr>
          <w:p w14:paraId="12346804">
            <w:pPr>
              <w:snapToGrid w:val="0"/>
              <w:spacing w:line="360" w:lineRule="auto"/>
              <w:ind w:left="0" w:leftChars="0" w:right="0" w:rightChars="0" w:firstLine="0" w:firstLineChars="0"/>
              <w:jc w:val="right"/>
              <w:rPr>
                <w:rFonts w:hint="default"/>
              </w:rPr>
            </w:pPr>
            <w:r>
              <w:rPr>
                <w:rFonts w:hint="default"/>
                <w:lang w:val="en-US" w:eastAsia="zh-CN"/>
              </w:rPr>
              <w:t>4.53</w:t>
            </w:r>
          </w:p>
        </w:tc>
      </w:tr>
      <w:tr w14:paraId="217BC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599" w:type="dxa"/>
            <w:tcBorders>
              <w:left w:val="nil"/>
              <w:bottom w:val="nil"/>
              <w:right w:val="nil"/>
            </w:tcBorders>
            <w:shd w:val="clear" w:color="auto" w:fill="auto"/>
            <w:tcMar>
              <w:top w:w="60" w:type="dxa"/>
              <w:left w:w="120" w:type="dxa"/>
              <w:bottom w:w="60" w:type="dxa"/>
              <w:right w:w="120" w:type="dxa"/>
            </w:tcMar>
            <w:vAlign w:val="center"/>
          </w:tcPr>
          <w:p w14:paraId="75E9322B">
            <w:pPr>
              <w:snapToGrid w:val="0"/>
              <w:spacing w:line="360" w:lineRule="auto"/>
              <w:ind w:left="0" w:leftChars="0" w:right="0" w:rightChars="0" w:firstLine="0" w:firstLineChars="0"/>
              <w:jc w:val="center"/>
              <w:rPr>
                <w:rFonts w:hint="default"/>
              </w:rPr>
            </w:pPr>
          </w:p>
        </w:tc>
        <w:tc>
          <w:tcPr>
            <w:tcW w:w="1227" w:type="dxa"/>
            <w:tcBorders>
              <w:right w:val="nil"/>
            </w:tcBorders>
            <w:shd w:val="clear" w:color="auto" w:fill="auto"/>
            <w:tcMar>
              <w:top w:w="60" w:type="dxa"/>
              <w:left w:w="120" w:type="dxa"/>
              <w:bottom w:w="60" w:type="dxa"/>
              <w:right w:w="120" w:type="dxa"/>
            </w:tcMar>
            <w:vAlign w:val="center"/>
          </w:tcPr>
          <w:p w14:paraId="372E674D">
            <w:pPr>
              <w:snapToGrid w:val="0"/>
              <w:spacing w:line="360" w:lineRule="auto"/>
              <w:ind w:left="0" w:leftChars="0" w:right="0" w:rightChars="0" w:firstLine="0" w:firstLineChars="0"/>
              <w:jc w:val="center"/>
              <w:rPr>
                <w:rFonts w:hint="default"/>
              </w:rPr>
            </w:pPr>
            <w:r>
              <w:rPr>
                <w:rFonts w:hint="default"/>
                <w:lang w:val="en-US" w:eastAsia="zh-CN"/>
              </w:rPr>
              <w:t>C4</w:t>
            </w:r>
          </w:p>
        </w:tc>
        <w:tc>
          <w:tcPr>
            <w:tcW w:w="2137" w:type="dxa"/>
            <w:tcBorders>
              <w:right w:val="nil"/>
            </w:tcBorders>
            <w:shd w:val="clear" w:color="auto" w:fill="auto"/>
            <w:tcMar>
              <w:top w:w="60" w:type="dxa"/>
              <w:left w:w="120" w:type="dxa"/>
              <w:bottom w:w="60" w:type="dxa"/>
              <w:right w:w="120" w:type="dxa"/>
            </w:tcMar>
            <w:vAlign w:val="center"/>
          </w:tcPr>
          <w:p w14:paraId="130ABED8">
            <w:pPr>
              <w:snapToGrid w:val="0"/>
              <w:spacing w:line="360" w:lineRule="auto"/>
              <w:ind w:left="0" w:leftChars="0" w:right="0" w:rightChars="0" w:firstLine="0" w:firstLineChars="0"/>
              <w:jc w:val="left"/>
              <w:rPr>
                <w:rFonts w:hint="default"/>
              </w:rPr>
            </w:pPr>
            <w:r>
              <w:rPr>
                <w:rFonts w:hint="default"/>
                <w:lang w:val="en-US" w:eastAsia="zh-CN"/>
              </w:rPr>
              <w:t>Q19 配套设施</w:t>
            </w:r>
          </w:p>
        </w:tc>
        <w:tc>
          <w:tcPr>
            <w:tcW w:w="2150" w:type="dxa"/>
            <w:tcBorders>
              <w:right w:val="nil"/>
            </w:tcBorders>
            <w:shd w:val="clear" w:color="auto" w:fill="auto"/>
            <w:tcMar>
              <w:top w:w="60" w:type="dxa"/>
              <w:left w:w="120" w:type="dxa"/>
              <w:bottom w:w="60" w:type="dxa"/>
              <w:right w:w="120" w:type="dxa"/>
            </w:tcMar>
            <w:vAlign w:val="center"/>
          </w:tcPr>
          <w:p w14:paraId="409EA8A8">
            <w:pPr>
              <w:snapToGrid w:val="0"/>
              <w:spacing w:line="360" w:lineRule="auto"/>
              <w:ind w:left="0" w:leftChars="0" w:right="0" w:rightChars="0" w:firstLine="0" w:firstLineChars="0"/>
              <w:jc w:val="left"/>
              <w:rPr>
                <w:rFonts w:hint="default"/>
              </w:rPr>
            </w:pPr>
            <w:r>
              <w:rPr>
                <w:rFonts w:hint="default"/>
                <w:lang w:val="en-US" w:eastAsia="zh-CN"/>
              </w:rPr>
              <w:t>0.0839</w:t>
            </w:r>
          </w:p>
        </w:tc>
        <w:tc>
          <w:tcPr>
            <w:tcW w:w="1229" w:type="dxa"/>
            <w:tcBorders>
              <w:right w:val="nil"/>
            </w:tcBorders>
            <w:shd w:val="clear" w:color="auto" w:fill="auto"/>
            <w:tcMar>
              <w:top w:w="60" w:type="dxa"/>
              <w:left w:w="120" w:type="dxa"/>
              <w:bottom w:w="60" w:type="dxa"/>
              <w:right w:w="120" w:type="dxa"/>
            </w:tcMar>
            <w:vAlign w:val="center"/>
          </w:tcPr>
          <w:p w14:paraId="4BAD482E">
            <w:pPr>
              <w:snapToGrid w:val="0"/>
              <w:spacing w:line="360" w:lineRule="auto"/>
              <w:ind w:left="0" w:leftChars="0" w:right="0" w:rightChars="0" w:firstLine="0" w:firstLineChars="0"/>
              <w:jc w:val="right"/>
              <w:rPr>
                <w:rFonts w:hint="default"/>
              </w:rPr>
            </w:pPr>
            <w:r>
              <w:rPr>
                <w:rFonts w:hint="default"/>
                <w:lang w:val="en-US" w:eastAsia="zh-CN"/>
              </w:rPr>
              <w:t>4.56</w:t>
            </w:r>
          </w:p>
        </w:tc>
      </w:tr>
      <w:tr w14:paraId="6DBD7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599" w:type="dxa"/>
            <w:tcBorders>
              <w:right w:val="nil"/>
            </w:tcBorders>
            <w:shd w:val="clear" w:color="auto" w:fill="auto"/>
            <w:tcMar>
              <w:top w:w="60" w:type="dxa"/>
              <w:left w:w="120" w:type="dxa"/>
              <w:bottom w:w="60" w:type="dxa"/>
              <w:right w:w="120" w:type="dxa"/>
            </w:tcMar>
            <w:vAlign w:val="center"/>
          </w:tcPr>
          <w:p w14:paraId="0469F0AB">
            <w:pPr>
              <w:snapToGrid w:val="0"/>
              <w:spacing w:line="360" w:lineRule="auto"/>
              <w:ind w:left="0" w:leftChars="0" w:right="0" w:rightChars="0" w:firstLine="0" w:firstLineChars="0"/>
              <w:jc w:val="center"/>
              <w:rPr>
                <w:rFonts w:hint="default"/>
              </w:rPr>
            </w:pPr>
            <w:r>
              <w:rPr>
                <w:rFonts w:hint="default"/>
                <w:lang w:val="en-US" w:eastAsia="zh-CN"/>
              </w:rPr>
              <w:t>B2 软性服务</w:t>
            </w:r>
          </w:p>
        </w:tc>
        <w:tc>
          <w:tcPr>
            <w:tcW w:w="1227" w:type="dxa"/>
            <w:tcBorders>
              <w:right w:val="nil"/>
            </w:tcBorders>
            <w:shd w:val="clear" w:color="auto" w:fill="auto"/>
            <w:tcMar>
              <w:top w:w="60" w:type="dxa"/>
              <w:left w:w="120" w:type="dxa"/>
              <w:bottom w:w="60" w:type="dxa"/>
              <w:right w:w="120" w:type="dxa"/>
            </w:tcMar>
            <w:vAlign w:val="center"/>
          </w:tcPr>
          <w:p w14:paraId="7F1DF45E">
            <w:pPr>
              <w:snapToGrid w:val="0"/>
              <w:spacing w:line="360" w:lineRule="auto"/>
              <w:ind w:left="0" w:leftChars="0" w:right="0" w:rightChars="0" w:firstLine="0" w:firstLineChars="0"/>
              <w:jc w:val="center"/>
              <w:rPr>
                <w:rFonts w:hint="default"/>
              </w:rPr>
            </w:pPr>
            <w:r>
              <w:rPr>
                <w:rFonts w:hint="default"/>
                <w:lang w:val="en-US" w:eastAsia="zh-CN"/>
              </w:rPr>
              <w:t>C5</w:t>
            </w:r>
          </w:p>
        </w:tc>
        <w:tc>
          <w:tcPr>
            <w:tcW w:w="2137" w:type="dxa"/>
            <w:tcBorders>
              <w:right w:val="nil"/>
            </w:tcBorders>
            <w:shd w:val="clear" w:color="auto" w:fill="auto"/>
            <w:tcMar>
              <w:top w:w="60" w:type="dxa"/>
              <w:left w:w="120" w:type="dxa"/>
              <w:bottom w:w="60" w:type="dxa"/>
              <w:right w:w="120" w:type="dxa"/>
            </w:tcMar>
            <w:vAlign w:val="center"/>
          </w:tcPr>
          <w:p w14:paraId="529E5E33">
            <w:pPr>
              <w:snapToGrid w:val="0"/>
              <w:spacing w:line="360" w:lineRule="auto"/>
              <w:ind w:left="0" w:leftChars="0" w:right="0" w:rightChars="0" w:firstLine="0" w:firstLineChars="0"/>
              <w:jc w:val="left"/>
              <w:rPr>
                <w:rFonts w:hint="default"/>
              </w:rPr>
            </w:pPr>
            <w:r>
              <w:rPr>
                <w:rFonts w:hint="default"/>
                <w:lang w:val="en-US" w:eastAsia="zh-CN"/>
              </w:rPr>
              <w:t>Q17 营业时间</w:t>
            </w:r>
          </w:p>
        </w:tc>
        <w:tc>
          <w:tcPr>
            <w:tcW w:w="2150" w:type="dxa"/>
            <w:tcBorders>
              <w:right w:val="nil"/>
            </w:tcBorders>
            <w:shd w:val="clear" w:color="auto" w:fill="auto"/>
            <w:tcMar>
              <w:top w:w="60" w:type="dxa"/>
              <w:left w:w="120" w:type="dxa"/>
              <w:bottom w:w="60" w:type="dxa"/>
              <w:right w:w="120" w:type="dxa"/>
            </w:tcMar>
            <w:vAlign w:val="center"/>
          </w:tcPr>
          <w:p w14:paraId="53833380">
            <w:pPr>
              <w:snapToGrid w:val="0"/>
              <w:spacing w:line="360" w:lineRule="auto"/>
              <w:ind w:left="0" w:leftChars="0" w:right="0" w:rightChars="0" w:firstLine="0" w:firstLineChars="0"/>
              <w:jc w:val="left"/>
              <w:rPr>
                <w:rFonts w:hint="default"/>
              </w:rPr>
            </w:pPr>
            <w:r>
              <w:rPr>
                <w:rFonts w:hint="default"/>
                <w:lang w:val="en-US" w:eastAsia="zh-CN"/>
              </w:rPr>
              <w:t>0.1025</w:t>
            </w:r>
          </w:p>
        </w:tc>
        <w:tc>
          <w:tcPr>
            <w:tcW w:w="1229" w:type="dxa"/>
            <w:tcBorders>
              <w:right w:val="nil"/>
            </w:tcBorders>
            <w:shd w:val="clear" w:color="auto" w:fill="auto"/>
            <w:tcMar>
              <w:top w:w="60" w:type="dxa"/>
              <w:left w:w="120" w:type="dxa"/>
              <w:bottom w:w="60" w:type="dxa"/>
              <w:right w:w="120" w:type="dxa"/>
            </w:tcMar>
            <w:vAlign w:val="center"/>
          </w:tcPr>
          <w:p w14:paraId="1CCA9DAB">
            <w:pPr>
              <w:snapToGrid w:val="0"/>
              <w:spacing w:line="360" w:lineRule="auto"/>
              <w:ind w:left="0" w:leftChars="0" w:right="0" w:rightChars="0" w:firstLine="0" w:firstLineChars="0"/>
              <w:jc w:val="right"/>
              <w:rPr>
                <w:rFonts w:hint="default"/>
              </w:rPr>
            </w:pPr>
            <w:r>
              <w:rPr>
                <w:rFonts w:hint="default"/>
                <w:lang w:val="en-US" w:eastAsia="zh-CN"/>
              </w:rPr>
              <w:t>4.33</w:t>
            </w:r>
          </w:p>
        </w:tc>
      </w:tr>
      <w:tr w14:paraId="6246F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599" w:type="dxa"/>
            <w:tcBorders>
              <w:right w:val="nil"/>
            </w:tcBorders>
            <w:shd w:val="clear" w:color="auto" w:fill="auto"/>
            <w:tcMar>
              <w:top w:w="60" w:type="dxa"/>
              <w:left w:w="120" w:type="dxa"/>
              <w:bottom w:w="60" w:type="dxa"/>
              <w:right w:w="120" w:type="dxa"/>
            </w:tcMar>
            <w:vAlign w:val="center"/>
          </w:tcPr>
          <w:p w14:paraId="68E1172C">
            <w:pPr>
              <w:snapToGrid w:val="0"/>
              <w:spacing w:line="360" w:lineRule="auto"/>
              <w:ind w:left="0" w:leftChars="0" w:right="0" w:rightChars="0" w:firstLine="0" w:firstLineChars="0"/>
              <w:jc w:val="center"/>
              <w:rPr>
                <w:rFonts w:hint="default"/>
              </w:rPr>
            </w:pPr>
          </w:p>
        </w:tc>
        <w:tc>
          <w:tcPr>
            <w:tcW w:w="1227" w:type="dxa"/>
            <w:tcBorders>
              <w:right w:val="nil"/>
            </w:tcBorders>
            <w:shd w:val="clear" w:color="auto" w:fill="auto"/>
            <w:tcMar>
              <w:top w:w="60" w:type="dxa"/>
              <w:left w:w="120" w:type="dxa"/>
              <w:bottom w:w="60" w:type="dxa"/>
              <w:right w:w="120" w:type="dxa"/>
            </w:tcMar>
            <w:vAlign w:val="center"/>
          </w:tcPr>
          <w:p w14:paraId="3B05F043">
            <w:pPr>
              <w:snapToGrid w:val="0"/>
              <w:spacing w:line="360" w:lineRule="auto"/>
              <w:ind w:left="0" w:leftChars="0" w:right="0" w:rightChars="0" w:firstLine="0" w:firstLineChars="0"/>
              <w:jc w:val="center"/>
              <w:rPr>
                <w:rFonts w:hint="default"/>
              </w:rPr>
            </w:pPr>
            <w:r>
              <w:rPr>
                <w:rFonts w:hint="default"/>
                <w:lang w:val="en-US" w:eastAsia="zh-CN"/>
              </w:rPr>
              <w:t>C6</w:t>
            </w:r>
          </w:p>
        </w:tc>
        <w:tc>
          <w:tcPr>
            <w:tcW w:w="2137" w:type="dxa"/>
            <w:tcBorders>
              <w:right w:val="nil"/>
            </w:tcBorders>
            <w:shd w:val="clear" w:color="auto" w:fill="auto"/>
            <w:tcMar>
              <w:top w:w="60" w:type="dxa"/>
              <w:left w:w="120" w:type="dxa"/>
              <w:bottom w:w="60" w:type="dxa"/>
              <w:right w:w="120" w:type="dxa"/>
            </w:tcMar>
            <w:vAlign w:val="center"/>
          </w:tcPr>
          <w:p w14:paraId="2768D75F">
            <w:pPr>
              <w:snapToGrid w:val="0"/>
              <w:spacing w:line="360" w:lineRule="auto"/>
              <w:ind w:left="0" w:leftChars="0" w:right="0" w:rightChars="0" w:firstLine="0" w:firstLineChars="0"/>
              <w:jc w:val="left"/>
              <w:rPr>
                <w:rFonts w:hint="default"/>
              </w:rPr>
            </w:pPr>
            <w:r>
              <w:rPr>
                <w:rFonts w:hint="default"/>
                <w:lang w:val="en-US" w:eastAsia="zh-CN"/>
              </w:rPr>
              <w:t>Q18 价格费用</w:t>
            </w:r>
          </w:p>
        </w:tc>
        <w:tc>
          <w:tcPr>
            <w:tcW w:w="2150" w:type="dxa"/>
            <w:tcBorders>
              <w:right w:val="nil"/>
            </w:tcBorders>
            <w:shd w:val="clear" w:color="auto" w:fill="auto"/>
            <w:tcMar>
              <w:top w:w="60" w:type="dxa"/>
              <w:left w:w="120" w:type="dxa"/>
              <w:bottom w:w="60" w:type="dxa"/>
              <w:right w:w="120" w:type="dxa"/>
            </w:tcMar>
            <w:vAlign w:val="center"/>
          </w:tcPr>
          <w:p w14:paraId="7C14F3FB">
            <w:pPr>
              <w:snapToGrid w:val="0"/>
              <w:spacing w:line="360" w:lineRule="auto"/>
              <w:ind w:left="0" w:leftChars="0" w:right="0" w:rightChars="0" w:firstLine="0" w:firstLineChars="0"/>
              <w:jc w:val="left"/>
              <w:rPr>
                <w:rFonts w:hint="default"/>
              </w:rPr>
            </w:pPr>
            <w:r>
              <w:rPr>
                <w:rFonts w:hint="default"/>
                <w:lang w:val="en-US" w:eastAsia="zh-CN"/>
              </w:rPr>
              <w:t>0.0537</w:t>
            </w:r>
          </w:p>
        </w:tc>
        <w:tc>
          <w:tcPr>
            <w:tcW w:w="1229" w:type="dxa"/>
            <w:tcBorders>
              <w:right w:val="nil"/>
            </w:tcBorders>
            <w:shd w:val="clear" w:color="auto" w:fill="auto"/>
            <w:tcMar>
              <w:top w:w="60" w:type="dxa"/>
              <w:left w:w="120" w:type="dxa"/>
              <w:bottom w:w="60" w:type="dxa"/>
              <w:right w:w="120" w:type="dxa"/>
            </w:tcMar>
            <w:vAlign w:val="center"/>
          </w:tcPr>
          <w:p w14:paraId="003F0FDA">
            <w:pPr>
              <w:snapToGrid w:val="0"/>
              <w:spacing w:line="360" w:lineRule="auto"/>
              <w:ind w:left="0" w:leftChars="0" w:right="0" w:rightChars="0" w:firstLine="0" w:firstLineChars="0"/>
              <w:jc w:val="right"/>
              <w:rPr>
                <w:rFonts w:hint="default"/>
              </w:rPr>
            </w:pPr>
            <w:r>
              <w:rPr>
                <w:rFonts w:hint="default"/>
                <w:lang w:val="en-US" w:eastAsia="zh-CN"/>
              </w:rPr>
              <w:t>4.39</w:t>
            </w:r>
          </w:p>
        </w:tc>
      </w:tr>
      <w:tr w14:paraId="1841E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599" w:type="dxa"/>
            <w:tcBorders>
              <w:right w:val="nil"/>
            </w:tcBorders>
            <w:shd w:val="clear" w:color="auto" w:fill="auto"/>
            <w:tcMar>
              <w:top w:w="60" w:type="dxa"/>
              <w:left w:w="120" w:type="dxa"/>
              <w:bottom w:w="60" w:type="dxa"/>
              <w:right w:w="120" w:type="dxa"/>
            </w:tcMar>
            <w:vAlign w:val="center"/>
          </w:tcPr>
          <w:p w14:paraId="7CDCE1AB">
            <w:pPr>
              <w:snapToGrid w:val="0"/>
              <w:spacing w:line="360" w:lineRule="auto"/>
              <w:ind w:left="0" w:leftChars="0" w:right="0" w:rightChars="0" w:firstLine="0" w:firstLineChars="0"/>
              <w:jc w:val="center"/>
              <w:rPr>
                <w:rFonts w:hint="default"/>
              </w:rPr>
            </w:pPr>
          </w:p>
        </w:tc>
        <w:tc>
          <w:tcPr>
            <w:tcW w:w="1227" w:type="dxa"/>
            <w:tcBorders>
              <w:right w:val="nil"/>
            </w:tcBorders>
            <w:shd w:val="clear" w:color="auto" w:fill="auto"/>
            <w:tcMar>
              <w:top w:w="60" w:type="dxa"/>
              <w:left w:w="120" w:type="dxa"/>
              <w:bottom w:w="60" w:type="dxa"/>
              <w:right w:w="120" w:type="dxa"/>
            </w:tcMar>
            <w:vAlign w:val="center"/>
          </w:tcPr>
          <w:p w14:paraId="37D3375F">
            <w:pPr>
              <w:snapToGrid w:val="0"/>
              <w:spacing w:line="360" w:lineRule="auto"/>
              <w:ind w:left="0" w:leftChars="0" w:right="0" w:rightChars="0" w:firstLine="0" w:firstLineChars="0"/>
              <w:jc w:val="center"/>
              <w:rPr>
                <w:rFonts w:hint="default"/>
              </w:rPr>
            </w:pPr>
            <w:r>
              <w:rPr>
                <w:rFonts w:hint="default"/>
                <w:lang w:val="en-US" w:eastAsia="zh-CN"/>
              </w:rPr>
              <w:t>C7</w:t>
            </w:r>
          </w:p>
        </w:tc>
        <w:tc>
          <w:tcPr>
            <w:tcW w:w="2137" w:type="dxa"/>
            <w:tcBorders>
              <w:right w:val="nil"/>
            </w:tcBorders>
            <w:shd w:val="clear" w:color="auto" w:fill="auto"/>
            <w:tcMar>
              <w:top w:w="60" w:type="dxa"/>
              <w:left w:w="120" w:type="dxa"/>
              <w:bottom w:w="60" w:type="dxa"/>
              <w:right w:w="120" w:type="dxa"/>
            </w:tcMar>
            <w:vAlign w:val="center"/>
          </w:tcPr>
          <w:p w14:paraId="086EB461">
            <w:pPr>
              <w:snapToGrid w:val="0"/>
              <w:spacing w:line="360" w:lineRule="auto"/>
              <w:ind w:left="0" w:leftChars="0" w:right="0" w:rightChars="0" w:firstLine="0" w:firstLineChars="0"/>
              <w:jc w:val="left"/>
              <w:rPr>
                <w:rFonts w:hint="default"/>
              </w:rPr>
            </w:pPr>
            <w:r>
              <w:rPr>
                <w:rFonts w:hint="default"/>
                <w:lang w:val="en-US" w:eastAsia="zh-CN"/>
              </w:rPr>
              <w:t>Q20 人员服务</w:t>
            </w:r>
          </w:p>
        </w:tc>
        <w:tc>
          <w:tcPr>
            <w:tcW w:w="2150" w:type="dxa"/>
            <w:tcBorders>
              <w:right w:val="nil"/>
            </w:tcBorders>
            <w:shd w:val="clear" w:color="auto" w:fill="auto"/>
            <w:tcMar>
              <w:top w:w="60" w:type="dxa"/>
              <w:left w:w="120" w:type="dxa"/>
              <w:bottom w:w="60" w:type="dxa"/>
              <w:right w:w="120" w:type="dxa"/>
            </w:tcMar>
            <w:vAlign w:val="center"/>
          </w:tcPr>
          <w:p w14:paraId="4E7F6C19">
            <w:pPr>
              <w:snapToGrid w:val="0"/>
              <w:spacing w:line="360" w:lineRule="auto"/>
              <w:ind w:left="0" w:leftChars="0" w:right="0" w:rightChars="0" w:firstLine="0" w:firstLineChars="0"/>
              <w:jc w:val="left"/>
              <w:rPr>
                <w:rFonts w:hint="default"/>
              </w:rPr>
            </w:pPr>
            <w:r>
              <w:rPr>
                <w:rFonts w:hint="default"/>
                <w:lang w:val="en-US" w:eastAsia="zh-CN"/>
              </w:rPr>
              <w:t>0.0932</w:t>
            </w:r>
          </w:p>
        </w:tc>
        <w:tc>
          <w:tcPr>
            <w:tcW w:w="1229" w:type="dxa"/>
            <w:tcBorders>
              <w:right w:val="nil"/>
            </w:tcBorders>
            <w:shd w:val="clear" w:color="auto" w:fill="auto"/>
            <w:tcMar>
              <w:top w:w="60" w:type="dxa"/>
              <w:left w:w="120" w:type="dxa"/>
              <w:bottom w:w="60" w:type="dxa"/>
              <w:right w:w="120" w:type="dxa"/>
            </w:tcMar>
            <w:vAlign w:val="center"/>
          </w:tcPr>
          <w:p w14:paraId="30FE562A">
            <w:pPr>
              <w:snapToGrid w:val="0"/>
              <w:spacing w:line="360" w:lineRule="auto"/>
              <w:ind w:left="0" w:leftChars="0" w:right="0" w:rightChars="0" w:firstLine="0" w:firstLineChars="0"/>
              <w:jc w:val="right"/>
              <w:rPr>
                <w:rFonts w:hint="default"/>
              </w:rPr>
            </w:pPr>
            <w:r>
              <w:rPr>
                <w:rFonts w:hint="default"/>
                <w:lang w:val="en-US" w:eastAsia="zh-CN"/>
              </w:rPr>
              <w:t>4.28</w:t>
            </w:r>
          </w:p>
        </w:tc>
      </w:tr>
      <w:tr w14:paraId="73DDF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599" w:type="dxa"/>
            <w:tcBorders>
              <w:right w:val="nil"/>
            </w:tcBorders>
            <w:shd w:val="clear" w:color="auto" w:fill="auto"/>
            <w:tcMar>
              <w:top w:w="60" w:type="dxa"/>
              <w:left w:w="120" w:type="dxa"/>
              <w:bottom w:w="60" w:type="dxa"/>
              <w:right w:w="120" w:type="dxa"/>
            </w:tcMar>
            <w:vAlign w:val="center"/>
          </w:tcPr>
          <w:p w14:paraId="0EC80D01">
            <w:pPr>
              <w:snapToGrid w:val="0"/>
              <w:spacing w:line="360" w:lineRule="auto"/>
              <w:ind w:left="0" w:leftChars="0" w:right="0" w:rightChars="0" w:firstLine="0" w:firstLineChars="0"/>
              <w:jc w:val="center"/>
              <w:rPr>
                <w:rFonts w:hint="default"/>
              </w:rPr>
            </w:pPr>
          </w:p>
        </w:tc>
        <w:tc>
          <w:tcPr>
            <w:tcW w:w="1227" w:type="dxa"/>
            <w:tcBorders>
              <w:right w:val="nil"/>
            </w:tcBorders>
            <w:shd w:val="clear" w:color="auto" w:fill="auto"/>
            <w:tcMar>
              <w:top w:w="60" w:type="dxa"/>
              <w:left w:w="120" w:type="dxa"/>
              <w:bottom w:w="60" w:type="dxa"/>
              <w:right w:w="120" w:type="dxa"/>
            </w:tcMar>
            <w:vAlign w:val="center"/>
          </w:tcPr>
          <w:p w14:paraId="44483E61">
            <w:pPr>
              <w:snapToGrid w:val="0"/>
              <w:spacing w:line="360" w:lineRule="auto"/>
              <w:ind w:left="0" w:leftChars="0" w:right="0" w:rightChars="0" w:firstLine="0" w:firstLineChars="0"/>
              <w:jc w:val="center"/>
              <w:rPr>
                <w:rFonts w:hint="default"/>
              </w:rPr>
            </w:pPr>
            <w:r>
              <w:rPr>
                <w:rFonts w:hint="default"/>
                <w:lang w:val="en-US" w:eastAsia="zh-CN"/>
              </w:rPr>
              <w:t>C8</w:t>
            </w:r>
          </w:p>
        </w:tc>
        <w:tc>
          <w:tcPr>
            <w:tcW w:w="2137" w:type="dxa"/>
            <w:tcBorders>
              <w:right w:val="nil"/>
            </w:tcBorders>
            <w:shd w:val="clear" w:color="auto" w:fill="auto"/>
            <w:tcMar>
              <w:top w:w="60" w:type="dxa"/>
              <w:left w:w="120" w:type="dxa"/>
              <w:bottom w:w="60" w:type="dxa"/>
              <w:right w:w="120" w:type="dxa"/>
            </w:tcMar>
            <w:vAlign w:val="center"/>
          </w:tcPr>
          <w:p w14:paraId="400CC0AD">
            <w:pPr>
              <w:snapToGrid w:val="0"/>
              <w:spacing w:line="360" w:lineRule="auto"/>
              <w:ind w:left="0" w:leftChars="0" w:right="0" w:rightChars="0" w:firstLine="0" w:firstLineChars="0"/>
              <w:jc w:val="left"/>
              <w:rPr>
                <w:rFonts w:hint="default"/>
              </w:rPr>
            </w:pPr>
            <w:r>
              <w:rPr>
                <w:rFonts w:hint="default"/>
                <w:lang w:val="en-US" w:eastAsia="zh-CN"/>
              </w:rPr>
              <w:t>Q21 信息发布</w:t>
            </w:r>
          </w:p>
        </w:tc>
        <w:tc>
          <w:tcPr>
            <w:tcW w:w="2150" w:type="dxa"/>
            <w:tcBorders>
              <w:right w:val="nil"/>
            </w:tcBorders>
            <w:shd w:val="clear" w:color="auto" w:fill="auto"/>
            <w:tcMar>
              <w:top w:w="60" w:type="dxa"/>
              <w:left w:w="120" w:type="dxa"/>
              <w:bottom w:w="60" w:type="dxa"/>
              <w:right w:w="120" w:type="dxa"/>
            </w:tcMar>
            <w:vAlign w:val="center"/>
          </w:tcPr>
          <w:p w14:paraId="46252E40">
            <w:pPr>
              <w:snapToGrid w:val="0"/>
              <w:spacing w:line="360" w:lineRule="auto"/>
              <w:ind w:left="0" w:leftChars="0" w:right="0" w:rightChars="0" w:firstLine="0" w:firstLineChars="0"/>
              <w:jc w:val="left"/>
              <w:rPr>
                <w:rFonts w:hint="default"/>
              </w:rPr>
            </w:pPr>
            <w:r>
              <w:rPr>
                <w:rFonts w:hint="default"/>
                <w:lang w:val="en-US" w:eastAsia="zh-CN"/>
              </w:rPr>
              <w:t>0.1008</w:t>
            </w:r>
          </w:p>
        </w:tc>
        <w:tc>
          <w:tcPr>
            <w:tcW w:w="1229" w:type="dxa"/>
            <w:tcBorders>
              <w:right w:val="nil"/>
            </w:tcBorders>
            <w:shd w:val="clear" w:color="auto" w:fill="auto"/>
            <w:tcMar>
              <w:top w:w="60" w:type="dxa"/>
              <w:left w:w="120" w:type="dxa"/>
              <w:bottom w:w="60" w:type="dxa"/>
              <w:right w:w="120" w:type="dxa"/>
            </w:tcMar>
            <w:vAlign w:val="center"/>
          </w:tcPr>
          <w:p w14:paraId="2EB66ECA">
            <w:pPr>
              <w:snapToGrid w:val="0"/>
              <w:spacing w:line="360" w:lineRule="auto"/>
              <w:ind w:left="0" w:leftChars="0" w:right="0" w:rightChars="0" w:firstLine="0" w:firstLineChars="0"/>
              <w:jc w:val="right"/>
              <w:rPr>
                <w:rFonts w:hint="default"/>
              </w:rPr>
            </w:pPr>
            <w:r>
              <w:rPr>
                <w:rFonts w:hint="default"/>
                <w:lang w:val="en-US" w:eastAsia="zh-CN"/>
              </w:rPr>
              <w:t>4.28</w:t>
            </w:r>
          </w:p>
        </w:tc>
      </w:tr>
      <w:tr w14:paraId="071ED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599" w:type="dxa"/>
            <w:tcBorders>
              <w:right w:val="nil"/>
            </w:tcBorders>
            <w:shd w:val="clear" w:color="auto" w:fill="auto"/>
            <w:tcMar>
              <w:top w:w="60" w:type="dxa"/>
              <w:left w:w="120" w:type="dxa"/>
              <w:bottom w:w="60" w:type="dxa"/>
              <w:right w:w="120" w:type="dxa"/>
            </w:tcMar>
            <w:vAlign w:val="center"/>
          </w:tcPr>
          <w:p w14:paraId="5F59D412">
            <w:pPr>
              <w:snapToGrid w:val="0"/>
              <w:spacing w:line="360" w:lineRule="auto"/>
              <w:ind w:left="0" w:leftChars="0" w:right="0" w:rightChars="0" w:firstLine="0" w:firstLineChars="0"/>
              <w:jc w:val="center"/>
              <w:rPr>
                <w:rFonts w:hint="default"/>
              </w:rPr>
            </w:pPr>
            <w:r>
              <w:rPr>
                <w:rFonts w:hint="default"/>
                <w:lang w:val="en-US" w:eastAsia="zh-CN"/>
              </w:rPr>
              <w:t>B3 数智体验</w:t>
            </w:r>
          </w:p>
        </w:tc>
        <w:tc>
          <w:tcPr>
            <w:tcW w:w="1227" w:type="dxa"/>
            <w:tcBorders>
              <w:right w:val="nil"/>
            </w:tcBorders>
            <w:shd w:val="clear" w:color="auto" w:fill="auto"/>
            <w:tcMar>
              <w:top w:w="60" w:type="dxa"/>
              <w:left w:w="120" w:type="dxa"/>
              <w:bottom w:w="60" w:type="dxa"/>
              <w:right w:w="120" w:type="dxa"/>
            </w:tcMar>
            <w:vAlign w:val="center"/>
          </w:tcPr>
          <w:p w14:paraId="458EC179">
            <w:pPr>
              <w:snapToGrid w:val="0"/>
              <w:spacing w:line="360" w:lineRule="auto"/>
              <w:ind w:left="0" w:leftChars="0" w:right="0" w:rightChars="0" w:firstLine="0" w:firstLineChars="0"/>
              <w:jc w:val="center"/>
              <w:rPr>
                <w:rFonts w:hint="default"/>
              </w:rPr>
            </w:pPr>
            <w:r>
              <w:rPr>
                <w:rFonts w:hint="default"/>
                <w:lang w:val="en-US" w:eastAsia="zh-CN"/>
              </w:rPr>
              <w:t>C9</w:t>
            </w:r>
          </w:p>
        </w:tc>
        <w:tc>
          <w:tcPr>
            <w:tcW w:w="2137" w:type="dxa"/>
            <w:tcBorders>
              <w:right w:val="nil"/>
            </w:tcBorders>
            <w:shd w:val="clear" w:color="auto" w:fill="auto"/>
            <w:tcMar>
              <w:top w:w="60" w:type="dxa"/>
              <w:left w:w="120" w:type="dxa"/>
              <w:bottom w:w="60" w:type="dxa"/>
              <w:right w:w="120" w:type="dxa"/>
            </w:tcMar>
            <w:vAlign w:val="center"/>
          </w:tcPr>
          <w:p w14:paraId="05DFFB22">
            <w:pPr>
              <w:snapToGrid w:val="0"/>
              <w:spacing w:line="360" w:lineRule="auto"/>
              <w:ind w:left="0" w:leftChars="0" w:right="0" w:rightChars="0" w:firstLine="0" w:firstLineChars="0"/>
              <w:jc w:val="left"/>
              <w:rPr>
                <w:rFonts w:hint="default"/>
              </w:rPr>
            </w:pPr>
            <w:r>
              <w:rPr>
                <w:rFonts w:hint="default"/>
                <w:lang w:val="en-US" w:eastAsia="zh-CN"/>
              </w:rPr>
              <w:t>Q16_Smart_Device</w:t>
            </w:r>
          </w:p>
        </w:tc>
        <w:tc>
          <w:tcPr>
            <w:tcW w:w="2150" w:type="dxa"/>
            <w:tcBorders>
              <w:right w:val="nil"/>
            </w:tcBorders>
            <w:shd w:val="clear" w:color="auto" w:fill="auto"/>
            <w:tcMar>
              <w:top w:w="60" w:type="dxa"/>
              <w:left w:w="120" w:type="dxa"/>
              <w:bottom w:w="60" w:type="dxa"/>
              <w:right w:w="120" w:type="dxa"/>
            </w:tcMar>
            <w:vAlign w:val="center"/>
          </w:tcPr>
          <w:p w14:paraId="0884F2FD">
            <w:pPr>
              <w:snapToGrid w:val="0"/>
              <w:spacing w:line="360" w:lineRule="auto"/>
              <w:ind w:left="0" w:leftChars="0" w:right="0" w:rightChars="0" w:firstLine="0" w:firstLineChars="0"/>
              <w:jc w:val="left"/>
              <w:rPr>
                <w:rFonts w:hint="default"/>
              </w:rPr>
            </w:pPr>
            <w:r>
              <w:rPr>
                <w:rFonts w:hint="default"/>
                <w:lang w:val="en-US" w:eastAsia="zh-CN"/>
              </w:rPr>
              <w:t>0.0981</w:t>
            </w:r>
          </w:p>
        </w:tc>
        <w:tc>
          <w:tcPr>
            <w:tcW w:w="1229" w:type="dxa"/>
            <w:tcBorders>
              <w:right w:val="nil"/>
            </w:tcBorders>
            <w:shd w:val="clear" w:color="auto" w:fill="auto"/>
            <w:tcMar>
              <w:top w:w="60" w:type="dxa"/>
              <w:left w:w="120" w:type="dxa"/>
              <w:bottom w:w="60" w:type="dxa"/>
              <w:right w:w="120" w:type="dxa"/>
            </w:tcMar>
            <w:vAlign w:val="center"/>
          </w:tcPr>
          <w:p w14:paraId="5A0279E3">
            <w:pPr>
              <w:snapToGrid w:val="0"/>
              <w:spacing w:line="360" w:lineRule="auto"/>
              <w:ind w:left="0" w:leftChars="0" w:right="0" w:rightChars="0" w:firstLine="0" w:firstLineChars="0"/>
              <w:jc w:val="right"/>
              <w:rPr>
                <w:rFonts w:hint="default"/>
              </w:rPr>
            </w:pPr>
            <w:r>
              <w:rPr>
                <w:rFonts w:hint="default"/>
                <w:lang w:val="en-US" w:eastAsia="zh-CN"/>
              </w:rPr>
              <w:t>4.10</w:t>
            </w:r>
          </w:p>
        </w:tc>
      </w:tr>
      <w:tr w14:paraId="5E683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599" w:type="dxa"/>
            <w:tcBorders>
              <w:right w:val="nil"/>
            </w:tcBorders>
            <w:shd w:val="clear" w:color="auto" w:fill="auto"/>
            <w:tcMar>
              <w:top w:w="60" w:type="dxa"/>
              <w:left w:w="120" w:type="dxa"/>
              <w:bottom w:w="60" w:type="dxa"/>
              <w:right w:w="120" w:type="dxa"/>
            </w:tcMar>
            <w:vAlign w:val="center"/>
          </w:tcPr>
          <w:p w14:paraId="372A1E8D">
            <w:pPr>
              <w:snapToGrid w:val="0"/>
              <w:spacing w:line="360" w:lineRule="auto"/>
              <w:ind w:left="0" w:leftChars="0" w:right="0" w:rightChars="0" w:firstLine="0" w:firstLineChars="0"/>
              <w:jc w:val="center"/>
              <w:rPr>
                <w:rFonts w:hint="default"/>
              </w:rPr>
            </w:pPr>
          </w:p>
        </w:tc>
        <w:tc>
          <w:tcPr>
            <w:tcW w:w="1227" w:type="dxa"/>
            <w:tcBorders>
              <w:right w:val="nil"/>
            </w:tcBorders>
            <w:shd w:val="clear" w:color="auto" w:fill="auto"/>
            <w:tcMar>
              <w:top w:w="60" w:type="dxa"/>
              <w:left w:w="120" w:type="dxa"/>
              <w:bottom w:w="60" w:type="dxa"/>
              <w:right w:w="120" w:type="dxa"/>
            </w:tcMar>
            <w:vAlign w:val="center"/>
          </w:tcPr>
          <w:p w14:paraId="168FADD6">
            <w:pPr>
              <w:snapToGrid w:val="0"/>
              <w:spacing w:line="360" w:lineRule="auto"/>
              <w:ind w:left="0" w:leftChars="0" w:right="0" w:rightChars="0" w:firstLine="0" w:firstLineChars="0"/>
              <w:jc w:val="center"/>
              <w:rPr>
                <w:rFonts w:hint="default"/>
              </w:rPr>
            </w:pPr>
            <w:r>
              <w:rPr>
                <w:rFonts w:hint="default"/>
                <w:lang w:val="en-US" w:eastAsia="zh-CN"/>
              </w:rPr>
              <w:t>C10</w:t>
            </w:r>
          </w:p>
        </w:tc>
        <w:tc>
          <w:tcPr>
            <w:tcW w:w="2137" w:type="dxa"/>
            <w:tcBorders>
              <w:right w:val="nil"/>
            </w:tcBorders>
            <w:shd w:val="clear" w:color="auto" w:fill="auto"/>
            <w:tcMar>
              <w:top w:w="60" w:type="dxa"/>
              <w:left w:w="120" w:type="dxa"/>
              <w:bottom w:w="60" w:type="dxa"/>
              <w:right w:w="120" w:type="dxa"/>
            </w:tcMar>
            <w:vAlign w:val="center"/>
          </w:tcPr>
          <w:p w14:paraId="08DFF7CC">
            <w:pPr>
              <w:snapToGrid w:val="0"/>
              <w:spacing w:line="360" w:lineRule="auto"/>
              <w:ind w:left="0" w:leftChars="0" w:right="0" w:rightChars="0" w:firstLine="0" w:firstLineChars="0"/>
              <w:jc w:val="left"/>
              <w:rPr>
                <w:rFonts w:hint="default"/>
              </w:rPr>
            </w:pPr>
            <w:r>
              <w:rPr>
                <w:rFonts w:hint="default"/>
                <w:lang w:val="en-US" w:eastAsia="zh-CN"/>
              </w:rPr>
              <w:t>Q16_Smart_Data</w:t>
            </w:r>
          </w:p>
        </w:tc>
        <w:tc>
          <w:tcPr>
            <w:tcW w:w="2150" w:type="dxa"/>
            <w:tcBorders>
              <w:right w:val="nil"/>
            </w:tcBorders>
            <w:shd w:val="clear" w:color="auto" w:fill="auto"/>
            <w:tcMar>
              <w:top w:w="60" w:type="dxa"/>
              <w:left w:w="120" w:type="dxa"/>
              <w:bottom w:w="60" w:type="dxa"/>
              <w:right w:w="120" w:type="dxa"/>
            </w:tcMar>
            <w:vAlign w:val="center"/>
          </w:tcPr>
          <w:p w14:paraId="1A0CEF75">
            <w:pPr>
              <w:snapToGrid w:val="0"/>
              <w:spacing w:line="360" w:lineRule="auto"/>
              <w:ind w:left="0" w:leftChars="0" w:right="0" w:rightChars="0" w:firstLine="0" w:firstLineChars="0"/>
              <w:jc w:val="left"/>
              <w:rPr>
                <w:rFonts w:hint="default"/>
              </w:rPr>
            </w:pPr>
            <w:r>
              <w:rPr>
                <w:rFonts w:hint="default"/>
                <w:lang w:val="en-US" w:eastAsia="zh-CN"/>
              </w:rPr>
              <w:t>0.0898</w:t>
            </w:r>
          </w:p>
        </w:tc>
        <w:tc>
          <w:tcPr>
            <w:tcW w:w="1229" w:type="dxa"/>
            <w:tcBorders>
              <w:right w:val="nil"/>
            </w:tcBorders>
            <w:shd w:val="clear" w:color="auto" w:fill="auto"/>
            <w:tcMar>
              <w:top w:w="60" w:type="dxa"/>
              <w:left w:w="120" w:type="dxa"/>
              <w:bottom w:w="60" w:type="dxa"/>
              <w:right w:w="120" w:type="dxa"/>
            </w:tcMar>
            <w:vAlign w:val="center"/>
          </w:tcPr>
          <w:p w14:paraId="5806E76D">
            <w:pPr>
              <w:snapToGrid w:val="0"/>
              <w:spacing w:line="360" w:lineRule="auto"/>
              <w:ind w:left="0" w:leftChars="0" w:right="0" w:rightChars="0" w:firstLine="0" w:firstLineChars="0"/>
              <w:jc w:val="right"/>
              <w:rPr>
                <w:rFonts w:hint="default"/>
              </w:rPr>
            </w:pPr>
            <w:r>
              <w:rPr>
                <w:rFonts w:hint="default"/>
                <w:lang w:val="en-US" w:eastAsia="zh-CN"/>
              </w:rPr>
              <w:t>4.10</w:t>
            </w:r>
          </w:p>
        </w:tc>
      </w:tr>
      <w:tr w14:paraId="1832F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599" w:type="dxa"/>
            <w:tcBorders>
              <w:right w:val="nil"/>
            </w:tcBorders>
            <w:shd w:val="clear" w:color="auto" w:fill="auto"/>
            <w:tcMar>
              <w:top w:w="60" w:type="dxa"/>
              <w:left w:w="120" w:type="dxa"/>
              <w:bottom w:w="60" w:type="dxa"/>
              <w:right w:w="120" w:type="dxa"/>
            </w:tcMar>
            <w:vAlign w:val="center"/>
          </w:tcPr>
          <w:p w14:paraId="5F6B4249">
            <w:pPr>
              <w:snapToGrid w:val="0"/>
              <w:spacing w:line="360" w:lineRule="auto"/>
              <w:ind w:left="0" w:leftChars="0" w:right="0" w:rightChars="0" w:firstLine="0" w:firstLineChars="0"/>
              <w:jc w:val="center"/>
              <w:rPr>
                <w:rFonts w:hint="default"/>
              </w:rPr>
            </w:pPr>
            <w:r>
              <w:rPr>
                <w:rFonts w:hint="default"/>
                <w:lang w:val="en-US" w:eastAsia="zh-CN"/>
              </w:rPr>
              <w:t>B4 便利程度</w:t>
            </w:r>
          </w:p>
        </w:tc>
        <w:tc>
          <w:tcPr>
            <w:tcW w:w="1227" w:type="dxa"/>
            <w:tcBorders>
              <w:right w:val="nil"/>
            </w:tcBorders>
            <w:shd w:val="clear" w:color="auto" w:fill="auto"/>
            <w:tcMar>
              <w:top w:w="60" w:type="dxa"/>
              <w:left w:w="120" w:type="dxa"/>
              <w:bottom w:w="60" w:type="dxa"/>
              <w:right w:w="120" w:type="dxa"/>
            </w:tcMar>
            <w:vAlign w:val="center"/>
          </w:tcPr>
          <w:p w14:paraId="2E7BEC80">
            <w:pPr>
              <w:snapToGrid w:val="0"/>
              <w:spacing w:line="360" w:lineRule="auto"/>
              <w:ind w:left="0" w:leftChars="0" w:right="0" w:rightChars="0" w:firstLine="0" w:firstLineChars="0"/>
              <w:jc w:val="center"/>
              <w:rPr>
                <w:rFonts w:hint="default"/>
              </w:rPr>
            </w:pPr>
            <w:r>
              <w:rPr>
                <w:rFonts w:hint="default"/>
                <w:lang w:val="en-US" w:eastAsia="zh-CN"/>
              </w:rPr>
              <w:t>C11</w:t>
            </w:r>
          </w:p>
        </w:tc>
        <w:tc>
          <w:tcPr>
            <w:tcW w:w="2137" w:type="dxa"/>
            <w:tcBorders>
              <w:right w:val="nil"/>
            </w:tcBorders>
            <w:shd w:val="clear" w:color="auto" w:fill="auto"/>
            <w:tcMar>
              <w:top w:w="60" w:type="dxa"/>
              <w:left w:w="120" w:type="dxa"/>
              <w:bottom w:w="60" w:type="dxa"/>
              <w:right w:w="120" w:type="dxa"/>
            </w:tcMar>
            <w:vAlign w:val="center"/>
          </w:tcPr>
          <w:p w14:paraId="2FA8C438">
            <w:pPr>
              <w:snapToGrid w:val="0"/>
              <w:spacing w:line="360" w:lineRule="auto"/>
              <w:ind w:left="0" w:leftChars="0" w:right="0" w:rightChars="0" w:firstLine="0" w:firstLineChars="0"/>
              <w:jc w:val="left"/>
              <w:rPr>
                <w:rFonts w:hint="default"/>
              </w:rPr>
            </w:pPr>
            <w:r>
              <w:rPr>
                <w:rFonts w:hint="default"/>
                <w:lang w:val="en-US" w:eastAsia="zh-CN"/>
              </w:rPr>
              <w:t>Q13a 距离便利性</w:t>
            </w:r>
          </w:p>
        </w:tc>
        <w:tc>
          <w:tcPr>
            <w:tcW w:w="2150" w:type="dxa"/>
            <w:tcBorders>
              <w:right w:val="nil"/>
            </w:tcBorders>
            <w:shd w:val="clear" w:color="auto" w:fill="auto"/>
            <w:tcMar>
              <w:top w:w="60" w:type="dxa"/>
              <w:left w:w="120" w:type="dxa"/>
              <w:bottom w:w="60" w:type="dxa"/>
              <w:right w:w="120" w:type="dxa"/>
            </w:tcMar>
            <w:vAlign w:val="center"/>
          </w:tcPr>
          <w:p w14:paraId="5CC724F1">
            <w:pPr>
              <w:snapToGrid w:val="0"/>
              <w:spacing w:line="360" w:lineRule="auto"/>
              <w:ind w:left="0" w:leftChars="0" w:right="0" w:rightChars="0" w:firstLine="0" w:firstLineChars="0"/>
              <w:jc w:val="left"/>
              <w:rPr>
                <w:rFonts w:hint="default"/>
              </w:rPr>
            </w:pPr>
            <w:r>
              <w:rPr>
                <w:rFonts w:hint="default"/>
                <w:lang w:val="en-US" w:eastAsia="zh-CN"/>
              </w:rPr>
              <w:t>0.0484</w:t>
            </w:r>
          </w:p>
        </w:tc>
        <w:tc>
          <w:tcPr>
            <w:tcW w:w="1229" w:type="dxa"/>
            <w:tcBorders>
              <w:right w:val="nil"/>
            </w:tcBorders>
            <w:shd w:val="clear" w:color="auto" w:fill="auto"/>
            <w:tcMar>
              <w:top w:w="60" w:type="dxa"/>
              <w:left w:w="120" w:type="dxa"/>
              <w:bottom w:w="60" w:type="dxa"/>
              <w:right w:w="120" w:type="dxa"/>
            </w:tcMar>
            <w:vAlign w:val="center"/>
          </w:tcPr>
          <w:p w14:paraId="47A48944">
            <w:pPr>
              <w:snapToGrid w:val="0"/>
              <w:spacing w:line="360" w:lineRule="auto"/>
              <w:ind w:left="0" w:leftChars="0" w:right="0" w:rightChars="0" w:firstLine="0" w:firstLineChars="0"/>
              <w:jc w:val="right"/>
              <w:rPr>
                <w:rFonts w:hint="default"/>
              </w:rPr>
            </w:pPr>
            <w:r>
              <w:rPr>
                <w:rFonts w:hint="default"/>
                <w:lang w:val="en-US" w:eastAsia="zh-CN"/>
              </w:rPr>
              <w:t>4.79</w:t>
            </w:r>
          </w:p>
        </w:tc>
      </w:tr>
      <w:tr w14:paraId="44554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599" w:type="dxa"/>
            <w:tcBorders>
              <w:right w:val="nil"/>
            </w:tcBorders>
            <w:shd w:val="clear" w:color="auto" w:fill="auto"/>
            <w:tcMar>
              <w:top w:w="60" w:type="dxa"/>
              <w:left w:w="120" w:type="dxa"/>
              <w:bottom w:w="60" w:type="dxa"/>
              <w:right w:w="120" w:type="dxa"/>
            </w:tcMar>
            <w:vAlign w:val="center"/>
          </w:tcPr>
          <w:p w14:paraId="152DA8B4">
            <w:pPr>
              <w:snapToGrid w:val="0"/>
              <w:spacing w:line="360" w:lineRule="auto"/>
              <w:ind w:left="0" w:leftChars="0" w:right="0" w:rightChars="0" w:firstLine="0" w:firstLineChars="0"/>
              <w:jc w:val="center"/>
              <w:rPr>
                <w:rFonts w:hint="default"/>
              </w:rPr>
            </w:pPr>
          </w:p>
        </w:tc>
        <w:tc>
          <w:tcPr>
            <w:tcW w:w="1227" w:type="dxa"/>
            <w:tcBorders>
              <w:right w:val="nil"/>
            </w:tcBorders>
            <w:shd w:val="clear" w:color="auto" w:fill="auto"/>
            <w:tcMar>
              <w:top w:w="60" w:type="dxa"/>
              <w:left w:w="120" w:type="dxa"/>
              <w:bottom w:w="60" w:type="dxa"/>
              <w:right w:w="120" w:type="dxa"/>
            </w:tcMar>
            <w:vAlign w:val="center"/>
          </w:tcPr>
          <w:p w14:paraId="5B0E570A">
            <w:pPr>
              <w:snapToGrid w:val="0"/>
              <w:spacing w:line="360" w:lineRule="auto"/>
              <w:ind w:left="0" w:leftChars="0" w:right="0" w:rightChars="0" w:firstLine="0" w:firstLineChars="0"/>
              <w:jc w:val="center"/>
              <w:rPr>
                <w:rFonts w:hint="default"/>
              </w:rPr>
            </w:pPr>
            <w:r>
              <w:rPr>
                <w:rFonts w:hint="default"/>
                <w:lang w:val="en-US" w:eastAsia="zh-CN"/>
              </w:rPr>
              <w:t>C12</w:t>
            </w:r>
          </w:p>
        </w:tc>
        <w:tc>
          <w:tcPr>
            <w:tcW w:w="2137" w:type="dxa"/>
            <w:tcBorders>
              <w:right w:val="nil"/>
            </w:tcBorders>
            <w:shd w:val="clear" w:color="auto" w:fill="auto"/>
            <w:tcMar>
              <w:top w:w="60" w:type="dxa"/>
              <w:left w:w="120" w:type="dxa"/>
              <w:bottom w:w="60" w:type="dxa"/>
              <w:right w:w="120" w:type="dxa"/>
            </w:tcMar>
            <w:vAlign w:val="center"/>
          </w:tcPr>
          <w:p w14:paraId="2CEA4436">
            <w:pPr>
              <w:snapToGrid w:val="0"/>
              <w:spacing w:line="360" w:lineRule="auto"/>
              <w:ind w:left="0" w:leftChars="0" w:right="0" w:rightChars="0" w:firstLine="0" w:firstLineChars="0"/>
              <w:jc w:val="left"/>
              <w:rPr>
                <w:rFonts w:hint="default"/>
              </w:rPr>
            </w:pPr>
            <w:r>
              <w:rPr>
                <w:rFonts w:hint="default"/>
                <w:lang w:val="en-US" w:eastAsia="zh-CN"/>
              </w:rPr>
              <w:t>Q13b 交通通达性</w:t>
            </w:r>
          </w:p>
        </w:tc>
        <w:tc>
          <w:tcPr>
            <w:tcW w:w="2150" w:type="dxa"/>
            <w:tcBorders>
              <w:right w:val="nil"/>
            </w:tcBorders>
            <w:shd w:val="clear" w:color="auto" w:fill="auto"/>
            <w:tcMar>
              <w:top w:w="60" w:type="dxa"/>
              <w:left w:w="120" w:type="dxa"/>
              <w:bottom w:w="60" w:type="dxa"/>
              <w:right w:w="120" w:type="dxa"/>
            </w:tcMar>
            <w:vAlign w:val="center"/>
          </w:tcPr>
          <w:p w14:paraId="5B7C4B78">
            <w:pPr>
              <w:snapToGrid w:val="0"/>
              <w:spacing w:line="360" w:lineRule="auto"/>
              <w:ind w:left="0" w:leftChars="0" w:right="0" w:rightChars="0" w:firstLine="0" w:firstLineChars="0"/>
              <w:jc w:val="left"/>
              <w:rPr>
                <w:rFonts w:hint="default"/>
              </w:rPr>
            </w:pPr>
            <w:r>
              <w:rPr>
                <w:rFonts w:hint="default"/>
                <w:lang w:val="en-US" w:eastAsia="zh-CN"/>
              </w:rPr>
              <w:t>0.0823</w:t>
            </w:r>
          </w:p>
        </w:tc>
        <w:tc>
          <w:tcPr>
            <w:tcW w:w="1229" w:type="dxa"/>
            <w:tcBorders>
              <w:right w:val="nil"/>
            </w:tcBorders>
            <w:shd w:val="clear" w:color="auto" w:fill="auto"/>
            <w:tcMar>
              <w:top w:w="60" w:type="dxa"/>
              <w:left w:w="120" w:type="dxa"/>
              <w:bottom w:w="60" w:type="dxa"/>
              <w:right w:w="120" w:type="dxa"/>
            </w:tcMar>
            <w:vAlign w:val="center"/>
          </w:tcPr>
          <w:p w14:paraId="522C255F">
            <w:pPr>
              <w:snapToGrid w:val="0"/>
              <w:spacing w:line="360" w:lineRule="auto"/>
              <w:ind w:left="0" w:leftChars="0" w:right="0" w:rightChars="0" w:firstLine="0" w:firstLineChars="0"/>
              <w:jc w:val="right"/>
              <w:rPr>
                <w:rFonts w:hint="default"/>
              </w:rPr>
            </w:pPr>
            <w:r>
              <w:rPr>
                <w:rFonts w:hint="default"/>
                <w:lang w:val="en-US" w:eastAsia="zh-CN"/>
              </w:rPr>
              <w:t>4.74</w:t>
            </w:r>
          </w:p>
        </w:tc>
      </w:tr>
    </w:tbl>
    <w:p w14:paraId="24509732">
      <w:pPr>
        <w:spacing w:line="360" w:lineRule="auto"/>
        <w:rPr>
          <w:rFonts w:hint="default"/>
          <w:b/>
          <w:bCs/>
        </w:rPr>
      </w:pPr>
      <w:r>
        <w:rPr>
          <w:rFonts w:hint="default"/>
          <w:b/>
          <w:bCs/>
        </w:rPr>
        <w:t>3.3.2 模糊综合评价 (FCE) 结果分析</w:t>
      </w:r>
    </w:p>
    <w:p w14:paraId="2F517D39">
      <w:pPr>
        <w:spacing w:line="360" w:lineRule="auto"/>
        <w:rPr>
          <w:rFonts w:hint="default"/>
        </w:rPr>
      </w:pPr>
      <w:r>
        <w:rPr>
          <w:rFonts w:hint="default"/>
        </w:rPr>
        <w:t>利用模糊综合评价模型，将各指标的加权得分进行合成，最终计算出上海市民健身驿站的整体服务效能指数（SEI）。</w:t>
      </w:r>
    </w:p>
    <w:p w14:paraId="16B9B3DB">
      <w:pPr>
        <w:spacing w:line="360" w:lineRule="auto"/>
        <w:rPr>
          <w:rFonts w:hint="default"/>
        </w:rPr>
      </w:pPr>
      <w:r>
        <w:rPr>
          <w:rFonts w:hint="default"/>
        </w:rPr>
        <w:t>计算结果显示：上海市健身驿站整体服务效能得分为 56.88 分。</w:t>
      </w:r>
    </w:p>
    <w:p w14:paraId="0A0840F6">
      <w:pPr>
        <w:spacing w:line="360" w:lineRule="auto"/>
        <w:rPr>
          <w:rFonts w:hint="default"/>
        </w:rPr>
      </w:pPr>
      <w:r>
        <w:rPr>
          <w:rFonts w:hint="default"/>
        </w:rPr>
        <w:t>这一得分处于“及格线”边缘，虽未陷入“差”的区间，但距离“良好”和“优秀”仍有巨大差距。结合各分项均值分析（见表 3-2），呈现出鲜明的**“硬强软弱”**特征：</w:t>
      </w:r>
    </w:p>
    <w:p w14:paraId="5FC59D60">
      <w:pPr>
        <w:spacing w:line="360" w:lineRule="auto"/>
        <w:rPr>
          <w:rFonts w:hint="default"/>
        </w:rPr>
      </w:pPr>
      <w:r>
        <w:rPr>
          <w:rFonts w:hint="default"/>
        </w:rPr>
        <w:t>便利性与硬件尚可： “距离便利性”与“交通通达性”均值最高（接近 4.8 分），表明物理空间的选址布局较为合理。</w:t>
      </w:r>
    </w:p>
    <w:p w14:paraId="5A1B9EBE">
      <w:pPr>
        <w:spacing w:line="360" w:lineRule="auto"/>
        <w:rPr>
          <w:rFonts w:hint="default"/>
        </w:rPr>
      </w:pPr>
      <w:r>
        <w:rPr>
          <w:rFonts w:hint="default"/>
        </w:rPr>
        <w:t>软性服务塌陷： “人员服务”与“信息发布”得分较低，拉低了整体效能。</w:t>
      </w:r>
    </w:p>
    <w:p w14:paraId="27D20152">
      <w:pPr>
        <w:spacing w:line="360" w:lineRule="auto"/>
        <w:rPr>
          <w:rFonts w:hint="default"/>
        </w:rPr>
      </w:pPr>
      <w:r>
        <w:rPr>
          <w:rFonts w:hint="default"/>
        </w:rPr>
        <w:t>数智体验垫底： “数智体验”维度下的两项指标均值仅为 4.10 分，是所有维度中的最短板。这表明尽管驿站建设了物理空间，但在数字化赋能、运动数据闭环方面仍处于初级阶段，未能满足市民日益增长的“科学健身”需求。</w:t>
      </w:r>
    </w:p>
    <w:p w14:paraId="2CFA0DAE">
      <w:pPr>
        <w:spacing w:line="360" w:lineRule="auto"/>
        <w:rPr>
          <w:rFonts w:hint="default"/>
          <w:b/>
          <w:bCs/>
        </w:rPr>
      </w:pPr>
      <w:r>
        <w:rPr>
          <w:rFonts w:hint="default"/>
          <w:b/>
          <w:bCs/>
        </w:rPr>
        <w:t>3.4 本章小结</w:t>
      </w:r>
    </w:p>
    <w:p w14:paraId="1AF08FD7">
      <w:pPr>
        <w:spacing w:line="360" w:lineRule="auto"/>
        <w:rPr>
          <w:rFonts w:hint="default"/>
        </w:rPr>
      </w:pPr>
      <w:r>
        <w:rPr>
          <w:rFonts w:hint="default"/>
        </w:rPr>
        <w:t>本章通过构建科学的四维评价体系并进行实证测度，勾勒出了上海市民健身驿站服务效能的“真实画像”：覆盖广但体验一般，硬件硬但软件软。</w:t>
      </w:r>
      <w:r>
        <w:rPr>
          <w:rFonts w:hint="default"/>
        </w:rPr>
        <w:br w:type="textWrapping"/>
      </w:r>
      <w:r>
        <w:rPr>
          <w:rFonts w:hint="default"/>
        </w:rPr>
        <w:t>56.88 分的现状得分揭示了当前驿站建设面临的瓶颈——单纯的空间扩张边际效应递减，“数智化”与“精细化服务”的缺失已成为制约效能提升的关键“卡脖子”因素。这为后续章节利用 XGBoost 与 SHAP 模型深入挖掘影响机制、寻找非线性突破口提供了坚实的数据基础与现实靶向。</w:t>
      </w:r>
    </w:p>
    <w:p w14:paraId="4477396E">
      <w:pPr>
        <w:spacing w:line="360" w:lineRule="auto"/>
        <w:rPr>
          <w:rFonts w:hint="default"/>
        </w:rPr>
      </w:pPr>
    </w:p>
    <w:p w14:paraId="0B178ED3">
      <w:pPr>
        <w:spacing w:line="360" w:lineRule="auto"/>
        <w:rPr>
          <w:rFonts w:hint="default"/>
        </w:rPr>
      </w:pPr>
    </w:p>
    <w:p w14:paraId="03E31230">
      <w:pPr>
        <w:spacing w:line="360" w:lineRule="auto"/>
        <w:rPr>
          <w:rFonts w:hint="default"/>
          <w:b/>
          <w:bCs/>
          <w:sz w:val="32"/>
          <w:szCs w:val="40"/>
        </w:rPr>
      </w:pPr>
      <w:r>
        <w:rPr>
          <w:rFonts w:hint="default"/>
          <w:b/>
          <w:bCs/>
          <w:sz w:val="32"/>
          <w:szCs w:val="40"/>
        </w:rPr>
        <w:t>第四章 健身驿站服务效能的影响机制与深度归因</w:t>
      </w:r>
    </w:p>
    <w:p w14:paraId="6C86ACA7">
      <w:pPr>
        <w:spacing w:line="360" w:lineRule="auto"/>
        <w:rPr>
          <w:rFonts w:hint="default"/>
        </w:rPr>
      </w:pPr>
      <w:r>
        <w:rPr>
          <w:rFonts w:hint="default"/>
        </w:rPr>
        <w:t>上一章测度结果显示，上海市民健身驿站整体服务效能处于“及格线”水平（56.88分）。为精准解析造成这一现状的深层原因，本章打破传统线性分析的局限，构建“宏观机制验证（SEM）+ 微观非线性归因（XGBoost-SHAP）”的双轨分析模型。首先利用结构方程模型验证各维度对满意度的显著性影响，随后引入集成学习算法深度挖掘关键要素的非线性阈值与边际效应。</w:t>
      </w:r>
    </w:p>
    <w:p w14:paraId="58F10E0A">
      <w:pPr>
        <w:spacing w:line="360" w:lineRule="auto"/>
        <w:rPr>
          <w:rFonts w:hint="default"/>
        </w:rPr>
      </w:pPr>
      <w:r>
        <w:rPr>
          <w:rFonts w:hint="default"/>
        </w:rPr>
        <w:t>4.1 基于 SEM 的宏观影响机制验证</w:t>
      </w:r>
    </w:p>
    <w:p w14:paraId="3156B817">
      <w:pPr>
        <w:spacing w:line="360" w:lineRule="auto"/>
        <w:rPr>
          <w:rFonts w:hint="default"/>
        </w:rPr>
      </w:pPr>
      <w:r>
        <w:rPr>
          <w:rFonts w:hint="default"/>
        </w:rPr>
        <w:t>本研究基于 ACSI（美国顾客满意度指数）模型理论框架，构建了包含“硬件设施”、“软性服务”、“数智体验”、“便利程度”四个潜变量对“市民满意度”的影响路径模型，并利用 AMOS/Semopy 进行实证检验。</w:t>
      </w:r>
    </w:p>
    <w:p w14:paraId="0EC5C32B">
      <w:pPr>
        <w:spacing w:line="360" w:lineRule="auto"/>
        <w:rPr>
          <w:rFonts w:hint="default"/>
        </w:rPr>
      </w:pPr>
      <w:r>
        <w:rPr>
          <w:rFonts w:hint="default"/>
        </w:rPr>
        <w:t>4.1.1 模型拟合度检验</w:t>
      </w:r>
    </w:p>
    <w:p w14:paraId="709FB553">
      <w:pPr>
        <w:spacing w:line="360" w:lineRule="auto"/>
        <w:rPr>
          <w:rFonts w:hint="default"/>
        </w:rPr>
      </w:pPr>
      <w:r>
        <w:rPr>
          <w:rFonts w:hint="default"/>
        </w:rPr>
        <w:t>对模型进行参数估计后，拟合指数如表 4-1 所示。结果显示，卡方自由度比（CMIN/DF）小于 3，近似误差均方根（RMSEA）为 0.010（&lt;0.05），比较拟合指数（CFI）高达 0.999（&gt;0.9）。各项指标均显著优于统计学推荐标准，表明构建的理论模型与实测数据高度适配，具有极高的解释力。</w:t>
      </w:r>
    </w:p>
    <w:p w14:paraId="107FD02A">
      <w:pPr>
        <w:spacing w:line="360" w:lineRule="auto"/>
        <w:rPr>
          <w:rFonts w:hint="default"/>
        </w:rPr>
      </w:pPr>
      <w:r>
        <w:rPr>
          <w:rFonts w:hint="default"/>
        </w:rPr>
        <w:t>表 4-1 结构方程模型拟合指数表</w:t>
      </w:r>
    </w:p>
    <w:tbl>
      <w:tblPr>
        <w:tblStyle w:val="8"/>
        <w:tblW w:w="852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9"/>
        <w:gridCol w:w="1693"/>
        <w:gridCol w:w="1198"/>
        <w:gridCol w:w="1198"/>
        <w:gridCol w:w="1199"/>
        <w:gridCol w:w="1435"/>
      </w:tblGrid>
      <w:tr w14:paraId="534C7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1754" w:type="dxa"/>
            <w:tcBorders>
              <w:top w:val="nil"/>
              <w:right w:val="nil"/>
            </w:tcBorders>
            <w:shd w:val="clear" w:color="auto" w:fill="auto"/>
            <w:tcMar>
              <w:top w:w="60" w:type="dxa"/>
              <w:left w:w="120" w:type="dxa"/>
              <w:bottom w:w="60" w:type="dxa"/>
              <w:right w:w="120" w:type="dxa"/>
            </w:tcMar>
            <w:vAlign w:val="center"/>
          </w:tcPr>
          <w:p w14:paraId="4E928AAD">
            <w:pPr>
              <w:snapToGrid w:val="0"/>
              <w:spacing w:line="360" w:lineRule="auto"/>
              <w:rPr>
                <w:rFonts w:hint="default"/>
              </w:rPr>
            </w:pPr>
            <w:r>
              <w:rPr>
                <w:rFonts w:hint="default"/>
                <w:lang w:val="en-US" w:eastAsia="zh-CN"/>
              </w:rPr>
              <w:t>指标</w:t>
            </w:r>
          </w:p>
        </w:tc>
        <w:tc>
          <w:tcPr>
            <w:tcW w:w="1663" w:type="dxa"/>
            <w:tcBorders>
              <w:top w:val="nil"/>
              <w:right w:val="nil"/>
            </w:tcBorders>
            <w:shd w:val="clear" w:color="auto" w:fill="auto"/>
            <w:tcMar>
              <w:top w:w="60" w:type="dxa"/>
              <w:left w:w="120" w:type="dxa"/>
              <w:bottom w:w="60" w:type="dxa"/>
              <w:right w:w="120" w:type="dxa"/>
            </w:tcMar>
            <w:vAlign w:val="center"/>
          </w:tcPr>
          <w:p w14:paraId="110C46CB">
            <w:pPr>
              <w:snapToGrid w:val="0"/>
              <w:spacing w:line="360" w:lineRule="auto"/>
              <w:rPr>
                <w:rFonts w:hint="default"/>
              </w:rPr>
            </w:pPr>
            <w:r>
              <w:rPr>
                <w:rFonts w:hint="default"/>
                <w:lang w:val="en-US" w:eastAsia="zh-CN"/>
              </w:rPr>
              <w:t>CMIN/DF</w:t>
            </w:r>
          </w:p>
        </w:tc>
        <w:tc>
          <w:tcPr>
            <w:tcW w:w="1168" w:type="dxa"/>
            <w:tcBorders>
              <w:top w:val="nil"/>
              <w:right w:val="nil"/>
            </w:tcBorders>
            <w:shd w:val="clear" w:color="auto" w:fill="auto"/>
            <w:tcMar>
              <w:top w:w="60" w:type="dxa"/>
              <w:left w:w="120" w:type="dxa"/>
              <w:bottom w:w="60" w:type="dxa"/>
              <w:right w:w="120" w:type="dxa"/>
            </w:tcMar>
            <w:vAlign w:val="center"/>
          </w:tcPr>
          <w:p w14:paraId="1CAC3F3E">
            <w:pPr>
              <w:snapToGrid w:val="0"/>
              <w:spacing w:line="360" w:lineRule="auto"/>
              <w:rPr>
                <w:rFonts w:hint="default"/>
              </w:rPr>
            </w:pPr>
            <w:r>
              <w:rPr>
                <w:rFonts w:hint="default"/>
                <w:lang w:val="en-US" w:eastAsia="zh-CN"/>
              </w:rPr>
              <w:t>GFI</w:t>
            </w:r>
          </w:p>
        </w:tc>
        <w:tc>
          <w:tcPr>
            <w:tcW w:w="1168" w:type="dxa"/>
            <w:tcBorders>
              <w:top w:val="nil"/>
              <w:right w:val="nil"/>
            </w:tcBorders>
            <w:shd w:val="clear" w:color="auto" w:fill="auto"/>
            <w:tcMar>
              <w:top w:w="60" w:type="dxa"/>
              <w:left w:w="120" w:type="dxa"/>
              <w:bottom w:w="60" w:type="dxa"/>
              <w:right w:w="120" w:type="dxa"/>
            </w:tcMar>
            <w:vAlign w:val="center"/>
          </w:tcPr>
          <w:p w14:paraId="51D7B79B">
            <w:pPr>
              <w:snapToGrid w:val="0"/>
              <w:spacing w:line="360" w:lineRule="auto"/>
              <w:rPr>
                <w:rFonts w:hint="default"/>
              </w:rPr>
            </w:pPr>
            <w:r>
              <w:rPr>
                <w:rFonts w:hint="default"/>
                <w:lang w:val="en-US" w:eastAsia="zh-CN"/>
              </w:rPr>
              <w:t>CFI</w:t>
            </w:r>
          </w:p>
        </w:tc>
        <w:tc>
          <w:tcPr>
            <w:tcW w:w="1168" w:type="dxa"/>
            <w:tcBorders>
              <w:top w:val="nil"/>
              <w:right w:val="nil"/>
            </w:tcBorders>
            <w:shd w:val="clear" w:color="auto" w:fill="auto"/>
            <w:tcMar>
              <w:top w:w="60" w:type="dxa"/>
              <w:left w:w="120" w:type="dxa"/>
              <w:bottom w:w="60" w:type="dxa"/>
              <w:right w:w="120" w:type="dxa"/>
            </w:tcMar>
            <w:vAlign w:val="center"/>
          </w:tcPr>
          <w:p w14:paraId="4E950102">
            <w:pPr>
              <w:snapToGrid w:val="0"/>
              <w:spacing w:line="360" w:lineRule="auto"/>
              <w:rPr>
                <w:rFonts w:hint="default"/>
              </w:rPr>
            </w:pPr>
            <w:r>
              <w:rPr>
                <w:rFonts w:hint="default"/>
                <w:lang w:val="en-US" w:eastAsia="zh-CN"/>
              </w:rPr>
              <w:t>NFI</w:t>
            </w:r>
          </w:p>
        </w:tc>
        <w:tc>
          <w:tcPr>
            <w:tcW w:w="1389" w:type="dxa"/>
            <w:tcBorders>
              <w:top w:val="nil"/>
              <w:right w:val="nil"/>
            </w:tcBorders>
            <w:shd w:val="clear" w:color="auto" w:fill="auto"/>
            <w:tcMar>
              <w:top w:w="60" w:type="dxa"/>
              <w:left w:w="120" w:type="dxa"/>
              <w:bottom w:w="60" w:type="dxa"/>
              <w:right w:w="120" w:type="dxa"/>
            </w:tcMar>
            <w:vAlign w:val="center"/>
          </w:tcPr>
          <w:p w14:paraId="42414BD8">
            <w:pPr>
              <w:snapToGrid w:val="0"/>
              <w:spacing w:line="360" w:lineRule="auto"/>
              <w:rPr>
                <w:rFonts w:hint="default"/>
              </w:rPr>
            </w:pPr>
            <w:r>
              <w:rPr>
                <w:rFonts w:hint="default"/>
                <w:lang w:val="en-US" w:eastAsia="zh-CN"/>
              </w:rPr>
              <w:t>RMSEA</w:t>
            </w:r>
          </w:p>
        </w:tc>
      </w:tr>
      <w:tr w14:paraId="4F67C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1754" w:type="dxa"/>
            <w:tcBorders>
              <w:right w:val="nil"/>
            </w:tcBorders>
            <w:shd w:val="clear" w:color="auto" w:fill="auto"/>
            <w:tcMar>
              <w:top w:w="60" w:type="dxa"/>
              <w:left w:w="120" w:type="dxa"/>
              <w:bottom w:w="60" w:type="dxa"/>
              <w:right w:w="120" w:type="dxa"/>
            </w:tcMar>
            <w:vAlign w:val="center"/>
          </w:tcPr>
          <w:p w14:paraId="570BA2E5">
            <w:pPr>
              <w:snapToGrid w:val="0"/>
              <w:spacing w:line="360" w:lineRule="auto"/>
              <w:rPr>
                <w:rFonts w:hint="default"/>
              </w:rPr>
            </w:pPr>
            <w:r>
              <w:rPr>
                <w:rFonts w:hint="default"/>
                <w:lang w:val="en-US" w:eastAsia="zh-CN"/>
              </w:rPr>
              <w:t>实测值</w:t>
            </w:r>
          </w:p>
        </w:tc>
        <w:tc>
          <w:tcPr>
            <w:tcW w:w="1663" w:type="dxa"/>
            <w:tcBorders>
              <w:right w:val="nil"/>
            </w:tcBorders>
            <w:shd w:val="clear" w:color="auto" w:fill="auto"/>
            <w:tcMar>
              <w:top w:w="60" w:type="dxa"/>
              <w:left w:w="120" w:type="dxa"/>
              <w:bottom w:w="60" w:type="dxa"/>
              <w:right w:w="120" w:type="dxa"/>
            </w:tcMar>
            <w:vAlign w:val="center"/>
          </w:tcPr>
          <w:p w14:paraId="7081089A">
            <w:pPr>
              <w:snapToGrid w:val="0"/>
              <w:spacing w:line="360" w:lineRule="auto"/>
              <w:rPr>
                <w:rFonts w:hint="default"/>
              </w:rPr>
            </w:pPr>
            <w:r>
              <w:rPr>
                <w:rFonts w:hint="default"/>
                <w:lang w:val="en-US" w:eastAsia="zh-CN"/>
              </w:rPr>
              <w:t>1.84</w:t>
            </w:r>
          </w:p>
        </w:tc>
        <w:tc>
          <w:tcPr>
            <w:tcW w:w="1168" w:type="dxa"/>
            <w:tcBorders>
              <w:right w:val="nil"/>
            </w:tcBorders>
            <w:shd w:val="clear" w:color="auto" w:fill="auto"/>
            <w:tcMar>
              <w:top w:w="60" w:type="dxa"/>
              <w:left w:w="120" w:type="dxa"/>
              <w:bottom w:w="60" w:type="dxa"/>
              <w:right w:w="120" w:type="dxa"/>
            </w:tcMar>
            <w:vAlign w:val="center"/>
          </w:tcPr>
          <w:p w14:paraId="48836C6E">
            <w:pPr>
              <w:snapToGrid w:val="0"/>
              <w:spacing w:line="360" w:lineRule="auto"/>
              <w:rPr>
                <w:rFonts w:hint="default"/>
              </w:rPr>
            </w:pPr>
            <w:r>
              <w:rPr>
                <w:rFonts w:hint="default"/>
                <w:lang w:val="en-US" w:eastAsia="zh-CN"/>
              </w:rPr>
              <w:t>0.989</w:t>
            </w:r>
          </w:p>
        </w:tc>
        <w:tc>
          <w:tcPr>
            <w:tcW w:w="1168" w:type="dxa"/>
            <w:tcBorders>
              <w:right w:val="nil"/>
            </w:tcBorders>
            <w:shd w:val="clear" w:color="auto" w:fill="auto"/>
            <w:tcMar>
              <w:top w:w="60" w:type="dxa"/>
              <w:left w:w="120" w:type="dxa"/>
              <w:bottom w:w="60" w:type="dxa"/>
              <w:right w:w="120" w:type="dxa"/>
            </w:tcMar>
            <w:vAlign w:val="center"/>
          </w:tcPr>
          <w:p w14:paraId="553472EC">
            <w:pPr>
              <w:snapToGrid w:val="0"/>
              <w:spacing w:line="360" w:lineRule="auto"/>
              <w:rPr>
                <w:rFonts w:hint="default"/>
              </w:rPr>
            </w:pPr>
            <w:r>
              <w:rPr>
                <w:rFonts w:hint="default"/>
                <w:lang w:val="en-US" w:eastAsia="zh-CN"/>
              </w:rPr>
              <w:t>0.999</w:t>
            </w:r>
          </w:p>
        </w:tc>
        <w:tc>
          <w:tcPr>
            <w:tcW w:w="1168" w:type="dxa"/>
            <w:tcBorders>
              <w:right w:val="nil"/>
            </w:tcBorders>
            <w:shd w:val="clear" w:color="auto" w:fill="auto"/>
            <w:tcMar>
              <w:top w:w="60" w:type="dxa"/>
              <w:left w:w="120" w:type="dxa"/>
              <w:bottom w:w="60" w:type="dxa"/>
              <w:right w:w="120" w:type="dxa"/>
            </w:tcMar>
            <w:vAlign w:val="center"/>
          </w:tcPr>
          <w:p w14:paraId="4A8E69FB">
            <w:pPr>
              <w:snapToGrid w:val="0"/>
              <w:spacing w:line="360" w:lineRule="auto"/>
              <w:rPr>
                <w:rFonts w:hint="default"/>
              </w:rPr>
            </w:pPr>
            <w:r>
              <w:rPr>
                <w:rFonts w:hint="default"/>
                <w:lang w:val="en-US" w:eastAsia="zh-CN"/>
              </w:rPr>
              <w:t>0.989</w:t>
            </w:r>
          </w:p>
        </w:tc>
        <w:tc>
          <w:tcPr>
            <w:tcW w:w="1389" w:type="dxa"/>
            <w:tcBorders>
              <w:right w:val="nil"/>
            </w:tcBorders>
            <w:shd w:val="clear" w:color="auto" w:fill="auto"/>
            <w:tcMar>
              <w:top w:w="60" w:type="dxa"/>
              <w:left w:w="120" w:type="dxa"/>
              <w:bottom w:w="60" w:type="dxa"/>
              <w:right w:w="120" w:type="dxa"/>
            </w:tcMar>
            <w:vAlign w:val="center"/>
          </w:tcPr>
          <w:p w14:paraId="65B495F9">
            <w:pPr>
              <w:snapToGrid w:val="0"/>
              <w:spacing w:line="360" w:lineRule="auto"/>
              <w:rPr>
                <w:rFonts w:hint="default"/>
              </w:rPr>
            </w:pPr>
            <w:r>
              <w:rPr>
                <w:rFonts w:hint="default"/>
                <w:lang w:val="en-US" w:eastAsia="zh-CN"/>
              </w:rPr>
              <w:t>0.010</w:t>
            </w:r>
          </w:p>
        </w:tc>
      </w:tr>
      <w:tr w14:paraId="2A351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1754" w:type="dxa"/>
            <w:tcBorders>
              <w:right w:val="nil"/>
            </w:tcBorders>
            <w:shd w:val="clear" w:color="auto" w:fill="auto"/>
            <w:tcMar>
              <w:top w:w="60" w:type="dxa"/>
              <w:left w:w="120" w:type="dxa"/>
              <w:bottom w:w="60" w:type="dxa"/>
              <w:right w:w="120" w:type="dxa"/>
            </w:tcMar>
            <w:vAlign w:val="center"/>
          </w:tcPr>
          <w:p w14:paraId="6E8B51DF">
            <w:pPr>
              <w:snapToGrid w:val="0"/>
              <w:spacing w:line="360" w:lineRule="auto"/>
              <w:rPr>
                <w:rFonts w:hint="default"/>
              </w:rPr>
            </w:pPr>
            <w:r>
              <w:rPr>
                <w:rFonts w:hint="default"/>
                <w:lang w:val="en-US" w:eastAsia="zh-CN"/>
              </w:rPr>
              <w:t>参考标准</w:t>
            </w:r>
          </w:p>
        </w:tc>
        <w:tc>
          <w:tcPr>
            <w:tcW w:w="1663" w:type="dxa"/>
            <w:tcBorders>
              <w:right w:val="nil"/>
            </w:tcBorders>
            <w:shd w:val="clear" w:color="auto" w:fill="auto"/>
            <w:tcMar>
              <w:top w:w="60" w:type="dxa"/>
              <w:left w:w="120" w:type="dxa"/>
              <w:bottom w:w="60" w:type="dxa"/>
              <w:right w:w="120" w:type="dxa"/>
            </w:tcMar>
            <w:vAlign w:val="center"/>
          </w:tcPr>
          <w:p w14:paraId="024E5E45">
            <w:pPr>
              <w:snapToGrid w:val="0"/>
              <w:spacing w:line="360" w:lineRule="auto"/>
              <w:rPr>
                <w:rFonts w:hint="default"/>
              </w:rPr>
            </w:pPr>
            <w:r>
              <w:rPr>
                <w:rFonts w:hint="default"/>
                <w:lang w:val="en-US" w:eastAsia="zh-CN"/>
              </w:rPr>
              <w:t>&lt; 3.0</w:t>
            </w:r>
          </w:p>
        </w:tc>
        <w:tc>
          <w:tcPr>
            <w:tcW w:w="1168" w:type="dxa"/>
            <w:tcBorders>
              <w:right w:val="nil"/>
            </w:tcBorders>
            <w:shd w:val="clear" w:color="auto" w:fill="auto"/>
            <w:tcMar>
              <w:top w:w="60" w:type="dxa"/>
              <w:left w:w="120" w:type="dxa"/>
              <w:bottom w:w="60" w:type="dxa"/>
              <w:right w:w="120" w:type="dxa"/>
            </w:tcMar>
            <w:vAlign w:val="center"/>
          </w:tcPr>
          <w:p w14:paraId="005F0794">
            <w:pPr>
              <w:snapToGrid w:val="0"/>
              <w:spacing w:line="360" w:lineRule="auto"/>
              <w:rPr>
                <w:rFonts w:hint="default"/>
              </w:rPr>
            </w:pPr>
            <w:r>
              <w:rPr>
                <w:rFonts w:hint="default"/>
                <w:lang w:val="en-US" w:eastAsia="zh-CN"/>
              </w:rPr>
              <w:t>&gt; 0.9</w:t>
            </w:r>
          </w:p>
        </w:tc>
        <w:tc>
          <w:tcPr>
            <w:tcW w:w="1168" w:type="dxa"/>
            <w:tcBorders>
              <w:right w:val="nil"/>
            </w:tcBorders>
            <w:shd w:val="clear" w:color="auto" w:fill="auto"/>
            <w:tcMar>
              <w:top w:w="60" w:type="dxa"/>
              <w:left w:w="120" w:type="dxa"/>
              <w:bottom w:w="60" w:type="dxa"/>
              <w:right w:w="120" w:type="dxa"/>
            </w:tcMar>
            <w:vAlign w:val="center"/>
          </w:tcPr>
          <w:p w14:paraId="5AA14202">
            <w:pPr>
              <w:snapToGrid w:val="0"/>
              <w:spacing w:line="360" w:lineRule="auto"/>
              <w:rPr>
                <w:rFonts w:hint="default"/>
              </w:rPr>
            </w:pPr>
            <w:r>
              <w:rPr>
                <w:rFonts w:hint="default"/>
                <w:lang w:val="en-US" w:eastAsia="zh-CN"/>
              </w:rPr>
              <w:t>&gt; 0.9</w:t>
            </w:r>
          </w:p>
        </w:tc>
        <w:tc>
          <w:tcPr>
            <w:tcW w:w="1168" w:type="dxa"/>
            <w:tcBorders>
              <w:right w:val="nil"/>
            </w:tcBorders>
            <w:shd w:val="clear" w:color="auto" w:fill="auto"/>
            <w:tcMar>
              <w:top w:w="60" w:type="dxa"/>
              <w:left w:w="120" w:type="dxa"/>
              <w:bottom w:w="60" w:type="dxa"/>
              <w:right w:w="120" w:type="dxa"/>
            </w:tcMar>
            <w:vAlign w:val="center"/>
          </w:tcPr>
          <w:p w14:paraId="2B0BDDF1">
            <w:pPr>
              <w:snapToGrid w:val="0"/>
              <w:spacing w:line="360" w:lineRule="auto"/>
              <w:rPr>
                <w:rFonts w:hint="default"/>
              </w:rPr>
            </w:pPr>
            <w:r>
              <w:rPr>
                <w:rFonts w:hint="default"/>
                <w:lang w:val="en-US" w:eastAsia="zh-CN"/>
              </w:rPr>
              <w:t>&gt; 0.9</w:t>
            </w:r>
          </w:p>
        </w:tc>
        <w:tc>
          <w:tcPr>
            <w:tcW w:w="1389" w:type="dxa"/>
            <w:tcBorders>
              <w:right w:val="nil"/>
            </w:tcBorders>
            <w:shd w:val="clear" w:color="auto" w:fill="auto"/>
            <w:tcMar>
              <w:top w:w="60" w:type="dxa"/>
              <w:left w:w="120" w:type="dxa"/>
              <w:bottom w:w="60" w:type="dxa"/>
              <w:right w:w="120" w:type="dxa"/>
            </w:tcMar>
            <w:vAlign w:val="center"/>
          </w:tcPr>
          <w:p w14:paraId="026D261B">
            <w:pPr>
              <w:snapToGrid w:val="0"/>
              <w:spacing w:line="360" w:lineRule="auto"/>
              <w:rPr>
                <w:rFonts w:hint="default"/>
              </w:rPr>
            </w:pPr>
            <w:r>
              <w:rPr>
                <w:rFonts w:hint="default"/>
                <w:lang w:val="en-US" w:eastAsia="zh-CN"/>
              </w:rPr>
              <w:t>&lt; 0.08</w:t>
            </w:r>
          </w:p>
        </w:tc>
      </w:tr>
      <w:tr w14:paraId="1054C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1754" w:type="dxa"/>
            <w:tcBorders>
              <w:right w:val="nil"/>
            </w:tcBorders>
            <w:shd w:val="clear" w:color="auto" w:fill="auto"/>
            <w:tcMar>
              <w:top w:w="60" w:type="dxa"/>
              <w:left w:w="120" w:type="dxa"/>
              <w:bottom w:w="60" w:type="dxa"/>
              <w:right w:w="120" w:type="dxa"/>
            </w:tcMar>
            <w:vAlign w:val="center"/>
          </w:tcPr>
          <w:p w14:paraId="5B454D15">
            <w:pPr>
              <w:snapToGrid w:val="0"/>
              <w:spacing w:line="360" w:lineRule="auto"/>
              <w:rPr>
                <w:rFonts w:hint="default"/>
              </w:rPr>
            </w:pPr>
            <w:r>
              <w:rPr>
                <w:rFonts w:hint="default"/>
                <w:lang w:val="en-US" w:eastAsia="zh-CN"/>
              </w:rPr>
              <w:t>结论</w:t>
            </w:r>
          </w:p>
        </w:tc>
        <w:tc>
          <w:tcPr>
            <w:tcW w:w="1663" w:type="dxa"/>
            <w:tcBorders>
              <w:right w:val="nil"/>
            </w:tcBorders>
            <w:shd w:val="clear" w:color="auto" w:fill="auto"/>
            <w:tcMar>
              <w:top w:w="60" w:type="dxa"/>
              <w:left w:w="120" w:type="dxa"/>
              <w:bottom w:w="60" w:type="dxa"/>
              <w:right w:w="120" w:type="dxa"/>
            </w:tcMar>
            <w:vAlign w:val="center"/>
          </w:tcPr>
          <w:p w14:paraId="013BD2A6">
            <w:pPr>
              <w:snapToGrid w:val="0"/>
              <w:spacing w:line="360" w:lineRule="auto"/>
              <w:rPr>
                <w:rFonts w:hint="default"/>
              </w:rPr>
            </w:pPr>
            <w:r>
              <w:rPr>
                <w:rFonts w:hint="default"/>
                <w:lang w:val="en-US" w:eastAsia="zh-CN"/>
              </w:rPr>
              <w:t>适配</w:t>
            </w:r>
          </w:p>
        </w:tc>
        <w:tc>
          <w:tcPr>
            <w:tcW w:w="1168" w:type="dxa"/>
            <w:tcBorders>
              <w:right w:val="nil"/>
            </w:tcBorders>
            <w:shd w:val="clear" w:color="auto" w:fill="auto"/>
            <w:tcMar>
              <w:top w:w="60" w:type="dxa"/>
              <w:left w:w="120" w:type="dxa"/>
              <w:bottom w:w="60" w:type="dxa"/>
              <w:right w:w="120" w:type="dxa"/>
            </w:tcMar>
            <w:vAlign w:val="center"/>
          </w:tcPr>
          <w:p w14:paraId="68FB1A1A">
            <w:pPr>
              <w:snapToGrid w:val="0"/>
              <w:spacing w:line="360" w:lineRule="auto"/>
              <w:rPr>
                <w:rFonts w:hint="default"/>
              </w:rPr>
            </w:pPr>
            <w:r>
              <w:rPr>
                <w:rFonts w:hint="default"/>
                <w:lang w:val="en-US" w:eastAsia="zh-CN"/>
              </w:rPr>
              <w:t>适配</w:t>
            </w:r>
          </w:p>
        </w:tc>
        <w:tc>
          <w:tcPr>
            <w:tcW w:w="1168" w:type="dxa"/>
            <w:tcBorders>
              <w:right w:val="nil"/>
            </w:tcBorders>
            <w:shd w:val="clear" w:color="auto" w:fill="auto"/>
            <w:tcMar>
              <w:top w:w="60" w:type="dxa"/>
              <w:left w:w="120" w:type="dxa"/>
              <w:bottom w:w="60" w:type="dxa"/>
              <w:right w:w="120" w:type="dxa"/>
            </w:tcMar>
            <w:vAlign w:val="center"/>
          </w:tcPr>
          <w:p w14:paraId="03C803D1">
            <w:pPr>
              <w:snapToGrid w:val="0"/>
              <w:spacing w:line="360" w:lineRule="auto"/>
              <w:rPr>
                <w:rFonts w:hint="default"/>
              </w:rPr>
            </w:pPr>
            <w:r>
              <w:rPr>
                <w:rFonts w:hint="default"/>
                <w:lang w:val="en-US" w:eastAsia="zh-CN"/>
              </w:rPr>
              <w:t>适配</w:t>
            </w:r>
          </w:p>
        </w:tc>
        <w:tc>
          <w:tcPr>
            <w:tcW w:w="1168" w:type="dxa"/>
            <w:tcBorders>
              <w:right w:val="nil"/>
            </w:tcBorders>
            <w:shd w:val="clear" w:color="auto" w:fill="auto"/>
            <w:tcMar>
              <w:top w:w="60" w:type="dxa"/>
              <w:left w:w="120" w:type="dxa"/>
              <w:bottom w:w="60" w:type="dxa"/>
              <w:right w:w="120" w:type="dxa"/>
            </w:tcMar>
            <w:vAlign w:val="center"/>
          </w:tcPr>
          <w:p w14:paraId="715E15DC">
            <w:pPr>
              <w:snapToGrid w:val="0"/>
              <w:spacing w:line="360" w:lineRule="auto"/>
              <w:rPr>
                <w:rFonts w:hint="default"/>
              </w:rPr>
            </w:pPr>
            <w:r>
              <w:rPr>
                <w:rFonts w:hint="default"/>
                <w:lang w:val="en-US" w:eastAsia="zh-CN"/>
              </w:rPr>
              <w:t>适配</w:t>
            </w:r>
          </w:p>
        </w:tc>
        <w:tc>
          <w:tcPr>
            <w:tcW w:w="1389" w:type="dxa"/>
            <w:tcBorders>
              <w:right w:val="nil"/>
            </w:tcBorders>
            <w:shd w:val="clear" w:color="auto" w:fill="auto"/>
            <w:tcMar>
              <w:top w:w="60" w:type="dxa"/>
              <w:left w:w="120" w:type="dxa"/>
              <w:bottom w:w="60" w:type="dxa"/>
              <w:right w:w="120" w:type="dxa"/>
            </w:tcMar>
            <w:vAlign w:val="center"/>
          </w:tcPr>
          <w:p w14:paraId="150B9039">
            <w:pPr>
              <w:snapToGrid w:val="0"/>
              <w:spacing w:line="360" w:lineRule="auto"/>
              <w:rPr>
                <w:rFonts w:hint="default"/>
              </w:rPr>
            </w:pPr>
            <w:r>
              <w:rPr>
                <w:rFonts w:hint="default"/>
                <w:lang w:val="en-US" w:eastAsia="zh-CN"/>
              </w:rPr>
              <w:t>适配</w:t>
            </w:r>
          </w:p>
        </w:tc>
      </w:tr>
    </w:tbl>
    <w:p w14:paraId="2AACDEB6">
      <w:pPr>
        <w:spacing w:line="360" w:lineRule="auto"/>
        <w:rPr>
          <w:rFonts w:hint="default"/>
        </w:rPr>
      </w:pPr>
      <w:r>
        <w:rPr>
          <w:rFonts w:hint="default"/>
        </w:rPr>
        <w:t>4.1.2 路径系数与假设验证</w:t>
      </w:r>
    </w:p>
    <w:p w14:paraId="78F08C33">
      <w:pPr>
        <w:spacing w:line="360" w:lineRule="auto"/>
        <w:rPr>
          <w:rFonts w:hint="default"/>
        </w:rPr>
      </w:pPr>
      <w:r>
        <w:rPr>
          <w:rFonts w:hint="default"/>
        </w:rPr>
        <w:t>路径分析结果（见图 4-1 及表 4-2）显示，四个预设维度的假设路径均通过了 P&lt;0.001</w:t>
      </w:r>
      <w:r>
        <w:rPr>
          <w:rFonts w:hint="default"/>
          <w:lang w:val="en-US" w:eastAsia="zh-CN"/>
        </w:rPr>
        <w:t> 的显著性检验。</w:t>
      </w:r>
    </w:p>
    <w:p w14:paraId="0041CD84">
      <w:pPr>
        <w:spacing w:line="360" w:lineRule="auto"/>
        <w:rPr>
          <w:rFonts w:hint="default"/>
        </w:rPr>
      </w:pPr>
      <w:r>
        <w:rPr>
          <w:rFonts w:hint="default"/>
        </w:rPr>
        <w:t>硬件设施是基石（β=0.468）： “硬件设施”对满意度的标准化路径系数最高，表明在宏观层面，器材的完备性与场地的安全性仍是市民评价驿站的基础标准。</w:t>
      </w:r>
    </w:p>
    <w:p w14:paraId="3ECF5E67">
      <w:pPr>
        <w:spacing w:line="360" w:lineRule="auto"/>
        <w:rPr>
          <w:rFonts w:hint="default"/>
        </w:rPr>
      </w:pPr>
      <w:r>
        <w:rPr>
          <w:rFonts w:hint="default"/>
        </w:rPr>
        <w:t>软性服务是关键（β=0.392）： “软性服务”的影响力紧随其后，显著高于“便利程度”和“数智体验”。这说明在站点覆盖率逐步提高的当下，市民关注重心已从“有没有”转向“好不好”。</w:t>
      </w:r>
    </w:p>
    <w:p w14:paraId="23BD019B">
      <w:pPr>
        <w:spacing w:line="360" w:lineRule="auto"/>
        <w:rPr>
          <w:rFonts w:hint="default"/>
        </w:rPr>
      </w:pPr>
      <w:r>
        <w:rPr>
          <w:rFonts w:hint="default"/>
        </w:rPr>
        <w:t>数智体验的“线性低估”（β=0.273）： 值得注意的是，在 SEM 线性模型中，“数智体验”的系数相对较低。这可能是因为线性模型掩盖了智能化服务的“惊喜型”特征——即在低水平时影响不明显，但一旦突破特定阈值，将带来爆发式的效能提升。这正是下文引入非线性模型进行补充分析的必要性所在。</w:t>
      </w:r>
    </w:p>
    <w:p w14:paraId="470DA468">
      <w:pPr>
        <w:spacing w:line="360" w:lineRule="auto"/>
        <w:rPr>
          <w:rFonts w:hint="default"/>
        </w:rPr>
      </w:pPr>
      <w:r>
        <w:rPr>
          <w:rFonts w:hint="default"/>
        </w:rPr>
        <w:t>表 4-2 SEM 模型路径系数检验结果</w:t>
      </w:r>
    </w:p>
    <w:tbl>
      <w:tblPr>
        <w:tblStyle w:val="8"/>
        <w:tblW w:w="852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5"/>
        <w:gridCol w:w="1532"/>
        <w:gridCol w:w="2214"/>
        <w:gridCol w:w="991"/>
        <w:gridCol w:w="847"/>
        <w:gridCol w:w="933"/>
      </w:tblGrid>
      <w:tr w14:paraId="19783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1961" w:type="dxa"/>
            <w:tcBorders>
              <w:top w:val="nil"/>
              <w:right w:val="nil"/>
            </w:tcBorders>
            <w:shd w:val="clear" w:color="auto" w:fill="auto"/>
            <w:tcMar>
              <w:top w:w="60" w:type="dxa"/>
              <w:left w:w="120" w:type="dxa"/>
              <w:bottom w:w="60" w:type="dxa"/>
              <w:right w:w="120" w:type="dxa"/>
            </w:tcMar>
            <w:vAlign w:val="center"/>
          </w:tcPr>
          <w:p w14:paraId="16E7A4F1">
            <w:pPr>
              <w:keepNext/>
              <w:snapToGrid w:val="0"/>
              <w:spacing w:line="240" w:lineRule="auto"/>
              <w:ind w:left="0" w:leftChars="0" w:right="0" w:rightChars="0" w:firstLine="0" w:firstLineChars="0"/>
              <w:jc w:val="center"/>
              <w:rPr>
                <w:rFonts w:hint="default"/>
                <w:b/>
              </w:rPr>
            </w:pPr>
            <w:r>
              <w:rPr>
                <w:rFonts w:hint="default"/>
                <w:b/>
                <w:lang w:val="en-US" w:eastAsia="zh-CN"/>
              </w:rPr>
              <w:t>假设路径(</w:t>
            </w:r>
            <w:r>
              <w:rPr>
                <w:rFonts w:hint="default"/>
                <w:b/>
              </w:rPr>
              <w:t>HH</w:t>
            </w:r>
            <w:r>
              <w:rPr>
                <w:rFonts w:hint="default"/>
                <w:b/>
                <w:lang w:val="en-US" w:eastAsia="zh-CN"/>
              </w:rPr>
              <w:t>)</w:t>
            </w:r>
          </w:p>
        </w:tc>
        <w:tc>
          <w:tcPr>
            <w:tcW w:w="1502" w:type="dxa"/>
            <w:tcBorders>
              <w:top w:val="nil"/>
              <w:right w:val="nil"/>
            </w:tcBorders>
            <w:shd w:val="clear" w:color="auto" w:fill="auto"/>
            <w:tcMar>
              <w:top w:w="60" w:type="dxa"/>
              <w:left w:w="120" w:type="dxa"/>
              <w:bottom w:w="60" w:type="dxa"/>
              <w:right w:w="120" w:type="dxa"/>
            </w:tcMar>
            <w:vAlign w:val="center"/>
          </w:tcPr>
          <w:p w14:paraId="4CB79094">
            <w:pPr>
              <w:keepNext/>
              <w:snapToGrid w:val="0"/>
              <w:spacing w:line="240" w:lineRule="auto"/>
              <w:ind w:left="0" w:leftChars="0" w:right="0" w:rightChars="0" w:firstLine="0" w:firstLineChars="0"/>
              <w:jc w:val="center"/>
              <w:rPr>
                <w:rFonts w:hint="default"/>
                <w:b/>
              </w:rPr>
            </w:pPr>
            <w:r>
              <w:rPr>
                <w:rFonts w:hint="default"/>
                <w:b/>
                <w:lang w:val="en-US" w:eastAsia="zh-CN"/>
              </w:rPr>
              <w:t>路径关系</w:t>
            </w:r>
          </w:p>
        </w:tc>
        <w:tc>
          <w:tcPr>
            <w:tcW w:w="2184" w:type="dxa"/>
            <w:tcBorders>
              <w:top w:val="nil"/>
              <w:right w:val="nil"/>
            </w:tcBorders>
            <w:shd w:val="clear" w:color="auto" w:fill="auto"/>
            <w:tcMar>
              <w:top w:w="60" w:type="dxa"/>
              <w:left w:w="120" w:type="dxa"/>
              <w:bottom w:w="60" w:type="dxa"/>
              <w:right w:w="120" w:type="dxa"/>
            </w:tcMar>
            <w:vAlign w:val="center"/>
          </w:tcPr>
          <w:p w14:paraId="2AEEAEE9">
            <w:pPr>
              <w:keepNext/>
              <w:snapToGrid w:val="0"/>
              <w:spacing w:line="240" w:lineRule="auto"/>
              <w:ind w:left="0" w:leftChars="0" w:right="0" w:rightChars="0" w:firstLine="0" w:firstLineChars="0"/>
              <w:jc w:val="center"/>
              <w:rPr>
                <w:rFonts w:hint="default"/>
                <w:b/>
              </w:rPr>
            </w:pPr>
            <w:r>
              <w:rPr>
                <w:rFonts w:hint="default"/>
                <w:b/>
                <w:lang w:val="en-US" w:eastAsia="zh-CN"/>
              </w:rPr>
              <w:t>标准化系数(</w:t>
            </w:r>
            <w:r>
              <w:rPr>
                <w:rFonts w:hint="default"/>
                <w:b/>
              </w:rPr>
              <w:t>ββ</w:t>
            </w:r>
            <w:r>
              <w:rPr>
                <w:rFonts w:hint="default"/>
                <w:b/>
                <w:lang w:val="en-US" w:eastAsia="zh-CN"/>
              </w:rPr>
              <w:t>)</w:t>
            </w:r>
          </w:p>
        </w:tc>
        <w:tc>
          <w:tcPr>
            <w:tcW w:w="961" w:type="dxa"/>
            <w:tcBorders>
              <w:top w:val="nil"/>
              <w:right w:val="nil"/>
            </w:tcBorders>
            <w:shd w:val="clear" w:color="auto" w:fill="auto"/>
            <w:tcMar>
              <w:top w:w="60" w:type="dxa"/>
              <w:left w:w="120" w:type="dxa"/>
              <w:bottom w:w="60" w:type="dxa"/>
              <w:right w:w="120" w:type="dxa"/>
            </w:tcMar>
            <w:vAlign w:val="center"/>
          </w:tcPr>
          <w:p w14:paraId="0AE4515F">
            <w:pPr>
              <w:keepNext/>
              <w:snapToGrid w:val="0"/>
              <w:spacing w:line="240" w:lineRule="auto"/>
              <w:ind w:left="0" w:leftChars="0" w:right="0" w:rightChars="0" w:firstLine="0" w:firstLineChars="0"/>
              <w:jc w:val="center"/>
              <w:rPr>
                <w:rFonts w:hint="default"/>
                <w:b/>
              </w:rPr>
            </w:pPr>
            <w:r>
              <w:rPr>
                <w:rFonts w:hint="default"/>
                <w:b/>
                <w:lang w:val="en-US" w:eastAsia="zh-CN"/>
              </w:rPr>
              <w:t>S.E.</w:t>
            </w:r>
          </w:p>
        </w:tc>
        <w:tc>
          <w:tcPr>
            <w:tcW w:w="817" w:type="dxa"/>
            <w:tcBorders>
              <w:top w:val="nil"/>
              <w:right w:val="nil"/>
            </w:tcBorders>
            <w:shd w:val="clear" w:color="auto" w:fill="auto"/>
            <w:tcMar>
              <w:top w:w="60" w:type="dxa"/>
              <w:left w:w="120" w:type="dxa"/>
              <w:bottom w:w="60" w:type="dxa"/>
              <w:right w:w="120" w:type="dxa"/>
            </w:tcMar>
            <w:vAlign w:val="center"/>
          </w:tcPr>
          <w:p w14:paraId="334364D3">
            <w:pPr>
              <w:keepNext/>
              <w:snapToGrid w:val="0"/>
              <w:spacing w:line="240" w:lineRule="auto"/>
              <w:ind w:left="0" w:leftChars="0" w:right="0" w:rightChars="0" w:firstLine="0" w:firstLineChars="0"/>
              <w:jc w:val="center"/>
              <w:rPr>
                <w:rFonts w:hint="default"/>
                <w:b/>
              </w:rPr>
            </w:pPr>
            <w:r>
              <w:rPr>
                <w:rFonts w:hint="default"/>
                <w:b/>
                <w:lang w:val="en-US" w:eastAsia="zh-CN"/>
              </w:rPr>
              <w:t>P值</w:t>
            </w:r>
          </w:p>
        </w:tc>
        <w:tc>
          <w:tcPr>
            <w:tcW w:w="888" w:type="dxa"/>
            <w:tcBorders>
              <w:top w:val="nil"/>
              <w:right w:val="nil"/>
            </w:tcBorders>
            <w:shd w:val="clear" w:color="auto" w:fill="auto"/>
            <w:tcMar>
              <w:top w:w="60" w:type="dxa"/>
              <w:left w:w="120" w:type="dxa"/>
              <w:bottom w:w="60" w:type="dxa"/>
              <w:right w:w="120" w:type="dxa"/>
            </w:tcMar>
            <w:vAlign w:val="center"/>
          </w:tcPr>
          <w:p w14:paraId="01B1E830">
            <w:pPr>
              <w:keepNext/>
              <w:snapToGrid w:val="0"/>
              <w:spacing w:line="240" w:lineRule="auto"/>
              <w:ind w:left="0" w:leftChars="0" w:right="0" w:rightChars="0" w:firstLine="0" w:firstLineChars="0"/>
              <w:jc w:val="center"/>
              <w:rPr>
                <w:rFonts w:hint="default"/>
                <w:b/>
              </w:rPr>
            </w:pPr>
            <w:r>
              <w:rPr>
                <w:rFonts w:hint="default"/>
                <w:b/>
                <w:lang w:val="en-US" w:eastAsia="zh-CN"/>
              </w:rPr>
              <w:t>结论</w:t>
            </w:r>
          </w:p>
        </w:tc>
      </w:tr>
      <w:tr w14:paraId="0C5B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961" w:type="dxa"/>
            <w:tcBorders>
              <w:right w:val="nil"/>
            </w:tcBorders>
            <w:shd w:val="clear" w:color="auto" w:fill="auto"/>
            <w:tcMar>
              <w:top w:w="60" w:type="dxa"/>
              <w:left w:w="120" w:type="dxa"/>
              <w:bottom w:w="60" w:type="dxa"/>
              <w:right w:w="120" w:type="dxa"/>
            </w:tcMar>
            <w:vAlign w:val="center"/>
          </w:tcPr>
          <w:p w14:paraId="35FE15E3">
            <w:pPr>
              <w:keepNext/>
              <w:snapToGrid w:val="0"/>
              <w:spacing w:line="240" w:lineRule="auto"/>
              <w:ind w:left="0" w:leftChars="0" w:right="0" w:rightChars="0" w:firstLine="0" w:firstLineChars="0"/>
              <w:jc w:val="center"/>
              <w:rPr>
                <w:rFonts w:hint="default"/>
              </w:rPr>
            </w:pPr>
            <w:r>
              <w:rPr>
                <w:rFonts w:hint="default"/>
              </w:rPr>
              <w:t>H1H1</w:t>
            </w:r>
          </w:p>
        </w:tc>
        <w:tc>
          <w:tcPr>
            <w:tcW w:w="1502" w:type="dxa"/>
            <w:tcBorders>
              <w:right w:val="nil"/>
            </w:tcBorders>
            <w:shd w:val="clear" w:color="auto" w:fill="auto"/>
            <w:tcMar>
              <w:top w:w="60" w:type="dxa"/>
              <w:left w:w="120" w:type="dxa"/>
              <w:bottom w:w="60" w:type="dxa"/>
              <w:right w:w="120" w:type="dxa"/>
            </w:tcMar>
            <w:vAlign w:val="center"/>
          </w:tcPr>
          <w:p w14:paraId="400ABA40">
            <w:pPr>
              <w:keepNext/>
              <w:snapToGrid w:val="0"/>
              <w:spacing w:line="240" w:lineRule="auto"/>
              <w:ind w:left="0" w:leftChars="0" w:right="0" w:rightChars="0" w:firstLine="0" w:firstLineChars="0"/>
              <w:jc w:val="center"/>
              <w:rPr>
                <w:rFonts w:hint="default"/>
              </w:rPr>
            </w:pPr>
            <w:r>
              <w:rPr>
                <w:rFonts w:hint="default"/>
                <w:lang w:val="en-US" w:eastAsia="zh-CN"/>
              </w:rPr>
              <w:t>硬件设施 </w:t>
            </w:r>
          </w:p>
          <w:p w14:paraId="2ACA01B1">
            <w:pPr>
              <w:keepNext/>
              <w:snapToGrid w:val="0"/>
              <w:spacing w:line="240" w:lineRule="auto"/>
              <w:ind w:left="0" w:leftChars="0" w:right="0" w:rightChars="0" w:firstLine="0" w:firstLineChars="0"/>
              <w:jc w:val="center"/>
              <w:rPr>
                <w:rFonts w:hint="default"/>
              </w:rPr>
            </w:pPr>
            <w:r>
              <w:rPr>
                <w:rFonts w:hint="default"/>
              </w:rPr>
              <w:t>→→</w:t>
            </w:r>
          </w:p>
          <w:p w14:paraId="4B523A30">
            <w:pPr>
              <w:keepNext/>
              <w:snapToGrid w:val="0"/>
              <w:spacing w:line="240" w:lineRule="auto"/>
              <w:ind w:left="0" w:leftChars="0" w:right="0" w:rightChars="0" w:firstLine="0" w:firstLineChars="0"/>
              <w:jc w:val="center"/>
              <w:rPr>
                <w:rFonts w:hint="default"/>
              </w:rPr>
            </w:pPr>
            <w:r>
              <w:rPr>
                <w:rFonts w:hint="default"/>
                <w:lang w:val="en-US" w:eastAsia="zh-CN"/>
              </w:rPr>
              <w:t> 满意度</w:t>
            </w:r>
          </w:p>
        </w:tc>
        <w:tc>
          <w:tcPr>
            <w:tcW w:w="2184" w:type="dxa"/>
            <w:tcBorders>
              <w:right w:val="nil"/>
            </w:tcBorders>
            <w:shd w:val="clear" w:color="auto" w:fill="auto"/>
            <w:tcMar>
              <w:top w:w="60" w:type="dxa"/>
              <w:left w:w="120" w:type="dxa"/>
              <w:bottom w:w="60" w:type="dxa"/>
              <w:right w:w="120" w:type="dxa"/>
            </w:tcMar>
            <w:vAlign w:val="center"/>
          </w:tcPr>
          <w:p w14:paraId="64D1C7FE">
            <w:pPr>
              <w:keepNext/>
              <w:snapToGrid w:val="0"/>
              <w:spacing w:line="240" w:lineRule="auto"/>
              <w:ind w:left="0" w:leftChars="0" w:right="0" w:rightChars="0" w:firstLine="0" w:firstLineChars="0"/>
              <w:jc w:val="center"/>
              <w:rPr>
                <w:rFonts w:hint="default"/>
              </w:rPr>
            </w:pPr>
            <w:r>
              <w:rPr>
                <w:rFonts w:hint="default"/>
                <w:lang w:val="en-US" w:eastAsia="zh-CN"/>
              </w:rPr>
              <w:t>0.468</w:t>
            </w:r>
          </w:p>
        </w:tc>
        <w:tc>
          <w:tcPr>
            <w:tcW w:w="961" w:type="dxa"/>
            <w:tcBorders>
              <w:right w:val="nil"/>
            </w:tcBorders>
            <w:shd w:val="clear" w:color="auto" w:fill="auto"/>
            <w:tcMar>
              <w:top w:w="60" w:type="dxa"/>
              <w:left w:w="120" w:type="dxa"/>
              <w:bottom w:w="60" w:type="dxa"/>
              <w:right w:w="120" w:type="dxa"/>
            </w:tcMar>
            <w:vAlign w:val="center"/>
          </w:tcPr>
          <w:p w14:paraId="174A2708">
            <w:pPr>
              <w:keepNext/>
              <w:snapToGrid w:val="0"/>
              <w:spacing w:line="240" w:lineRule="auto"/>
              <w:ind w:left="0" w:leftChars="0" w:right="0" w:rightChars="0" w:firstLine="0" w:firstLineChars="0"/>
              <w:jc w:val="right"/>
              <w:rPr>
                <w:rFonts w:hint="default"/>
              </w:rPr>
            </w:pPr>
            <w:r>
              <w:rPr>
                <w:rFonts w:hint="default"/>
                <w:lang w:val="en-US" w:eastAsia="zh-CN"/>
              </w:rPr>
              <w:t>0.018</w:t>
            </w:r>
          </w:p>
        </w:tc>
        <w:tc>
          <w:tcPr>
            <w:tcW w:w="817" w:type="dxa"/>
            <w:tcBorders>
              <w:right w:val="nil"/>
            </w:tcBorders>
            <w:shd w:val="clear" w:color="auto" w:fill="auto"/>
            <w:tcMar>
              <w:top w:w="60" w:type="dxa"/>
              <w:left w:w="120" w:type="dxa"/>
              <w:bottom w:w="60" w:type="dxa"/>
              <w:right w:w="120" w:type="dxa"/>
            </w:tcMar>
            <w:vAlign w:val="center"/>
          </w:tcPr>
          <w:p w14:paraId="15EB928C">
            <w:pPr>
              <w:keepNext/>
              <w:snapToGrid w:val="0"/>
              <w:spacing w:line="240" w:lineRule="auto"/>
              <w:ind w:left="0" w:leftChars="0" w:right="0" w:rightChars="0" w:firstLine="0" w:firstLineChars="0"/>
              <w:jc w:val="center"/>
              <w:rPr>
                <w:rFonts w:hint="default"/>
              </w:rPr>
            </w:pPr>
            <w:r>
              <w:rPr>
                <w:rFonts w:hint="default"/>
                <w:lang w:val="en-US" w:eastAsia="zh-CN"/>
              </w:rPr>
              <w:t>***</w:t>
            </w:r>
          </w:p>
        </w:tc>
        <w:tc>
          <w:tcPr>
            <w:tcW w:w="888" w:type="dxa"/>
            <w:tcBorders>
              <w:right w:val="nil"/>
            </w:tcBorders>
            <w:shd w:val="clear" w:color="auto" w:fill="auto"/>
            <w:tcMar>
              <w:top w:w="60" w:type="dxa"/>
              <w:left w:w="120" w:type="dxa"/>
              <w:bottom w:w="60" w:type="dxa"/>
              <w:right w:w="120" w:type="dxa"/>
            </w:tcMar>
            <w:vAlign w:val="center"/>
          </w:tcPr>
          <w:p w14:paraId="6C838EE9">
            <w:pPr>
              <w:keepNext/>
              <w:snapToGrid w:val="0"/>
              <w:spacing w:line="240" w:lineRule="auto"/>
              <w:ind w:left="0" w:leftChars="0" w:right="0" w:rightChars="0" w:firstLine="0" w:firstLineChars="0"/>
              <w:jc w:val="center"/>
              <w:rPr>
                <w:rFonts w:hint="default"/>
              </w:rPr>
            </w:pPr>
            <w:r>
              <w:rPr>
                <w:rFonts w:hint="default"/>
                <w:lang w:val="en-US" w:eastAsia="zh-CN"/>
              </w:rPr>
              <w:t>支持</w:t>
            </w:r>
          </w:p>
        </w:tc>
      </w:tr>
      <w:tr w14:paraId="07BED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961" w:type="dxa"/>
            <w:tcBorders>
              <w:right w:val="nil"/>
            </w:tcBorders>
            <w:shd w:val="clear" w:color="auto" w:fill="auto"/>
            <w:tcMar>
              <w:top w:w="60" w:type="dxa"/>
              <w:left w:w="120" w:type="dxa"/>
              <w:bottom w:w="60" w:type="dxa"/>
              <w:right w:w="120" w:type="dxa"/>
            </w:tcMar>
            <w:vAlign w:val="center"/>
          </w:tcPr>
          <w:p w14:paraId="0E5B113F">
            <w:pPr>
              <w:keepNext/>
              <w:snapToGrid w:val="0"/>
              <w:spacing w:line="240" w:lineRule="auto"/>
              <w:ind w:left="0" w:leftChars="0" w:right="0" w:rightChars="0" w:firstLine="0" w:firstLineChars="0"/>
              <w:jc w:val="center"/>
              <w:rPr>
                <w:rFonts w:hint="default"/>
              </w:rPr>
            </w:pPr>
            <w:r>
              <w:rPr>
                <w:rFonts w:hint="default"/>
              </w:rPr>
              <w:t>H2H2</w:t>
            </w:r>
          </w:p>
        </w:tc>
        <w:tc>
          <w:tcPr>
            <w:tcW w:w="1502" w:type="dxa"/>
            <w:tcBorders>
              <w:right w:val="nil"/>
            </w:tcBorders>
            <w:shd w:val="clear" w:color="auto" w:fill="auto"/>
            <w:tcMar>
              <w:top w:w="60" w:type="dxa"/>
              <w:left w:w="120" w:type="dxa"/>
              <w:bottom w:w="60" w:type="dxa"/>
              <w:right w:w="120" w:type="dxa"/>
            </w:tcMar>
            <w:vAlign w:val="center"/>
          </w:tcPr>
          <w:p w14:paraId="6378C489">
            <w:pPr>
              <w:keepNext/>
              <w:snapToGrid w:val="0"/>
              <w:spacing w:line="240" w:lineRule="auto"/>
              <w:ind w:left="0" w:leftChars="0" w:right="0" w:rightChars="0" w:firstLine="0" w:firstLineChars="0"/>
              <w:jc w:val="center"/>
              <w:rPr>
                <w:rFonts w:hint="default"/>
              </w:rPr>
            </w:pPr>
            <w:r>
              <w:rPr>
                <w:rFonts w:hint="default"/>
                <w:lang w:val="en-US" w:eastAsia="zh-CN"/>
              </w:rPr>
              <w:t>软性服务 </w:t>
            </w:r>
          </w:p>
          <w:p w14:paraId="795E38E3">
            <w:pPr>
              <w:keepNext/>
              <w:snapToGrid w:val="0"/>
              <w:spacing w:line="240" w:lineRule="auto"/>
              <w:ind w:left="0" w:leftChars="0" w:right="0" w:rightChars="0" w:firstLine="0" w:firstLineChars="0"/>
              <w:jc w:val="center"/>
              <w:rPr>
                <w:rFonts w:hint="default"/>
              </w:rPr>
            </w:pPr>
            <w:r>
              <w:rPr>
                <w:rFonts w:hint="default"/>
              </w:rPr>
              <w:t>→→</w:t>
            </w:r>
          </w:p>
          <w:p w14:paraId="7AE7D3B6">
            <w:pPr>
              <w:keepNext/>
              <w:snapToGrid w:val="0"/>
              <w:spacing w:line="240" w:lineRule="auto"/>
              <w:ind w:left="0" w:leftChars="0" w:right="0" w:rightChars="0" w:firstLine="0" w:firstLineChars="0"/>
              <w:jc w:val="center"/>
              <w:rPr>
                <w:rFonts w:hint="default"/>
              </w:rPr>
            </w:pPr>
            <w:r>
              <w:rPr>
                <w:rFonts w:hint="default"/>
                <w:lang w:val="en-US" w:eastAsia="zh-CN"/>
              </w:rPr>
              <w:t> 满意度</w:t>
            </w:r>
          </w:p>
        </w:tc>
        <w:tc>
          <w:tcPr>
            <w:tcW w:w="2184" w:type="dxa"/>
            <w:tcBorders>
              <w:right w:val="nil"/>
            </w:tcBorders>
            <w:shd w:val="clear" w:color="auto" w:fill="auto"/>
            <w:tcMar>
              <w:top w:w="60" w:type="dxa"/>
              <w:left w:w="120" w:type="dxa"/>
              <w:bottom w:w="60" w:type="dxa"/>
              <w:right w:w="120" w:type="dxa"/>
            </w:tcMar>
            <w:vAlign w:val="center"/>
          </w:tcPr>
          <w:p w14:paraId="1A434026">
            <w:pPr>
              <w:keepNext/>
              <w:snapToGrid w:val="0"/>
              <w:spacing w:line="240" w:lineRule="auto"/>
              <w:ind w:left="0" w:leftChars="0" w:right="0" w:rightChars="0" w:firstLine="0" w:firstLineChars="0"/>
              <w:jc w:val="center"/>
              <w:rPr>
                <w:rFonts w:hint="default"/>
              </w:rPr>
            </w:pPr>
            <w:r>
              <w:rPr>
                <w:rFonts w:hint="default"/>
                <w:lang w:val="en-US" w:eastAsia="zh-CN"/>
              </w:rPr>
              <w:t>0.392</w:t>
            </w:r>
          </w:p>
        </w:tc>
        <w:tc>
          <w:tcPr>
            <w:tcW w:w="961" w:type="dxa"/>
            <w:tcBorders>
              <w:right w:val="nil"/>
            </w:tcBorders>
            <w:shd w:val="clear" w:color="auto" w:fill="auto"/>
            <w:tcMar>
              <w:top w:w="60" w:type="dxa"/>
              <w:left w:w="120" w:type="dxa"/>
              <w:bottom w:w="60" w:type="dxa"/>
              <w:right w:w="120" w:type="dxa"/>
            </w:tcMar>
            <w:vAlign w:val="center"/>
          </w:tcPr>
          <w:p w14:paraId="69F33D54">
            <w:pPr>
              <w:keepNext/>
              <w:snapToGrid w:val="0"/>
              <w:spacing w:line="240" w:lineRule="auto"/>
              <w:ind w:left="0" w:leftChars="0" w:right="0" w:rightChars="0" w:firstLine="0" w:firstLineChars="0"/>
              <w:jc w:val="right"/>
              <w:rPr>
                <w:rFonts w:hint="default"/>
              </w:rPr>
            </w:pPr>
            <w:r>
              <w:rPr>
                <w:rFonts w:hint="default"/>
                <w:lang w:val="en-US" w:eastAsia="zh-CN"/>
              </w:rPr>
              <w:t>0.032</w:t>
            </w:r>
          </w:p>
        </w:tc>
        <w:tc>
          <w:tcPr>
            <w:tcW w:w="817" w:type="dxa"/>
            <w:tcBorders>
              <w:right w:val="nil"/>
            </w:tcBorders>
            <w:shd w:val="clear" w:color="auto" w:fill="auto"/>
            <w:tcMar>
              <w:top w:w="60" w:type="dxa"/>
              <w:left w:w="120" w:type="dxa"/>
              <w:bottom w:w="60" w:type="dxa"/>
              <w:right w:w="120" w:type="dxa"/>
            </w:tcMar>
            <w:vAlign w:val="center"/>
          </w:tcPr>
          <w:p w14:paraId="624CDF39">
            <w:pPr>
              <w:keepNext/>
              <w:snapToGrid w:val="0"/>
              <w:spacing w:line="240" w:lineRule="auto"/>
              <w:ind w:left="0" w:leftChars="0" w:right="0" w:rightChars="0" w:firstLine="0" w:firstLineChars="0"/>
              <w:jc w:val="center"/>
              <w:rPr>
                <w:rFonts w:hint="default"/>
              </w:rPr>
            </w:pPr>
            <w:r>
              <w:rPr>
                <w:rFonts w:hint="default"/>
                <w:lang w:val="en-US" w:eastAsia="zh-CN"/>
              </w:rPr>
              <w:t>***</w:t>
            </w:r>
          </w:p>
        </w:tc>
        <w:tc>
          <w:tcPr>
            <w:tcW w:w="888" w:type="dxa"/>
            <w:tcBorders>
              <w:right w:val="nil"/>
            </w:tcBorders>
            <w:shd w:val="clear" w:color="auto" w:fill="auto"/>
            <w:tcMar>
              <w:top w:w="60" w:type="dxa"/>
              <w:left w:w="120" w:type="dxa"/>
              <w:bottom w:w="60" w:type="dxa"/>
              <w:right w:w="120" w:type="dxa"/>
            </w:tcMar>
            <w:vAlign w:val="center"/>
          </w:tcPr>
          <w:p w14:paraId="2A13C028">
            <w:pPr>
              <w:keepNext/>
              <w:snapToGrid w:val="0"/>
              <w:spacing w:line="240" w:lineRule="auto"/>
              <w:ind w:left="0" w:leftChars="0" w:right="0" w:rightChars="0" w:firstLine="0" w:firstLineChars="0"/>
              <w:jc w:val="center"/>
              <w:rPr>
                <w:rFonts w:hint="default"/>
              </w:rPr>
            </w:pPr>
            <w:r>
              <w:rPr>
                <w:rFonts w:hint="default"/>
                <w:lang w:val="en-US" w:eastAsia="zh-CN"/>
              </w:rPr>
              <w:t>支持</w:t>
            </w:r>
          </w:p>
        </w:tc>
      </w:tr>
      <w:tr w14:paraId="146C5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961" w:type="dxa"/>
            <w:tcBorders>
              <w:right w:val="nil"/>
            </w:tcBorders>
            <w:shd w:val="clear" w:color="auto" w:fill="auto"/>
            <w:tcMar>
              <w:top w:w="60" w:type="dxa"/>
              <w:left w:w="120" w:type="dxa"/>
              <w:bottom w:w="60" w:type="dxa"/>
              <w:right w:w="120" w:type="dxa"/>
            </w:tcMar>
            <w:vAlign w:val="center"/>
          </w:tcPr>
          <w:p w14:paraId="5F5CF6CF">
            <w:pPr>
              <w:keepNext/>
              <w:snapToGrid w:val="0"/>
              <w:spacing w:line="240" w:lineRule="auto"/>
              <w:ind w:left="0" w:leftChars="0" w:right="0" w:rightChars="0" w:firstLine="0" w:firstLineChars="0"/>
              <w:jc w:val="center"/>
              <w:rPr>
                <w:rFonts w:hint="default"/>
              </w:rPr>
            </w:pPr>
            <w:r>
              <w:rPr>
                <w:rFonts w:hint="default"/>
              </w:rPr>
              <w:t>H3H3</w:t>
            </w:r>
          </w:p>
        </w:tc>
        <w:tc>
          <w:tcPr>
            <w:tcW w:w="1502" w:type="dxa"/>
            <w:tcBorders>
              <w:right w:val="nil"/>
            </w:tcBorders>
            <w:shd w:val="clear" w:color="auto" w:fill="auto"/>
            <w:tcMar>
              <w:top w:w="60" w:type="dxa"/>
              <w:left w:w="120" w:type="dxa"/>
              <w:bottom w:w="60" w:type="dxa"/>
              <w:right w:w="120" w:type="dxa"/>
            </w:tcMar>
            <w:vAlign w:val="center"/>
          </w:tcPr>
          <w:p w14:paraId="5E88AB61">
            <w:pPr>
              <w:keepNext/>
              <w:snapToGrid w:val="0"/>
              <w:spacing w:line="240" w:lineRule="auto"/>
              <w:ind w:left="0" w:leftChars="0" w:right="0" w:rightChars="0" w:firstLine="0" w:firstLineChars="0"/>
              <w:jc w:val="center"/>
              <w:rPr>
                <w:rFonts w:hint="default"/>
              </w:rPr>
            </w:pPr>
            <w:r>
              <w:rPr>
                <w:rFonts w:hint="default"/>
                <w:lang w:val="en-US" w:eastAsia="zh-CN"/>
              </w:rPr>
              <w:t>数智体验 </w:t>
            </w:r>
          </w:p>
          <w:p w14:paraId="6F1C85F4">
            <w:pPr>
              <w:keepNext/>
              <w:snapToGrid w:val="0"/>
              <w:spacing w:line="240" w:lineRule="auto"/>
              <w:ind w:left="0" w:leftChars="0" w:right="0" w:rightChars="0" w:firstLine="0" w:firstLineChars="0"/>
              <w:jc w:val="center"/>
              <w:rPr>
                <w:rFonts w:hint="default"/>
              </w:rPr>
            </w:pPr>
            <w:r>
              <w:rPr>
                <w:rFonts w:hint="default"/>
              </w:rPr>
              <w:t>→→</w:t>
            </w:r>
          </w:p>
          <w:p w14:paraId="65B09713">
            <w:pPr>
              <w:keepNext/>
              <w:snapToGrid w:val="0"/>
              <w:spacing w:line="240" w:lineRule="auto"/>
              <w:ind w:left="0" w:leftChars="0" w:right="0" w:rightChars="0" w:firstLine="0" w:firstLineChars="0"/>
              <w:jc w:val="center"/>
              <w:rPr>
                <w:rFonts w:hint="default"/>
              </w:rPr>
            </w:pPr>
            <w:r>
              <w:rPr>
                <w:rFonts w:hint="default"/>
                <w:lang w:val="en-US" w:eastAsia="zh-CN"/>
              </w:rPr>
              <w:t> 满意度</w:t>
            </w:r>
          </w:p>
        </w:tc>
        <w:tc>
          <w:tcPr>
            <w:tcW w:w="2184" w:type="dxa"/>
            <w:tcBorders>
              <w:right w:val="nil"/>
            </w:tcBorders>
            <w:shd w:val="clear" w:color="auto" w:fill="auto"/>
            <w:tcMar>
              <w:top w:w="60" w:type="dxa"/>
              <w:left w:w="120" w:type="dxa"/>
              <w:bottom w:w="60" w:type="dxa"/>
              <w:right w:w="120" w:type="dxa"/>
            </w:tcMar>
            <w:vAlign w:val="center"/>
          </w:tcPr>
          <w:p w14:paraId="786A656B">
            <w:pPr>
              <w:keepNext/>
              <w:snapToGrid w:val="0"/>
              <w:spacing w:line="240" w:lineRule="auto"/>
              <w:ind w:left="0" w:leftChars="0" w:right="0" w:rightChars="0" w:firstLine="0" w:firstLineChars="0"/>
              <w:jc w:val="center"/>
              <w:rPr>
                <w:rFonts w:hint="default"/>
              </w:rPr>
            </w:pPr>
            <w:r>
              <w:rPr>
                <w:rFonts w:hint="default"/>
                <w:lang w:val="en-US" w:eastAsia="zh-CN"/>
              </w:rPr>
              <w:t>0.273</w:t>
            </w:r>
          </w:p>
        </w:tc>
        <w:tc>
          <w:tcPr>
            <w:tcW w:w="961" w:type="dxa"/>
            <w:tcBorders>
              <w:right w:val="nil"/>
            </w:tcBorders>
            <w:shd w:val="clear" w:color="auto" w:fill="auto"/>
            <w:tcMar>
              <w:top w:w="60" w:type="dxa"/>
              <w:left w:w="120" w:type="dxa"/>
              <w:bottom w:w="60" w:type="dxa"/>
              <w:right w:w="120" w:type="dxa"/>
            </w:tcMar>
            <w:vAlign w:val="center"/>
          </w:tcPr>
          <w:p w14:paraId="71A6F7FA">
            <w:pPr>
              <w:keepNext/>
              <w:snapToGrid w:val="0"/>
              <w:spacing w:line="240" w:lineRule="auto"/>
              <w:ind w:left="0" w:leftChars="0" w:right="0" w:rightChars="0" w:firstLine="0" w:firstLineChars="0"/>
              <w:jc w:val="right"/>
              <w:rPr>
                <w:rFonts w:hint="default"/>
              </w:rPr>
            </w:pPr>
            <w:r>
              <w:rPr>
                <w:rFonts w:hint="default"/>
                <w:lang w:val="en-US" w:eastAsia="zh-CN"/>
              </w:rPr>
              <w:t>0.013</w:t>
            </w:r>
          </w:p>
        </w:tc>
        <w:tc>
          <w:tcPr>
            <w:tcW w:w="817" w:type="dxa"/>
            <w:tcBorders>
              <w:right w:val="nil"/>
            </w:tcBorders>
            <w:shd w:val="clear" w:color="auto" w:fill="auto"/>
            <w:tcMar>
              <w:top w:w="60" w:type="dxa"/>
              <w:left w:w="120" w:type="dxa"/>
              <w:bottom w:w="60" w:type="dxa"/>
              <w:right w:w="120" w:type="dxa"/>
            </w:tcMar>
            <w:vAlign w:val="center"/>
          </w:tcPr>
          <w:p w14:paraId="46BBBB42">
            <w:pPr>
              <w:keepNext/>
              <w:snapToGrid w:val="0"/>
              <w:spacing w:line="240" w:lineRule="auto"/>
              <w:ind w:left="0" w:leftChars="0" w:right="0" w:rightChars="0" w:firstLine="0" w:firstLineChars="0"/>
              <w:jc w:val="center"/>
              <w:rPr>
                <w:rFonts w:hint="default"/>
              </w:rPr>
            </w:pPr>
            <w:r>
              <w:rPr>
                <w:rFonts w:hint="default"/>
                <w:lang w:val="en-US" w:eastAsia="zh-CN"/>
              </w:rPr>
              <w:t>***</w:t>
            </w:r>
          </w:p>
        </w:tc>
        <w:tc>
          <w:tcPr>
            <w:tcW w:w="888" w:type="dxa"/>
            <w:tcBorders>
              <w:right w:val="nil"/>
            </w:tcBorders>
            <w:shd w:val="clear" w:color="auto" w:fill="auto"/>
            <w:tcMar>
              <w:top w:w="60" w:type="dxa"/>
              <w:left w:w="120" w:type="dxa"/>
              <w:bottom w:w="60" w:type="dxa"/>
              <w:right w:w="120" w:type="dxa"/>
            </w:tcMar>
            <w:vAlign w:val="center"/>
          </w:tcPr>
          <w:p w14:paraId="233550FB">
            <w:pPr>
              <w:keepNext/>
              <w:snapToGrid w:val="0"/>
              <w:spacing w:line="240" w:lineRule="auto"/>
              <w:ind w:left="0" w:leftChars="0" w:right="0" w:rightChars="0" w:firstLine="0" w:firstLineChars="0"/>
              <w:jc w:val="center"/>
              <w:rPr>
                <w:rFonts w:hint="default"/>
              </w:rPr>
            </w:pPr>
            <w:r>
              <w:rPr>
                <w:rFonts w:hint="default"/>
                <w:lang w:val="en-US" w:eastAsia="zh-CN"/>
              </w:rPr>
              <w:t>支持</w:t>
            </w:r>
          </w:p>
        </w:tc>
      </w:tr>
      <w:tr w14:paraId="5667F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961" w:type="dxa"/>
            <w:tcBorders>
              <w:right w:val="nil"/>
            </w:tcBorders>
            <w:shd w:val="clear" w:color="auto" w:fill="auto"/>
            <w:tcMar>
              <w:top w:w="60" w:type="dxa"/>
              <w:left w:w="120" w:type="dxa"/>
              <w:bottom w:w="60" w:type="dxa"/>
              <w:right w:w="120" w:type="dxa"/>
            </w:tcMar>
            <w:vAlign w:val="center"/>
          </w:tcPr>
          <w:p w14:paraId="3344A143">
            <w:pPr>
              <w:keepNext/>
              <w:snapToGrid w:val="0"/>
              <w:spacing w:line="240" w:lineRule="auto"/>
              <w:ind w:left="0" w:leftChars="0" w:right="0" w:rightChars="0" w:firstLine="0" w:firstLineChars="0"/>
              <w:jc w:val="center"/>
              <w:rPr>
                <w:rFonts w:hint="default"/>
              </w:rPr>
            </w:pPr>
            <w:r>
              <w:rPr>
                <w:rFonts w:hint="default"/>
              </w:rPr>
              <w:t>H4H4</w:t>
            </w:r>
          </w:p>
        </w:tc>
        <w:tc>
          <w:tcPr>
            <w:tcW w:w="1502" w:type="dxa"/>
            <w:tcBorders>
              <w:right w:val="nil"/>
            </w:tcBorders>
            <w:shd w:val="clear" w:color="auto" w:fill="auto"/>
            <w:tcMar>
              <w:top w:w="60" w:type="dxa"/>
              <w:left w:w="120" w:type="dxa"/>
              <w:bottom w:w="60" w:type="dxa"/>
              <w:right w:w="120" w:type="dxa"/>
            </w:tcMar>
            <w:vAlign w:val="center"/>
          </w:tcPr>
          <w:p w14:paraId="4A03CF3E">
            <w:pPr>
              <w:keepNext/>
              <w:snapToGrid w:val="0"/>
              <w:spacing w:line="240" w:lineRule="auto"/>
              <w:ind w:left="0" w:leftChars="0" w:right="0" w:rightChars="0" w:firstLine="0" w:firstLineChars="0"/>
              <w:jc w:val="center"/>
              <w:rPr>
                <w:rFonts w:hint="default"/>
              </w:rPr>
            </w:pPr>
            <w:r>
              <w:rPr>
                <w:rFonts w:hint="default"/>
                <w:lang w:val="en-US" w:eastAsia="zh-CN"/>
              </w:rPr>
              <w:t>便利程度 </w:t>
            </w:r>
          </w:p>
          <w:p w14:paraId="1405A724">
            <w:pPr>
              <w:keepNext/>
              <w:snapToGrid w:val="0"/>
              <w:spacing w:line="240" w:lineRule="auto"/>
              <w:ind w:left="0" w:leftChars="0" w:right="0" w:rightChars="0" w:firstLine="0" w:firstLineChars="0"/>
              <w:jc w:val="center"/>
              <w:rPr>
                <w:rFonts w:hint="default"/>
              </w:rPr>
            </w:pPr>
            <w:r>
              <w:rPr>
                <w:rFonts w:hint="default"/>
              </w:rPr>
              <w:t>→→</w:t>
            </w:r>
          </w:p>
          <w:p w14:paraId="29DE43B3">
            <w:pPr>
              <w:keepNext/>
              <w:snapToGrid w:val="0"/>
              <w:spacing w:line="240" w:lineRule="auto"/>
              <w:ind w:left="0" w:leftChars="0" w:right="0" w:rightChars="0" w:firstLine="0" w:firstLineChars="0"/>
              <w:jc w:val="center"/>
              <w:rPr>
                <w:rFonts w:hint="default"/>
              </w:rPr>
            </w:pPr>
            <w:r>
              <w:rPr>
                <w:rFonts w:hint="default"/>
                <w:lang w:val="en-US" w:eastAsia="zh-CN"/>
              </w:rPr>
              <w:t> 满意度</w:t>
            </w:r>
          </w:p>
        </w:tc>
        <w:tc>
          <w:tcPr>
            <w:tcW w:w="2184" w:type="dxa"/>
            <w:tcBorders>
              <w:right w:val="nil"/>
            </w:tcBorders>
            <w:shd w:val="clear" w:color="auto" w:fill="auto"/>
            <w:tcMar>
              <w:top w:w="60" w:type="dxa"/>
              <w:left w:w="120" w:type="dxa"/>
              <w:bottom w:w="60" w:type="dxa"/>
              <w:right w:w="120" w:type="dxa"/>
            </w:tcMar>
            <w:vAlign w:val="center"/>
          </w:tcPr>
          <w:p w14:paraId="39ECA79D">
            <w:pPr>
              <w:keepNext/>
              <w:snapToGrid w:val="0"/>
              <w:spacing w:line="240" w:lineRule="auto"/>
              <w:ind w:left="0" w:leftChars="0" w:right="0" w:rightChars="0" w:firstLine="0" w:firstLineChars="0"/>
              <w:jc w:val="center"/>
              <w:rPr>
                <w:rFonts w:hint="default"/>
              </w:rPr>
            </w:pPr>
            <w:r>
              <w:rPr>
                <w:rFonts w:hint="default"/>
                <w:lang w:val="en-US" w:eastAsia="zh-CN"/>
              </w:rPr>
              <w:t>0.246</w:t>
            </w:r>
          </w:p>
        </w:tc>
        <w:tc>
          <w:tcPr>
            <w:tcW w:w="961" w:type="dxa"/>
            <w:tcBorders>
              <w:right w:val="nil"/>
            </w:tcBorders>
            <w:shd w:val="clear" w:color="auto" w:fill="auto"/>
            <w:tcMar>
              <w:top w:w="60" w:type="dxa"/>
              <w:left w:w="120" w:type="dxa"/>
              <w:bottom w:w="60" w:type="dxa"/>
              <w:right w:w="120" w:type="dxa"/>
            </w:tcMar>
            <w:vAlign w:val="center"/>
          </w:tcPr>
          <w:p w14:paraId="6486E66E">
            <w:pPr>
              <w:keepNext/>
              <w:snapToGrid w:val="0"/>
              <w:spacing w:line="240" w:lineRule="auto"/>
              <w:ind w:left="0" w:leftChars="0" w:right="0" w:rightChars="0" w:firstLine="0" w:firstLineChars="0"/>
              <w:jc w:val="right"/>
              <w:rPr>
                <w:rFonts w:hint="default"/>
              </w:rPr>
            </w:pPr>
            <w:r>
              <w:rPr>
                <w:rFonts w:hint="default"/>
                <w:lang w:val="en-US" w:eastAsia="zh-CN"/>
              </w:rPr>
              <w:t>0.016</w:t>
            </w:r>
          </w:p>
        </w:tc>
        <w:tc>
          <w:tcPr>
            <w:tcW w:w="817" w:type="dxa"/>
            <w:tcBorders>
              <w:right w:val="nil"/>
            </w:tcBorders>
            <w:shd w:val="clear" w:color="auto" w:fill="auto"/>
            <w:tcMar>
              <w:top w:w="60" w:type="dxa"/>
              <w:left w:w="120" w:type="dxa"/>
              <w:bottom w:w="60" w:type="dxa"/>
              <w:right w:w="120" w:type="dxa"/>
            </w:tcMar>
            <w:vAlign w:val="center"/>
          </w:tcPr>
          <w:p w14:paraId="54DCB5CF">
            <w:pPr>
              <w:keepNext/>
              <w:snapToGrid w:val="0"/>
              <w:spacing w:line="240" w:lineRule="auto"/>
              <w:ind w:left="0" w:leftChars="0" w:right="0" w:rightChars="0" w:firstLine="0" w:firstLineChars="0"/>
              <w:jc w:val="center"/>
              <w:rPr>
                <w:rFonts w:hint="default"/>
              </w:rPr>
            </w:pPr>
            <w:r>
              <w:rPr>
                <w:rFonts w:hint="default"/>
                <w:lang w:val="en-US" w:eastAsia="zh-CN"/>
              </w:rPr>
              <w:t>***</w:t>
            </w:r>
          </w:p>
        </w:tc>
        <w:tc>
          <w:tcPr>
            <w:tcW w:w="888" w:type="dxa"/>
            <w:tcBorders>
              <w:right w:val="nil"/>
            </w:tcBorders>
            <w:shd w:val="clear" w:color="auto" w:fill="auto"/>
            <w:tcMar>
              <w:top w:w="60" w:type="dxa"/>
              <w:left w:w="120" w:type="dxa"/>
              <w:bottom w:w="60" w:type="dxa"/>
              <w:right w:w="120" w:type="dxa"/>
            </w:tcMar>
            <w:vAlign w:val="center"/>
          </w:tcPr>
          <w:p w14:paraId="0DA4C9F7">
            <w:pPr>
              <w:keepNext/>
              <w:snapToGrid w:val="0"/>
              <w:spacing w:line="240" w:lineRule="auto"/>
              <w:ind w:left="0" w:leftChars="0" w:right="0" w:rightChars="0" w:firstLine="0" w:firstLineChars="0"/>
              <w:jc w:val="center"/>
              <w:rPr>
                <w:rFonts w:hint="default"/>
              </w:rPr>
            </w:pPr>
            <w:r>
              <w:rPr>
                <w:rFonts w:hint="default"/>
                <w:lang w:val="en-US" w:eastAsia="zh-CN"/>
              </w:rPr>
              <w:t>支持</w:t>
            </w:r>
          </w:p>
        </w:tc>
      </w:tr>
    </w:tbl>
    <w:p w14:paraId="6459AD44">
      <w:pPr>
        <w:spacing w:line="360" w:lineRule="auto"/>
        <w:rPr>
          <w:rFonts w:hint="default"/>
        </w:rPr>
      </w:pPr>
      <w:r>
        <w:rPr>
          <w:rFonts w:hint="default"/>
        </w:rPr>
        <w:t>4.2 基于 XGBoost 的微观非线性归因模型构建</w:t>
      </w:r>
    </w:p>
    <w:p w14:paraId="274A02FA">
      <w:pPr>
        <w:spacing w:line="360" w:lineRule="auto"/>
        <w:rPr>
          <w:rFonts w:hint="default"/>
        </w:rPr>
      </w:pPr>
      <w:r>
        <w:rPr>
          <w:rFonts w:hint="default"/>
        </w:rPr>
        <w:t>鉴于服务体验往往具有复杂的非线性特征（如：距离远到一定程度满意度才会骤降），本研究进一步引入 XGBoost（极端梯度提升树） 算法。以 3.3 节计算的个人效能指数（SEI）为目标变量，以 12 个细分指标及人口学特征为输入特征，构建服务效能预测模型。</w:t>
      </w:r>
    </w:p>
    <w:p w14:paraId="29A90FB0">
      <w:pPr>
        <w:spacing w:line="360" w:lineRule="auto"/>
        <w:rPr>
          <w:rFonts w:hint="default"/>
        </w:rPr>
      </w:pPr>
      <w:r>
        <w:rPr>
          <w:rFonts w:hint="default"/>
        </w:rPr>
        <w:t>经测试集验证，XGBoost 模型的拟合优度 R2</w:t>
      </w:r>
      <w:r>
        <w:rPr>
          <w:rFonts w:hint="default"/>
          <w:lang w:val="en-US" w:eastAsia="zh-CN"/>
        </w:rPr>
        <w:t> 达到 0.96，均方根误差（RMSE）仅为 1.38。极高的预测精度表明，该模型成功捕捉到了数据中潜藏的非线性规律与交互效应，为后续引入 SHAP（Shapley Additive exPlanations） 博弈论解释框架提供了坚实基础。</w:t>
      </w:r>
    </w:p>
    <w:p w14:paraId="6038165D">
      <w:pPr>
        <w:spacing w:line="360" w:lineRule="auto"/>
        <w:rPr>
          <w:rFonts w:hint="default"/>
        </w:rPr>
      </w:pPr>
      <w:r>
        <w:rPr>
          <w:rFonts w:hint="default"/>
        </w:rPr>
        <w:t>4.3 关键驱动因素识别：SHAP 全局重要性分析</w:t>
      </w:r>
    </w:p>
    <w:p w14:paraId="7CE74369">
      <w:pPr>
        <w:spacing w:line="360" w:lineRule="auto"/>
        <w:rPr>
          <w:rFonts w:hint="default"/>
        </w:rPr>
      </w:pPr>
      <w:r>
        <w:rPr>
          <w:rFonts w:hint="default"/>
        </w:rPr>
        <w:t>利用 SHAP 算法对 XGBoost 模型进行解构，得到各特征对服务效能的平均边际贡献（见图 4-2 SHAP 特征重要性排名）。</w:t>
      </w:r>
    </w:p>
    <w:p w14:paraId="05813A4C">
      <w:pPr>
        <w:spacing w:line="360" w:lineRule="auto"/>
        <w:rPr>
          <w:rFonts w:hint="default"/>
        </w:rPr>
      </w:pPr>
      <w:r>
        <w:rPr>
          <w:rFonts w:hint="default"/>
        </w:rPr>
        <w:t>（1）“软实力”反超“硬指标”</w:t>
      </w:r>
      <w:r>
        <w:rPr>
          <w:rFonts w:hint="default"/>
        </w:rPr>
        <w:br w:type="textWrapping"/>
      </w:r>
      <w:r>
        <w:rPr>
          <w:rFonts w:hint="default"/>
        </w:rPr>
        <w:t>与 SEM 的宏观结论不同，在微观归因中，“人员服务”（SHAP mean impact ≈</w:t>
      </w:r>
      <w:r>
        <w:rPr>
          <w:rFonts w:hint="default"/>
          <w:lang w:val="en-US" w:eastAsia="zh-CN"/>
        </w:rPr>
        <w:t> 1.42）跃升至重要性榜首，**“数据服务”**位居第二。这一发现揭示了当前效能提升的“隐性痛点”：虽然宏观上大家觉得硬件重要，但在实际体验中，**缺乏指导（人员）和反馈缺失（数据）**才是导致低分的罪魁祸首。</w:t>
      </w:r>
    </w:p>
    <w:p w14:paraId="79F3FED8">
      <w:pPr>
        <w:spacing w:line="360" w:lineRule="auto"/>
        <w:rPr>
          <w:rFonts w:hint="default"/>
        </w:rPr>
      </w:pPr>
      <w:r>
        <w:rPr>
          <w:rFonts w:hint="default"/>
        </w:rPr>
        <w:t>（2）数字化体验成为分水岭</w:t>
      </w:r>
      <w:r>
        <w:rPr>
          <w:rFonts w:hint="default"/>
        </w:rPr>
        <w:br w:type="textWrapping"/>
      </w:r>
      <w:r>
        <w:rPr>
          <w:rFonts w:hint="default"/>
        </w:rPr>
        <w:t>在排名前五的驱动因素中，**“数据服务”与“智能设备”**占据两席。这直接证明了上海推行“城市数字化转型”在体育领域的必要性——市民已不再满足于单纯的机械运动，对运动数据的可视化、智能化反馈有着强烈需求。</w:t>
      </w:r>
    </w:p>
    <w:p w14:paraId="7A8C61E9">
      <w:pPr>
        <w:spacing w:line="360" w:lineRule="auto"/>
        <w:rPr>
          <w:rFonts w:hint="default"/>
        </w:rPr>
      </w:pPr>
      <w:r>
        <w:rPr>
          <w:rFonts w:hint="default"/>
        </w:rPr>
        <w:t>（3）距离因素的“保健因子”属性</w:t>
      </w:r>
      <w:r>
        <w:rPr>
          <w:rFonts w:hint="default"/>
        </w:rPr>
        <w:br w:type="textWrapping"/>
      </w:r>
      <w:r>
        <w:rPr>
          <w:rFonts w:hint="default"/>
        </w:rPr>
        <w:t>“距离便利性”与“交通通达性”的排名相对靠后。根据赫兹伯格双因素理论，这说明在上海“15分钟社区生活圈”建设背景下，距离已成为“保健因子”——具备了市民觉得理所应当，不会显著加分；但如果缺失，则会带来不满。</w:t>
      </w:r>
    </w:p>
    <w:p w14:paraId="494D0A28">
      <w:pPr>
        <w:spacing w:line="360" w:lineRule="auto"/>
        <w:rPr>
          <w:rFonts w:hint="default"/>
        </w:rPr>
      </w:pPr>
      <w:r>
        <w:rPr>
          <w:rFonts w:hint="default"/>
        </w:rPr>
        <w:drawing>
          <wp:inline distT="0" distB="0" distL="114300" distR="114300">
            <wp:extent cx="5257800" cy="5192395"/>
            <wp:effectExtent l="0" t="0" r="0" b="190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9"/>
                    <a:stretch>
                      <a:fillRect/>
                    </a:stretch>
                  </pic:blipFill>
                  <pic:spPr>
                    <a:xfrm>
                      <a:off x="0" y="0"/>
                      <a:ext cx="5257800" cy="5192395"/>
                    </a:xfrm>
                    <a:prstGeom prst="rect">
                      <a:avLst/>
                    </a:prstGeom>
                    <a:noFill/>
                    <a:ln>
                      <a:noFill/>
                    </a:ln>
                  </pic:spPr>
                </pic:pic>
              </a:graphicData>
            </a:graphic>
          </wp:inline>
        </w:drawing>
      </w:r>
      <w:r>
        <w:rPr>
          <w:rFonts w:hint="default"/>
        </w:rPr>
        <w:br w:type="textWrapping"/>
      </w:r>
      <w:r>
        <w:rPr>
          <w:rFonts w:hint="default"/>
        </w:rPr>
        <w:drawing>
          <wp:inline distT="0" distB="0" distL="114300" distR="114300">
            <wp:extent cx="5257800" cy="5192395"/>
            <wp:effectExtent l="0" t="0" r="0" b="190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0"/>
                    <a:stretch>
                      <a:fillRect/>
                    </a:stretch>
                  </pic:blipFill>
                  <pic:spPr>
                    <a:xfrm>
                      <a:off x="0" y="0"/>
                      <a:ext cx="5257800" cy="5192395"/>
                    </a:xfrm>
                    <a:prstGeom prst="rect">
                      <a:avLst/>
                    </a:prstGeom>
                    <a:noFill/>
                    <a:ln>
                      <a:noFill/>
                    </a:ln>
                  </pic:spPr>
                </pic:pic>
              </a:graphicData>
            </a:graphic>
          </wp:inline>
        </w:drawing>
      </w:r>
    </w:p>
    <w:p w14:paraId="7E401464">
      <w:pPr>
        <w:spacing w:line="360" w:lineRule="auto"/>
        <w:rPr>
          <w:rFonts w:hint="default"/>
        </w:rPr>
      </w:pPr>
      <w:r>
        <w:rPr>
          <w:rFonts w:hint="default"/>
        </w:rPr>
        <w:t>4.4 阈值效应与物理边界：基于 PDP 的深度挖掘</w:t>
      </w:r>
    </w:p>
    <w:p w14:paraId="25B7C40B">
      <w:pPr>
        <w:spacing w:line="360" w:lineRule="auto"/>
        <w:rPr>
          <w:rFonts w:hint="default"/>
        </w:rPr>
      </w:pPr>
      <w:r>
        <w:rPr>
          <w:rFonts w:hint="default"/>
        </w:rPr>
        <w:t>为了精准回答“距离多远合适？”、“维护差到什么程度会崩盘？”等关键治理问题，本研究利用部分依赖图（PDP）与SHAP 依赖图，挖掘关键变量的非线性阈值。</w:t>
      </w:r>
    </w:p>
    <w:p w14:paraId="77E38480">
      <w:pPr>
        <w:spacing w:line="360" w:lineRule="auto"/>
        <w:rPr>
          <w:rFonts w:hint="default"/>
        </w:rPr>
      </w:pPr>
      <w:r>
        <w:rPr>
          <w:rFonts w:hint="default"/>
        </w:rPr>
        <w:t>4.4.1 步行时间的“15分钟断崖效应”</w:t>
      </w:r>
    </w:p>
    <w:p w14:paraId="0D0F9393">
      <w:pPr>
        <w:spacing w:line="360" w:lineRule="auto"/>
        <w:rPr>
          <w:rFonts w:hint="default"/>
        </w:rPr>
      </w:pPr>
      <w:r>
        <w:rPr>
          <w:rFonts w:hint="default"/>
        </w:rPr>
        <w:t>如图 4-4 所示，步行时间对服务效能的影响呈现出典型的非线性阈值特征：</w:t>
      </w:r>
    </w:p>
    <w:p w14:paraId="785BACF9">
      <w:pPr>
        <w:spacing w:line="360" w:lineRule="auto"/>
        <w:rPr>
          <w:rFonts w:hint="default"/>
        </w:rPr>
      </w:pPr>
      <w:r>
        <w:rPr>
          <w:rFonts w:hint="default"/>
        </w:rPr>
        <w:t>舒适区（0-14分钟）： 当步行时间控制在 14 分钟以内时，SHAP 值在 0 轴上方高位震荡，PDP 曲线平稳。说明在此范围内，市民对距离的敏感度较低，均处于“心理舒适区”。</w:t>
      </w:r>
    </w:p>
    <w:p w14:paraId="6EEB3540">
      <w:pPr>
        <w:spacing w:line="360" w:lineRule="auto"/>
        <w:rPr>
          <w:rFonts w:hint="default"/>
        </w:rPr>
      </w:pPr>
      <w:r>
        <w:rPr>
          <w:rFonts w:hint="default"/>
        </w:rPr>
        <w:t>断崖点（x = 15分钟）： 一旦步行时间突破 15分钟 这一临界值，SHAP 值瞬间跌入负值区间，PDP 曲线呈现断崖式垂直下跌。</w:t>
      </w:r>
    </w:p>
    <w:p w14:paraId="6032FBD3">
      <w:pPr>
        <w:spacing w:line="360" w:lineRule="auto"/>
        <w:rPr>
          <w:rFonts w:hint="default"/>
        </w:rPr>
      </w:pPr>
      <w:r>
        <w:rPr>
          <w:rFonts w:hint="default"/>
        </w:rPr>
        <w:t>结论： 这一发现用实证数据精准标定了“15分钟社区生活圈”的物理边界。它警示规划者：**15分钟不仅是一个口号，更是市民参与意愿的“生死线”。**超出此半径的布点，其服务效能将面临边际效用归零的风险。</w:t>
      </w:r>
    </w:p>
    <w:p w14:paraId="7181DD88">
      <w:pPr>
        <w:spacing w:line="360" w:lineRule="auto"/>
        <w:rPr>
          <w:rFonts w:hint="default"/>
        </w:rPr>
      </w:pPr>
      <w:r>
        <w:rPr>
          <w:rFonts w:hint="default"/>
        </w:rPr>
        <w:drawing>
          <wp:inline distT="0" distB="0" distL="114300" distR="114300">
            <wp:extent cx="4953000" cy="4083050"/>
            <wp:effectExtent l="0" t="0" r="0" b="635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1"/>
                    <a:stretch>
                      <a:fillRect/>
                    </a:stretch>
                  </pic:blipFill>
                  <pic:spPr>
                    <a:xfrm>
                      <a:off x="0" y="0"/>
                      <a:ext cx="4953000" cy="4083050"/>
                    </a:xfrm>
                    <a:prstGeom prst="rect">
                      <a:avLst/>
                    </a:prstGeom>
                    <a:noFill/>
                    <a:ln>
                      <a:noFill/>
                    </a:ln>
                  </pic:spPr>
                </pic:pic>
              </a:graphicData>
            </a:graphic>
          </wp:inline>
        </w:drawing>
      </w:r>
    </w:p>
    <w:p w14:paraId="0D4BC594">
      <w:pPr>
        <w:spacing w:line="360" w:lineRule="auto"/>
        <w:rPr>
          <w:rFonts w:hint="default"/>
        </w:rPr>
      </w:pPr>
      <w:r>
        <w:rPr>
          <w:rFonts w:hint="default"/>
        </w:rPr>
        <w:t>4.4.2 设施维护的“底线一票否决”</w:t>
      </w:r>
    </w:p>
    <w:p w14:paraId="5FE24060">
      <w:pPr>
        <w:spacing w:line="360" w:lineRule="auto"/>
        <w:rPr>
          <w:rFonts w:hint="default"/>
        </w:rPr>
      </w:pPr>
      <w:r>
        <w:rPr>
          <w:rFonts w:hint="default"/>
        </w:rPr>
        <w:t>设施维护评分与效能的关系呈现出显著的**“S型”底线特征**：</w:t>
      </w:r>
    </w:p>
    <w:p w14:paraId="688F0170">
      <w:pPr>
        <w:spacing w:line="360" w:lineRule="auto"/>
        <w:rPr>
          <w:rFonts w:hint="default"/>
        </w:rPr>
      </w:pPr>
      <w:r>
        <w:rPr>
          <w:rFonts w:hint="default"/>
        </w:rPr>
        <w:t>塌陷区（&lt; 3分）： 当维护评分低于 3 分时，对效能的负向贡献极大且曲线极陡。这意味着卫生差、器械损坏具有**“一票否决权”**，会瞬间击穿市民的满意度底线。</w:t>
      </w:r>
    </w:p>
    <w:p w14:paraId="0C3DA8B7">
      <w:pPr>
        <w:spacing w:line="360" w:lineRule="auto"/>
        <w:rPr>
          <w:rFonts w:hint="default"/>
        </w:rPr>
      </w:pPr>
      <w:r>
        <w:rPr>
          <w:rFonts w:hint="default"/>
        </w:rPr>
        <w:t>敏感区（3-5分）： 评分从 3 分提升至 5 分的过程中，曲线斜率最大，说明这是投入产出比最高的改进区间。</w:t>
      </w:r>
    </w:p>
    <w:p w14:paraId="6A26F855">
      <w:pPr>
        <w:spacing w:line="360" w:lineRule="auto"/>
        <w:rPr>
          <w:rFonts w:hint="default"/>
        </w:rPr>
      </w:pPr>
      <w:r>
        <w:rPr>
          <w:rFonts w:hint="default"/>
        </w:rPr>
        <w:t>结论： 设施完好率是服务效能的基石。建立“快速响应机制”，确保评分始终维持在 3 分以上，是保障驿站正常运转的底线要求。</w:t>
      </w:r>
    </w:p>
    <w:p w14:paraId="2327EB15">
      <w:pPr>
        <w:spacing w:line="360" w:lineRule="auto"/>
        <w:rPr>
          <w:rFonts w:hint="default"/>
        </w:rPr>
      </w:pPr>
      <w:r>
        <w:rPr>
          <w:rFonts w:hint="default"/>
        </w:rPr>
        <w:t>4.4.3 智能设备的“边际效用递增”</w:t>
      </w:r>
    </w:p>
    <w:p w14:paraId="75B78A7E">
      <w:pPr>
        <w:spacing w:line="360" w:lineRule="auto"/>
        <w:rPr>
          <w:rFonts w:hint="default"/>
        </w:rPr>
      </w:pPr>
      <w:r>
        <w:rPr>
          <w:rFonts w:hint="default"/>
        </w:rPr>
        <w:t>与前两者不同，智能设备对效能的影响呈现**“指数级上升”**态势（见图 4-6）。随着智能化评分的增加（特别是超过 5 分后），曲线斜率逐渐变大。这表明高水平的数智化建设（如人脸识别、数据互联）能为市民带来超预期的“惊喜感”，是提升整体效能上限的关键“增长极”。</w:t>
      </w:r>
    </w:p>
    <w:p w14:paraId="325222C6">
      <w:pPr>
        <w:spacing w:line="360" w:lineRule="auto"/>
        <w:rPr>
          <w:rFonts w:hint="default"/>
        </w:rPr>
      </w:pPr>
      <w:r>
        <w:rPr>
          <w:rFonts w:hint="default"/>
        </w:rPr>
        <w:drawing>
          <wp:inline distT="0" distB="0" distL="114300" distR="114300">
            <wp:extent cx="5268595" cy="2149475"/>
            <wp:effectExtent l="0" t="0" r="1905" b="952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2"/>
                    <a:stretch>
                      <a:fillRect/>
                    </a:stretch>
                  </pic:blipFill>
                  <pic:spPr>
                    <a:xfrm>
                      <a:off x="0" y="0"/>
                      <a:ext cx="5268595" cy="2149475"/>
                    </a:xfrm>
                    <a:prstGeom prst="rect">
                      <a:avLst/>
                    </a:prstGeom>
                    <a:noFill/>
                    <a:ln>
                      <a:noFill/>
                    </a:ln>
                  </pic:spPr>
                </pic:pic>
              </a:graphicData>
            </a:graphic>
          </wp:inline>
        </w:drawing>
      </w:r>
    </w:p>
    <w:p w14:paraId="40A8528A">
      <w:pPr>
        <w:spacing w:line="360" w:lineRule="auto"/>
        <w:rPr>
          <w:rFonts w:hint="default"/>
        </w:rPr>
      </w:pPr>
      <w:r>
        <w:rPr>
          <w:rFonts w:hint="default"/>
        </w:rPr>
        <w:t>4.5 本章小结</w:t>
      </w:r>
    </w:p>
    <w:p w14:paraId="70131060">
      <w:pPr>
        <w:spacing w:line="360" w:lineRule="auto"/>
        <w:rPr>
          <w:rFonts w:hint="default"/>
        </w:rPr>
      </w:pPr>
      <w:r>
        <w:rPr>
          <w:rFonts w:hint="default"/>
        </w:rPr>
        <w:t>本章通过双轨模型分析发现：宏观上，硬件是基础；微观上，服务与数智是关键。</w:t>
      </w:r>
      <w:r>
        <w:rPr>
          <w:rFonts w:hint="default"/>
        </w:rPr>
        <w:br w:type="textWrapping"/>
      </w:r>
      <w:r>
        <w:rPr>
          <w:rFonts w:hint="default"/>
        </w:rPr>
        <w:t>特别是 XGBoost-SHAP 模型精准捕捉到了两个对决策极具参考价值的硬约束指标：“15分钟”是选址的空间红线，“3分维护”是运营的生存底线。 这些量化结论为下一章构建精准治理策略矩阵提供了明确的数据坐标。</w:t>
      </w:r>
    </w:p>
    <w:p w14:paraId="6BAA0EC2">
      <w:pPr>
        <w:spacing w:line="360" w:lineRule="auto"/>
        <w:rPr>
          <w:rFonts w:hint="default"/>
        </w:rPr>
      </w:pPr>
    </w:p>
    <w:p w14:paraId="55DE5062">
      <w:pPr>
        <w:spacing w:line="360" w:lineRule="auto"/>
        <w:rPr>
          <w:rFonts w:hint="default"/>
        </w:rPr>
      </w:pPr>
    </w:p>
    <w:p w14:paraId="5D89D375">
      <w:pPr>
        <w:spacing w:line="360" w:lineRule="auto"/>
        <w:rPr>
          <w:rFonts w:hint="default"/>
        </w:rPr>
      </w:pPr>
    </w:p>
    <w:p w14:paraId="208B1197">
      <w:pPr>
        <w:spacing w:line="360" w:lineRule="auto"/>
      </w:pPr>
      <w:r>
        <w:rPr>
          <w:rFonts w:hint="default"/>
        </w:rPr>
        <w:t>第五章 破局与重塑：上海市民健身驿站服务效能提升策略</w:t>
      </w:r>
    </w:p>
    <w:p w14:paraId="50A5D900">
      <w:pPr>
        <w:spacing w:line="360" w:lineRule="auto"/>
        <w:rPr>
          <w:rFonts w:hint="default"/>
        </w:rPr>
      </w:pPr>
      <w:r>
        <w:rPr>
          <w:rFonts w:hint="default"/>
        </w:rPr>
        <w:t>基于第 3 章模糊综合评价（FCE）揭示的 56.88分 效能现状，以及第 4 章 XGBoost-SHAP 模型挖掘出的 “软实力缺失” 与 “15分钟断崖” 效应，本研究构建修正版 SHAP-IPA 决策矩阵，提出“空间精准填盲、数智深度赋能、运营潮汐升维、底线动态治理”四大提升策略，并设计“驿动申城”数字化应用原型，以期实现服务效能的跃迁。</w:t>
      </w:r>
    </w:p>
    <w:p w14:paraId="17B09F54">
      <w:pPr>
        <w:spacing w:line="360" w:lineRule="auto"/>
        <w:rPr>
          <w:rFonts w:hint="default"/>
        </w:rPr>
      </w:pPr>
      <w:r>
        <w:rPr>
          <w:rFonts w:hint="default"/>
        </w:rPr>
        <w:t>5.1 基于 SHAP-IPA 的精准治理策略矩阵构建</w:t>
      </w:r>
    </w:p>
    <w:p w14:paraId="13B5D98B">
      <w:pPr>
        <w:spacing w:line="360" w:lineRule="auto"/>
        <w:rPr>
          <w:rFonts w:hint="default"/>
        </w:rPr>
      </w:pPr>
      <w:r>
        <w:rPr>
          <w:rFonts w:hint="default"/>
        </w:rPr>
        <w:t>为避免“头痛医头”的片面治理，本研究将 3.3 节的现状满意度（Performance） 作为 X 轴，将 4.3 节的 SHAP 全局重要性（Importance） 作为 Y 轴，绘制上海市民健身驿站的精准治理策略矩阵（见图 5-1）。</w:t>
      </w:r>
    </w:p>
    <w:p w14:paraId="791C4338">
      <w:pPr>
        <w:spacing w:line="360" w:lineRule="auto"/>
        <w:rPr>
          <w:rFonts w:hint="default"/>
        </w:rPr>
      </w:pPr>
      <w:r>
        <w:rPr>
          <w:rFonts w:hint="default"/>
        </w:rPr>
        <w:drawing>
          <wp:inline distT="0" distB="0" distL="114300" distR="114300">
            <wp:extent cx="635" cy="0"/>
            <wp:effectExtent l="0" t="0" r="0" b="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3"/>
                    <a:stretch>
                      <a:fillRect/>
                    </a:stretch>
                  </pic:blipFill>
                  <pic:spPr>
                    <a:xfrm>
                      <a:off x="0" y="0"/>
                      <a:ext cx="635" cy="0"/>
                    </a:xfrm>
                    <a:prstGeom prst="rect">
                      <a:avLst/>
                    </a:prstGeom>
                    <a:noFill/>
                    <a:ln>
                      <a:noFill/>
                    </a:ln>
                  </pic:spPr>
                </pic:pic>
              </a:graphicData>
            </a:graphic>
          </wp:inline>
        </w:drawing>
      </w:r>
      <w:r>
        <w:rPr>
          <w:rFonts w:hint="default"/>
        </w:rPr>
        <w:drawing>
          <wp:inline distT="0" distB="0" distL="114300" distR="114300">
            <wp:extent cx="5246370" cy="4371975"/>
            <wp:effectExtent l="0" t="0" r="11430" b="952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14"/>
                    <a:stretch>
                      <a:fillRect/>
                    </a:stretch>
                  </pic:blipFill>
                  <pic:spPr>
                    <a:xfrm>
                      <a:off x="0" y="0"/>
                      <a:ext cx="5246370" cy="4371975"/>
                    </a:xfrm>
                    <a:prstGeom prst="rect">
                      <a:avLst/>
                    </a:prstGeom>
                    <a:noFill/>
                    <a:ln>
                      <a:noFill/>
                    </a:ln>
                  </pic:spPr>
                </pic:pic>
              </a:graphicData>
            </a:graphic>
          </wp:inline>
        </w:drawing>
      </w:r>
    </w:p>
    <w:p w14:paraId="5CEC4B5B">
      <w:pPr>
        <w:spacing w:line="360" w:lineRule="auto"/>
        <w:rPr>
          <w:rFonts w:hint="default"/>
        </w:rPr>
      </w:pPr>
      <w:r>
        <w:rPr>
          <w:rFonts w:hint="default"/>
        </w:rPr>
        <w:t>矩阵分析显示，各指标呈现出鲜明的非均衡分布特征：</w:t>
      </w:r>
    </w:p>
    <w:p w14:paraId="230B690B">
      <w:pPr>
        <w:spacing w:line="360" w:lineRule="auto"/>
        <w:rPr>
          <w:rFonts w:hint="default"/>
        </w:rPr>
      </w:pPr>
      <w:r>
        <w:rPr>
          <w:rFonts w:hint="default"/>
        </w:rPr>
        <w:t>亟待改进区（Priority，左上限）： 包含 “营业时间”、“智能设备”、“数据服务”、“信息发布”。这些指标对效能提升至关重要（SHAP 值高），但目前市民满意度较低。这是效能提升的**“主战场”**，必须集中资源优先突破。</w:t>
      </w:r>
    </w:p>
    <w:p w14:paraId="026B0BF8">
      <w:pPr>
        <w:spacing w:line="360" w:lineRule="auto"/>
        <w:rPr>
          <w:rFonts w:hint="default"/>
        </w:rPr>
      </w:pPr>
      <w:r>
        <w:rPr>
          <w:rFonts w:hint="default"/>
        </w:rPr>
        <w:t>优势保持区（Keep，右上限）： 包含 “配套设施”、“器材维护”。虽然目前表现尚可，但鉴于其存在“底线效应”（见 4.4.2 节），仍需维持高标准管理，防止滑落。</w:t>
      </w:r>
    </w:p>
    <w:p w14:paraId="429E470B">
      <w:pPr>
        <w:spacing w:line="360" w:lineRule="auto"/>
        <w:rPr>
          <w:rFonts w:hint="default"/>
        </w:rPr>
      </w:pPr>
      <w:r>
        <w:rPr>
          <w:rFonts w:hint="default"/>
        </w:rPr>
        <w:t>供给过度区（Possible Overkill，右下限）： 包含 “距离便利性”、“交通通达性”。这表明上海中心城区的物理站点覆盖已趋于饱和，单纯增加站点密度的边际收益递减，策略应从“增量扩张”转向“存量优化”。</w:t>
      </w:r>
    </w:p>
    <w:p w14:paraId="34EC1BA2">
      <w:pPr>
        <w:spacing w:line="360" w:lineRule="auto"/>
        <w:rPr>
          <w:rFonts w:hint="default"/>
        </w:rPr>
      </w:pPr>
      <w:r>
        <w:rPr>
          <w:rFonts w:hint="default"/>
        </w:rPr>
        <w:t>5.2 服务效能提升的四大精准路径</w:t>
      </w:r>
    </w:p>
    <w:p w14:paraId="284D5CF1">
      <w:pPr>
        <w:spacing w:line="360" w:lineRule="auto"/>
        <w:rPr>
          <w:rFonts w:hint="default"/>
        </w:rPr>
      </w:pPr>
      <w:r>
        <w:rPr>
          <w:rFonts w:hint="default"/>
        </w:rPr>
        <w:t>5.2.1 空间重构：从“盲目加密”转向“精准填盲”，严守15分钟物理边界</w:t>
      </w:r>
    </w:p>
    <w:p w14:paraId="63D9BDF6">
      <w:pPr>
        <w:spacing w:line="360" w:lineRule="auto"/>
        <w:rPr>
          <w:rFonts w:hint="default"/>
        </w:rPr>
      </w:pPr>
      <w:r>
        <w:rPr>
          <w:rFonts w:hint="default"/>
        </w:rPr>
        <w:t>【问题导向】</w:t>
      </w:r>
      <w:r>
        <w:rPr>
          <w:rFonts w:hint="default"/>
        </w:rPr>
        <w:br w:type="textWrapping"/>
      </w:r>
      <w:r>
        <w:rPr>
          <w:rFonts w:hint="default"/>
        </w:rPr>
        <w:t>SHAP 依赖图证实了 “15分钟断崖效应”，而 IPA 显示“距离便利性”已处于供给过度区。这说明当前的主要矛盾不是总量不足，而是局部盲区与无效供给并存。</w:t>
      </w:r>
    </w:p>
    <w:p w14:paraId="0FF384F0">
      <w:pPr>
        <w:spacing w:line="360" w:lineRule="auto"/>
        <w:rPr>
          <w:rFonts w:hint="default"/>
        </w:rPr>
      </w:pPr>
      <w:r>
        <w:rPr>
          <w:rFonts w:hint="default"/>
        </w:rPr>
        <w:t>【对策建议】</w:t>
      </w:r>
    </w:p>
    <w:p w14:paraId="344F9F88">
      <w:pPr>
        <w:spacing w:line="360" w:lineRule="auto"/>
        <w:rPr>
          <w:rFonts w:hint="default"/>
        </w:rPr>
      </w:pPr>
      <w:r>
        <w:rPr>
          <w:rFonts w:hint="default"/>
        </w:rPr>
        <w:t>基于 GIS 的“反向填盲”策略： 停止“撒胡椒面”式的布点方式。建议体育局利用 GIS 地理信息系统叠加人口热力图，精准识别步行时间超过 15 分钟的**“绝对盲区”**。仅在这些区域利用社区闲置用房、“金角银边”进行微型嵌入式布点，确保资源用在刀刃上。</w:t>
      </w:r>
    </w:p>
    <w:p w14:paraId="1A6FEC6F">
      <w:pPr>
        <w:spacing w:line="360" w:lineRule="auto"/>
        <w:rPr>
          <w:rFonts w:hint="default"/>
        </w:rPr>
      </w:pPr>
      <w:r>
        <w:rPr>
          <w:rFonts w:hint="default"/>
        </w:rPr>
        <w:t>构建“15分钟物理圈 + 24小时数字圈”： 对于物理空间确实无法覆盖的区域，不再强行建设实体驿站，而是利用 VR/AR 技术打造“云尚健身”场景。开发数字孪生平台，让市民在家即可连接社区驿站的在线课程，以“24小时触手可及”的数字服务弥补物理距离的最后拼图。</w:t>
      </w:r>
    </w:p>
    <w:p w14:paraId="55CC1BF9">
      <w:pPr>
        <w:spacing w:line="360" w:lineRule="auto"/>
        <w:rPr>
          <w:rFonts w:hint="default"/>
        </w:rPr>
      </w:pPr>
      <w:r>
        <w:rPr>
          <w:rFonts w:hint="default"/>
        </w:rPr>
        <w:t>5.2.2 数智赋能：从“硬件堆砌”转向“数据闭环”，激活效能增长极</w:t>
      </w:r>
    </w:p>
    <w:p w14:paraId="4E864ACE">
      <w:pPr>
        <w:spacing w:line="360" w:lineRule="auto"/>
        <w:rPr>
          <w:rFonts w:hint="default"/>
        </w:rPr>
      </w:pPr>
      <w:r>
        <w:rPr>
          <w:rFonts w:hint="default"/>
        </w:rPr>
        <w:t>【问题导向】</w:t>
      </w:r>
      <w:r>
        <w:rPr>
          <w:rFonts w:hint="default"/>
        </w:rPr>
        <w:br w:type="textWrapping"/>
      </w:r>
      <w:r>
        <w:rPr>
          <w:rFonts w:hint="default"/>
        </w:rPr>
        <w:t>针对 IPA 矩阵中 “智能/数据” 双低（高重要、低满意）的现状，必须改变当前“只有设备、没有数据”的哑终端模式。</w:t>
      </w:r>
    </w:p>
    <w:p w14:paraId="345D1976">
      <w:pPr>
        <w:spacing w:line="360" w:lineRule="auto"/>
        <w:rPr>
          <w:rFonts w:hint="default"/>
        </w:rPr>
      </w:pPr>
      <w:r>
        <w:rPr>
          <w:rFonts w:hint="default"/>
        </w:rPr>
        <w:t>【对策建议】</w:t>
      </w:r>
    </w:p>
    <w:p w14:paraId="7E371721">
      <w:pPr>
        <w:spacing w:line="360" w:lineRule="auto"/>
        <w:rPr>
          <w:rFonts w:hint="default"/>
        </w:rPr>
      </w:pPr>
      <w:r>
        <w:rPr>
          <w:rFonts w:hint="default"/>
        </w:rPr>
        <w:t>构建全生命周期“AI 运动处方”： 实施“物联网+”改造计划，对存量哑铃、跑步机等器材加装智能传感模块，实现运动数据（卡路里、频次、负荷）的自动采集。系统应基于体测数据自动生成个性化 AI 运动处方，实现从“盲目健身”到“精准干预”的跨越。</w:t>
      </w:r>
    </w:p>
    <w:p w14:paraId="780275DB">
      <w:pPr>
        <w:spacing w:line="360" w:lineRule="auto"/>
        <w:rPr>
          <w:rFonts w:hint="default"/>
        </w:rPr>
      </w:pPr>
      <w:r>
        <w:rPr>
          <w:rFonts w:hint="default"/>
        </w:rPr>
        <w:t>打造“互联互通”数据驾驶舱： 打破各街镇数据孤岛，建立市级健身大数据底座。C端向市民开放个人健康账户（Data Dashboard），让运动成效可视化；G端向管理者提供区域效能热力图，实现设备利用率的实时监测与精准调度，让数据成为服务的核心生产力。</w:t>
      </w:r>
    </w:p>
    <w:p w14:paraId="57AA180F">
      <w:pPr>
        <w:spacing w:line="360" w:lineRule="auto"/>
        <w:rPr>
          <w:rFonts w:hint="default"/>
        </w:rPr>
      </w:pPr>
      <w:r>
        <w:rPr>
          <w:rFonts w:hint="default"/>
        </w:rPr>
        <w:t>5.2.3 运营升维：推行“潮汐式+无人化”混合模式，破解供需时空错配</w:t>
      </w:r>
    </w:p>
    <w:p w14:paraId="6D4552C7">
      <w:pPr>
        <w:spacing w:line="360" w:lineRule="auto"/>
        <w:rPr>
          <w:rFonts w:hint="default"/>
        </w:rPr>
      </w:pPr>
      <w:r>
        <w:rPr>
          <w:rFonts w:hint="default"/>
        </w:rPr>
        <w:t>【问题导向】</w:t>
      </w:r>
      <w:r>
        <w:rPr>
          <w:rFonts w:hint="default"/>
        </w:rPr>
        <w:br w:type="textWrapping"/>
      </w:r>
      <w:r>
        <w:rPr>
          <w:rFonts w:hint="default"/>
        </w:rPr>
        <w:t>“营业时间” 是 IPA 矩阵中最为突出的痛点，且 “人员服务” 同样位于改进区。这揭示了行政化运营时间与市民潮汐性需求之间的结构性错配。</w:t>
      </w:r>
    </w:p>
    <w:p w14:paraId="59A9B87E">
      <w:pPr>
        <w:spacing w:line="360" w:lineRule="auto"/>
        <w:rPr>
          <w:rFonts w:hint="default"/>
        </w:rPr>
      </w:pPr>
      <w:r>
        <w:rPr>
          <w:rFonts w:hint="default"/>
        </w:rPr>
        <w:t>【对策建议】</w:t>
      </w:r>
    </w:p>
    <w:p w14:paraId="159D8827">
      <w:pPr>
        <w:spacing w:line="360" w:lineRule="auto"/>
        <w:rPr>
          <w:rFonts w:hint="default"/>
        </w:rPr>
      </w:pPr>
      <w:r>
        <w:rPr>
          <w:rFonts w:hint="default"/>
        </w:rPr>
        <w:t>实施“潮汐式”错峰开放机制： 摒弃“一刀切”的运营时刻表。基于人流大数据分析，在商务区驿站重点延长午间与晚间开放时段（服务白领），在居住区驿站前移晨练时段（服务银发族），实现运营时间与人群生物钟的精准咬合。</w:t>
      </w:r>
    </w:p>
    <w:p w14:paraId="318C0CEF">
      <w:pPr>
        <w:spacing w:line="360" w:lineRule="auto"/>
        <w:rPr>
          <w:rFonts w:hint="default"/>
        </w:rPr>
      </w:pPr>
      <w:r>
        <w:rPr>
          <w:rFonts w:hint="default"/>
        </w:rPr>
        <w:t>推广“无人值守 + 云端监管”新范式： 针对夜间及清晨时段人力成本高的问题，全面引入人脸识别门禁与智能灯控系统，推行非核心时段（如 22:00-06:00）的无人值守服务。同时建立远程云监管中心，利用 AI 视频分析技术实时识别跌倒、冲突等异常情况，以“技防代人防”解决全天候开放的人力瓶颈。</w:t>
      </w:r>
    </w:p>
    <w:p w14:paraId="105ADA6B">
      <w:pPr>
        <w:spacing w:line="360" w:lineRule="auto"/>
        <w:rPr>
          <w:rFonts w:hint="default"/>
        </w:rPr>
      </w:pPr>
      <w:r>
        <w:rPr>
          <w:rFonts w:hint="default"/>
        </w:rPr>
        <w:t>5.2.4 底线治理：建立“红黄绿”动态预警，筑牢服务体验基石</w:t>
      </w:r>
    </w:p>
    <w:p w14:paraId="5A2D2E9F">
      <w:pPr>
        <w:spacing w:line="360" w:lineRule="auto"/>
        <w:rPr>
          <w:rFonts w:hint="default"/>
        </w:rPr>
      </w:pPr>
      <w:r>
        <w:rPr>
          <w:rFonts w:hint="default"/>
        </w:rPr>
        <w:t>【问题导向】</w:t>
      </w:r>
      <w:r>
        <w:rPr>
          <w:rFonts w:hint="default"/>
        </w:rPr>
        <w:br w:type="textWrapping"/>
      </w:r>
      <w:r>
        <w:rPr>
          <w:rFonts w:hint="default"/>
        </w:rPr>
        <w:t>虽然 “器材维护” 目前位于优势保持区，但 SHAP 挖掘出的 “3分底线效应” 警示我们：维护工作具有极高的敏感性，一旦失守将导致满意度崩盘。</w:t>
      </w:r>
    </w:p>
    <w:p w14:paraId="3BB7F5F0">
      <w:pPr>
        <w:spacing w:line="360" w:lineRule="auto"/>
        <w:rPr>
          <w:rFonts w:hint="default"/>
        </w:rPr>
      </w:pPr>
      <w:r>
        <w:rPr>
          <w:rFonts w:hint="default"/>
        </w:rPr>
        <w:t>【对策建议】</w:t>
      </w:r>
    </w:p>
    <w:p w14:paraId="2D552263">
      <w:pPr>
        <w:spacing w:line="360" w:lineRule="auto"/>
        <w:rPr>
          <w:rFonts w:hint="default"/>
        </w:rPr>
      </w:pPr>
      <w:r>
        <w:rPr>
          <w:rFonts w:hint="default"/>
        </w:rPr>
        <w:t>推行设备健康度“三色码”管理： 建立器材全生命周期管理档案，根据使用频次、年限与维修记录，动态赋予设备 红（故障停用）、黄（需保养）、绿（正常） 三色状态码。重点监控“黄码”设备，强制启动预防性维护，杜绝“带病运行”。</w:t>
      </w:r>
    </w:p>
    <w:p w14:paraId="65E588B9">
      <w:pPr>
        <w:spacing w:line="360" w:lineRule="auto"/>
        <w:rPr>
          <w:rFonts w:hint="default"/>
        </w:rPr>
      </w:pPr>
      <w:r>
        <w:rPr>
          <w:rFonts w:hint="default"/>
        </w:rPr>
        <w:t>建立“一键报修”极速响应闭环： 在每个器械上张贴专属二维码，市民扫码即可由“使用者”转变为“监督者”。将报修响应速度（如 48 小时闭环率）纳入对第三方运营机构的 KPI 核心考核体系，确保服务底线坚如磐石。</w:t>
      </w:r>
    </w:p>
    <w:p w14:paraId="06AA006E">
      <w:pPr>
        <w:spacing w:line="360" w:lineRule="auto"/>
        <w:rPr>
          <w:rFonts w:hint="default"/>
        </w:rPr>
      </w:pPr>
      <w:r>
        <w:rPr>
          <w:rFonts w:hint="default"/>
        </w:rPr>
        <w:t>5.3 落地应用设计：“驿动申城”智能服务平台原型</w:t>
      </w:r>
    </w:p>
    <w:p w14:paraId="1DB028D6">
      <w:pPr>
        <w:spacing w:line="360" w:lineRule="auto"/>
        <w:rPr>
          <w:rFonts w:hint="default"/>
        </w:rPr>
      </w:pPr>
      <w:r>
        <w:rPr>
          <w:rFonts w:hint="default"/>
        </w:rPr>
        <w:t>为了将上述策略转化为可落地的抓手，项目组基于前文分析成果，设计了 “驿动申城（Yi-Move Shanghai）” 微信小程序概念原型，打通 C 端服务与 G 端管理。</w:t>
      </w:r>
    </w:p>
    <w:p w14:paraId="6E92D64A">
      <w:pPr>
        <w:spacing w:line="360" w:lineRule="auto"/>
        <w:rPr>
          <w:rFonts w:hint="default"/>
        </w:rPr>
      </w:pPr>
      <w:r>
        <w:rPr>
          <w:rFonts w:hint="default"/>
        </w:rPr>
        <w:drawing>
          <wp:inline distT="0" distB="0" distL="114300" distR="114300">
            <wp:extent cx="5271135" cy="4749165"/>
            <wp:effectExtent l="0" t="0" r="12065" b="635"/>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5"/>
                    <a:stretch>
                      <a:fillRect/>
                    </a:stretch>
                  </pic:blipFill>
                  <pic:spPr>
                    <a:xfrm>
                      <a:off x="0" y="0"/>
                      <a:ext cx="5271135" cy="4749165"/>
                    </a:xfrm>
                    <a:prstGeom prst="rect">
                      <a:avLst/>
                    </a:prstGeom>
                    <a:noFill/>
                    <a:ln>
                      <a:noFill/>
                    </a:ln>
                  </pic:spPr>
                </pic:pic>
              </a:graphicData>
            </a:graphic>
          </wp:inline>
        </w:drawing>
      </w:r>
    </w:p>
    <w:p w14:paraId="7CC6C70C">
      <w:pPr>
        <w:spacing w:line="360" w:lineRule="auto"/>
        <w:rPr>
          <w:rFonts w:hint="default"/>
        </w:rPr>
      </w:pPr>
      <w:r>
        <w:rPr>
          <w:rFonts w:hint="default"/>
        </w:rPr>
        <w:t>1. 界面一：GIS 动态导航（回应“15分钟物理边界”）</w:t>
      </w:r>
      <w:r>
        <w:rPr>
          <w:rFonts w:hint="default"/>
        </w:rPr>
        <w:br w:type="textWrapping"/>
      </w:r>
      <w:r>
        <w:rPr>
          <w:rFonts w:hint="default"/>
        </w:rPr>
        <w:t>基于 SHAP 模型揭示的“15分钟断崖效应”，设计基于 GIS 的红绿灯状态导航。通过“空闲/拥挤”实时分流，引导市民在 15 分钟舒适圈内避峰就近锻炼，解决物理空间供需错配。</w:t>
      </w:r>
    </w:p>
    <w:p w14:paraId="0F9A0D08">
      <w:pPr>
        <w:spacing w:line="360" w:lineRule="auto"/>
        <w:rPr>
          <w:rFonts w:hint="default"/>
        </w:rPr>
      </w:pPr>
      <w:r>
        <w:rPr>
          <w:rFonts w:hint="default"/>
        </w:rPr>
        <w:t>2. 界面二：个人数据驾驶舱（回应“数智体验缺失”）</w:t>
      </w:r>
      <w:r>
        <w:rPr>
          <w:rFonts w:hint="default"/>
        </w:rPr>
        <w:br w:type="textWrapping"/>
      </w:r>
      <w:r>
        <w:rPr>
          <w:rFonts w:hint="default"/>
        </w:rPr>
        <w:t>针对 IPA 矩阵中“数据服务”的痛点，打通物联网设备，提供卡路里、心率及周运动趋势的可视化面板，将“哑终端”升级为“智能伴侣”，提升用户获得感。</w:t>
      </w:r>
    </w:p>
    <w:p w14:paraId="473439EB">
      <w:pPr>
        <w:spacing w:line="360" w:lineRule="auto"/>
        <w:rPr>
          <w:rFonts w:hint="default"/>
        </w:rPr>
      </w:pPr>
      <w:r>
        <w:rPr>
          <w:rFonts w:hint="default"/>
        </w:rPr>
        <w:drawing>
          <wp:inline distT="0" distB="0" distL="114300" distR="114300">
            <wp:extent cx="5273040" cy="6350000"/>
            <wp:effectExtent l="0" t="0" r="10160" b="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6"/>
                    <a:stretch>
                      <a:fillRect/>
                    </a:stretch>
                  </pic:blipFill>
                  <pic:spPr>
                    <a:xfrm>
                      <a:off x="0" y="0"/>
                      <a:ext cx="5273040" cy="6350000"/>
                    </a:xfrm>
                    <a:prstGeom prst="rect">
                      <a:avLst/>
                    </a:prstGeom>
                    <a:noFill/>
                    <a:ln>
                      <a:noFill/>
                    </a:ln>
                  </pic:spPr>
                </pic:pic>
              </a:graphicData>
            </a:graphic>
          </wp:inline>
        </w:drawing>
      </w:r>
    </w:p>
    <w:p w14:paraId="5B4108F5">
      <w:pPr>
        <w:spacing w:line="360" w:lineRule="auto"/>
        <w:rPr>
          <w:rFonts w:hint="default"/>
        </w:rPr>
      </w:pPr>
      <w:r>
        <w:rPr>
          <w:rFonts w:hint="default"/>
        </w:rPr>
        <w:t>3. 界面三：AI 处方与一键报修（回应“人员不足”与“维护底线”）</w:t>
      </w:r>
      <w:r>
        <w:rPr>
          <w:rFonts w:hint="default"/>
        </w:rPr>
        <w:br w:type="textWrapping"/>
      </w:r>
      <w:r>
        <w:rPr>
          <w:rFonts w:hint="default"/>
        </w:rPr>
        <w:t>引入 AI 算法生成个性化运动处方，填补现场无教练指导的空白；设置显著的“一键报修”入口，承诺 48 小时闭环响应，通过数字化手段筑牢设施维护的“满意度底线”。</w:t>
      </w:r>
    </w:p>
    <w:p w14:paraId="2C8BF1C4">
      <w:pPr>
        <w:spacing w:line="360" w:lineRule="auto"/>
        <w:rPr>
          <w:rFonts w:hint="default"/>
        </w:rPr>
      </w:pPr>
      <w:r>
        <w:rPr>
          <w:rFonts w:hint="default"/>
        </w:rPr>
        <w:drawing>
          <wp:inline distT="0" distB="0" distL="114300" distR="114300">
            <wp:extent cx="5271770" cy="3674745"/>
            <wp:effectExtent l="0" t="0" r="11430" b="8255"/>
            <wp:docPr id="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pic:cNvPicPr>
                      <a:picLocks noChangeAspect="1"/>
                    </pic:cNvPicPr>
                  </pic:nvPicPr>
                  <pic:blipFill>
                    <a:blip r:embed="rId17"/>
                    <a:stretch>
                      <a:fillRect/>
                    </a:stretch>
                  </pic:blipFill>
                  <pic:spPr>
                    <a:xfrm>
                      <a:off x="0" y="0"/>
                      <a:ext cx="5271770" cy="3674745"/>
                    </a:xfrm>
                    <a:prstGeom prst="rect">
                      <a:avLst/>
                    </a:prstGeom>
                    <a:noFill/>
                    <a:ln>
                      <a:noFill/>
                    </a:ln>
                  </pic:spPr>
                </pic:pic>
              </a:graphicData>
            </a:graphic>
          </wp:inline>
        </w:drawing>
      </w:r>
    </w:p>
    <w:p w14:paraId="3383B238">
      <w:pPr>
        <w:spacing w:line="360" w:lineRule="auto"/>
        <w:rPr>
          <w:rFonts w:hint="default"/>
        </w:rPr>
      </w:pPr>
      <w:r>
        <w:rPr>
          <w:rFonts w:hint="default"/>
        </w:rPr>
        <w:t>4. 界面四：城市治理数字底座（回应“长效管理机制”）</w:t>
      </w:r>
      <w:r>
        <w:rPr>
          <w:rFonts w:hint="default"/>
        </w:rPr>
        <w:br w:type="textWrapping"/>
      </w:r>
      <w:r>
        <w:rPr>
          <w:rFonts w:hint="default"/>
        </w:rPr>
        <w:t>为管理者打造全域监管大屏，实时监测全市驿站 SEI 效能指数（当前 56.88）及设备完好率，实现从“被动管理”到“主动预警”的治理转型。</w:t>
      </w:r>
    </w:p>
    <w:p w14:paraId="29C61CC9">
      <w:pPr>
        <w:spacing w:line="36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6BD9B3"/>
    <w:multiLevelType w:val="singleLevel"/>
    <w:tmpl w:val="A76BD9B3"/>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9B221C"/>
    <w:rsid w:val="6CA61902"/>
    <w:rsid w:val="7AB80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NUL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7131</Words>
  <Characters>8335</Characters>
  <Lines>0</Lines>
  <Paragraphs>0</Paragraphs>
  <TotalTime>0</TotalTime>
  <ScaleCrop>false</ScaleCrop>
  <LinksUpToDate>false</LinksUpToDate>
  <CharactersWithSpaces>8699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2026-01-27T06:49:00Z</dcterms:created>
  <dc:creator>maoxingbo</dc:creator>
  <cp:lastModifiedBy>JL</cp:lastModifiedBy>
  <dcterms:modified xsi:type="dcterms:W3CDTF">2026-01-27T08:09:32Z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3233D3B5A5354ECF81BC7FA2D98BD7E2_12</vt:lpwstr>
  </property>
</Properties>
</file>