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18767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补充问题1的斯皮尔曼相关系数分析</w:t>
      </w:r>
    </w:p>
    <w:p w14:paraId="259343B5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优化问题1模型，加入GC作为考量</w:t>
      </w:r>
    </w:p>
    <w:p w14:paraId="505BFFC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补充GC无法作为过滤条件的原因</w:t>
      </w:r>
    </w:p>
    <w:p w14:paraId="4386803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问题4：</w:t>
      </w:r>
    </w:p>
    <w:p w14:paraId="403D5E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通过这种方式，你的每个模型都可以从这些罕见的双重异常样本中学习，从而提高模型的鲁棒性和泛化能力。为什么这种方法有效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模型训练：每个模型都专注于判断一种特定的疾病。当它看到一个同时异常的样本时，它会学习到该样本的特征（比如 13 号和 18 号的 Z 值都异常），这有助于模型更准确地识别未来的异常病例。诊断准确性：这种方法能确保你的最终诊断体系不会遗漏任何一种异常。如果一个胎儿同时患有唐氏综合征和爱德华氏综合征，你的 21 号模型和 18 号模型都会将其识别为异常，最终的综合判定结果仍是“异常”，这符合临床实践。</w:t>
      </w:r>
    </w:p>
    <w:p w14:paraId="67EB061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5.问题一的结果解释</w:t>
      </w:r>
    </w:p>
    <w:p w14:paraId="5D90D4E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6.男胎女胎异常与Z值关系的差异</w:t>
      </w:r>
    </w:p>
    <w:p w14:paraId="12F317E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7.问题4为什么选择二分类不选择四分类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D0C5A"/>
    <w:multiLevelType w:val="singleLevel"/>
    <w:tmpl w:val="A9AD0C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4136A6"/>
    <w:rsid w:val="69B0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20</Characters>
  <Lines>0</Lines>
  <Paragraphs>0</Paragraphs>
  <TotalTime>24</TotalTime>
  <ScaleCrop>false</ScaleCrop>
  <LinksUpToDate>false</LinksUpToDate>
  <CharactersWithSpaces>21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2025-09-04T16:45:00Z</dcterms:created>
  <dc:creator>maoxingbo</dc:creator>
  <cp:lastModifiedBy>JL</cp:lastModifiedBy>
  <dcterms:modified xsi:type="dcterms:W3CDTF">2025-09-05T17:23:39Z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A06A03FA1B8D4089BA8E97D294F18A36_12</vt:lpwstr>
  </property>
</Properties>
</file>