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1A"/>
          <w:sz w:val="34"/>
          <w:szCs w:val="34"/>
        </w:rPr>
        <w:t xml:space="preserve">Keystone Pipeline Throughput Analysis</w:t>
      </w:r>
    </w:p>
    <w:p>
      <w:pPr>
        <w:spacing w:after="300"/>
        <w:jc w:val="center"/>
      </w:pPr>
      <w:r>
        <w:rPr>
          <w:i/>
          <w:iCs/>
          <w:color w:val="555555"/>
          <w:sz w:val="21"/>
          <w:szCs w:val="21"/>
        </w:rPr>
        <w:t xml:space="preserve">A data analysis of monthly crude oil throughput and available capacity, 2010–2026</w:t>
      </w:r>
    </w:p>
    <w:p>
      <w:pPr>
        <w:pStyle w:val="Heading1"/>
        <w:pBdr>
          <w:bottom w:val="single" w:color="2E5395" w:sz="8" w:space="4"/>
        </w:pBdr>
        <w:spacing w:after="160" w:before="320"/>
      </w:pPr>
      <w:r>
        <w:rPr>
          <w:b/>
          <w:bCs/>
          <w:color w:val="2E5395"/>
          <w:sz w:val="28"/>
          <w:szCs w:val="28"/>
        </w:rPr>
        <w:t xml:space="preserve">1. Purpose</w:t>
      </w:r>
    </w:p>
    <w:p>
      <w:pPr>
        <w:spacing w:after="160" w:line="300"/>
      </w:pPr>
      <w:r>
        <w:rPr>
          <w:color w:val="1A1A1A"/>
          <w:sz w:val="21"/>
          <w:szCs w:val="21"/>
        </w:rPr>
        <w:t xml:space="preserve">This analysis examines monthly throughput and available capacity on the Keystone Pipeline using public regulatory data published by the Canada Energy Regulator (CER). The goal was to build a small, complete, and verifiable data analysis workflow — from raw regulatory filings to a cleaned dataset, calculated trend metrics, and a decision-relevant visualization — as hands-on preparation for demand forecasting and commercial analytics work in the energy sector. The findings below are drawn directly from the analysis output; no figures have been estimated or adjusted for presentation.</w:t>
      </w:r>
    </w:p>
    <w:p>
      <w:pPr>
        <w:pStyle w:val="Heading1"/>
        <w:pBdr>
          <w:bottom w:val="single" w:color="2E5395" w:sz="8" w:space="4"/>
        </w:pBdr>
        <w:spacing w:after="160" w:before="320"/>
      </w:pPr>
      <w:r>
        <w:rPr>
          <w:b/>
          <w:bCs/>
          <w:color w:val="2E5395"/>
          <w:sz w:val="28"/>
          <w:szCs w:val="28"/>
        </w:rPr>
        <w:t xml:space="preserve">2. Data Source and Methodology</w:t>
      </w:r>
    </w:p>
    <w:p>
      <w:pPr>
        <w:pStyle w:val="Heading2"/>
        <w:spacing w:after="100" w:before="220"/>
      </w:pPr>
      <w:r>
        <w:rPr>
          <w:b/>
          <w:bCs/>
          <w:color w:val="1A1A1A"/>
          <w:sz w:val="23"/>
          <w:szCs w:val="23"/>
        </w:rPr>
        <w:t xml:space="preserve">2.1 Source</w:t>
      </w:r>
    </w:p>
    <w:p>
      <w:pPr>
        <w:spacing w:after="160" w:line="300"/>
      </w:pPr>
      <w:r>
        <w:rPr>
          <w:color w:val="1A1A1A"/>
          <w:sz w:val="21"/>
          <w:szCs w:val="21"/>
        </w:rPr>
        <w:t xml:space="preserve">Data was sourced directly from the CER's public open data portal:</w:t>
      </w:r>
    </w:p>
    <w:p>
      <w:pPr>
        <w:spacing w:after="160" w:line="300"/>
      </w:pPr>
      <w:r>
        <w:rPr>
          <w:i/>
          <w:iCs/>
          <w:color w:val="1A1A1A"/>
          <w:sz w:val="21"/>
          <w:szCs w:val="21"/>
        </w:rPr>
        <w:t xml:space="preserve">https://www.cer-rec.gc.ca/open/energy/throughput-capacity/keystone-throughput-and-capacity.csv</w:t>
      </w:r>
    </w:p>
    <w:p>
      <w:pPr>
        <w:spacing w:after="160" w:line="300"/>
      </w:pPr>
      <w:r>
        <w:rPr>
          <w:color w:val="1A1A1A"/>
          <w:sz w:val="21"/>
          <w:szCs w:val="21"/>
        </w:rPr>
        <w:t xml:space="preserve">This dataset is filed quarterly by pipeline operators under CER's Filing Manual Guide BB reporting requirements and published under the Open Government Licence – Canada.</w:t>
      </w:r>
    </w:p>
    <w:p>
      <w:pPr>
        <w:pStyle w:val="Heading2"/>
        <w:spacing w:after="100" w:before="220"/>
      </w:pPr>
      <w:r>
        <w:rPr>
          <w:b/>
          <w:bCs/>
          <w:color w:val="1A1A1A"/>
          <w:sz w:val="23"/>
          <w:szCs w:val="23"/>
        </w:rPr>
        <w:t xml:space="preserve">2.2 Data Structure</w:t>
      </w:r>
    </w:p>
    <w:p>
      <w:pPr>
        <w:spacing w:after="160" w:line="300"/>
      </w:pPr>
      <w:r>
        <w:rPr>
          <w:color w:val="1A1A1A"/>
          <w:sz w:val="21"/>
          <w:szCs w:val="21"/>
        </w:rPr>
        <w:t xml:space="preserve">Each month, the source file reports one row per product traded at a given key point (for example, "domestic heavy" and "domestic light" crude reported separately). Throughput is genuinely distinct per product and was summed to produce a true monthly total. Available Capacity, however, is reported once per key point per month and repeated identically across every product row for that month — it was deliberately NOT summed across products, since doing so would inflate capacity by however many products were reported in a given month. This distinction was identified and corrected during development after an early version of the analysis produced an implausible, flat utilization figure.</w:t>
      </w:r>
    </w:p>
    <w:p>
      <w:pPr>
        <w:pStyle w:val="Heading2"/>
        <w:spacing w:after="100" w:before="220"/>
      </w:pPr>
      <w:r>
        <w:rPr>
          <w:b/>
          <w:bCs/>
          <w:color w:val="1A1A1A"/>
          <w:sz w:val="23"/>
          <w:szCs w:val="23"/>
        </w:rPr>
        <w:t xml:space="preserve">2.3 Processing Steps</w:t>
      </w:r>
    </w:p>
    <w:p>
      <w:pPr>
        <w:pStyle w:val="ListParagraph"/>
        <w:numPr>
          <w:ilvl w:val="0"/>
          <w:numId w:val="1"/>
        </w:numPr>
        <w:spacing w:after="90" w:line="290"/>
      </w:pPr>
      <w:r>
        <w:rPr>
          <w:color w:val="1A1A1A"/>
          <w:sz w:val="21"/>
          <w:szCs w:val="21"/>
        </w:rPr>
        <w:t xml:space="preserve">Raw CSV downloaded programmatically via a Python script (analyze.py, included in this repository).</w:t>
      </w:r>
    </w:p>
    <w:p>
      <w:pPr>
        <w:pStyle w:val="ListParagraph"/>
        <w:numPr>
          <w:ilvl w:val="0"/>
          <w:numId w:val="1"/>
        </w:numPr>
        <w:spacing w:after="90" w:line="290"/>
      </w:pPr>
      <w:r>
        <w:rPr>
          <w:color w:val="1A1A1A"/>
          <w:sz w:val="21"/>
          <w:szCs w:val="21"/>
        </w:rPr>
        <w:t xml:space="preserve">Relevant fields matched by exact column name (Date, Throughput, Available Capacity, Key Point, Product).</w:t>
      </w:r>
    </w:p>
    <w:p>
      <w:pPr>
        <w:pStyle w:val="ListParagraph"/>
        <w:numPr>
          <w:ilvl w:val="0"/>
          <w:numId w:val="1"/>
        </w:numPr>
        <w:spacing w:after="90" w:line="290"/>
      </w:pPr>
      <w:r>
        <w:rPr>
          <w:color w:val="1A1A1A"/>
          <w:sz w:val="21"/>
          <w:szCs w:val="21"/>
        </w:rPr>
        <w:t xml:space="preserve">Rows with missing or non-numeric throughput values removed.</w:t>
      </w:r>
    </w:p>
    <w:p>
      <w:pPr>
        <w:pStyle w:val="ListParagraph"/>
        <w:numPr>
          <w:ilvl w:val="0"/>
          <w:numId w:val="1"/>
        </w:numPr>
        <w:spacing w:after="90" w:line="290"/>
      </w:pPr>
      <w:r>
        <w:rPr>
          <w:color w:val="1A1A1A"/>
          <w:sz w:val="21"/>
          <w:szCs w:val="21"/>
        </w:rPr>
        <w:t xml:space="preserve">Throughput aggregated per key point per month (summed across products), then summed again across key points to produce a monthly system total.</w:t>
      </w:r>
    </w:p>
    <w:p>
      <w:pPr>
        <w:pStyle w:val="ListParagraph"/>
        <w:numPr>
          <w:ilvl w:val="0"/>
          <w:numId w:val="1"/>
        </w:numPr>
        <w:spacing w:after="90" w:line="290"/>
      </w:pPr>
      <w:r>
        <w:rPr>
          <w:color w:val="1A1A1A"/>
          <w:sz w:val="21"/>
          <w:szCs w:val="21"/>
        </w:rPr>
        <w:t xml:space="preserve">Available Capacity aggregated once per key point per month (not summed across products), then summed across distinct key points.</w:t>
      </w:r>
    </w:p>
    <w:p>
      <w:pPr>
        <w:pStyle w:val="ListParagraph"/>
        <w:numPr>
          <w:ilvl w:val="0"/>
          <w:numId w:val="1"/>
        </w:numPr>
        <w:spacing w:after="90" w:line="290"/>
      </w:pPr>
      <w:r>
        <w:rPr>
          <w:color w:val="1A1A1A"/>
          <w:sz w:val="21"/>
          <w:szCs w:val="21"/>
        </w:rPr>
        <w:t xml:space="preserve">A 3-month rolling average calculated to smooth short-term volatility and surface the underlying trend.</w:t>
      </w:r>
    </w:p>
    <w:p>
      <w:pPr>
        <w:pStyle w:val="ListParagraph"/>
        <w:numPr>
          <w:ilvl w:val="0"/>
          <w:numId w:val="1"/>
        </w:numPr>
        <w:spacing w:after="90" w:line="290"/>
      </w:pPr>
      <w:r>
        <w:rPr>
          <w:color w:val="1A1A1A"/>
          <w:sz w:val="21"/>
          <w:szCs w:val="21"/>
        </w:rPr>
        <w:t xml:space="preserve">Utilization calculated as monthly throughput divided by available capacity, with month-over-month utilization variance tracked to identify volatility.</w:t>
      </w:r>
    </w:p>
    <w:p>
      <w:pPr>
        <w:pStyle w:val="Heading2"/>
        <w:spacing w:after="100" w:before="220"/>
      </w:pPr>
      <w:r>
        <w:rPr>
          <w:b/>
          <w:bCs/>
          <w:color w:val="1A1A1A"/>
          <w:sz w:val="23"/>
          <w:szCs w:val="23"/>
        </w:rPr>
        <w:t xml:space="preserve">2.4 Limitations</w:t>
      </w:r>
    </w:p>
    <w:p>
      <w:pPr>
        <w:spacing w:after="160" w:line="300"/>
      </w:pPr>
      <w:r>
        <w:rPr>
          <w:color w:val="1A1A1A"/>
          <w:sz w:val="21"/>
          <w:szCs w:val="21"/>
        </w:rPr>
        <w:t xml:space="preserve">This analysis uses aggregated, publicly reported figures rather than shipper-level data, and does not have direct visibility into the specific operational, maintenance, or commercial reasons behind individual month-to-month changes, beyond the general "Reason for Variance" categories included in the source file (e.g. regulatory directives). Sharp short-term drops in the data are consistent with scheduled maintenance or apportionment events reported elsewhere by CER, but this analysis does not confirm specific causes for individual data points — that would require cross-referencing CER's market snapshot reports or company filings, which was outside the scope of this exercise.</w:t>
      </w:r>
    </w:p>
    <w:p>
      <w:pPr>
        <w:pStyle w:val="Heading1"/>
        <w:pBdr>
          <w:bottom w:val="single" w:color="2E5395" w:sz="8" w:space="4"/>
        </w:pBdr>
        <w:spacing w:after="160" w:before="320"/>
      </w:pPr>
      <w:r>
        <w:rPr>
          <w:b/>
          <w:bCs/>
          <w:color w:val="2E5395"/>
          <w:sz w:val="28"/>
          <w:szCs w:val="28"/>
        </w:rPr>
        <w:t xml:space="preserve">3. Summary Statistics</w:t>
      </w:r>
    </w:p>
    <w:p>
      <w:pPr>
        <w:spacing w:after="160" w:line="300"/>
      </w:pPr>
      <w:r>
        <w:rPr>
          <w:color w:val="1A1A1A"/>
          <w:sz w:val="21"/>
          <w:szCs w:val="21"/>
        </w:rPr>
        <w:t xml:space="preserve">Based on the full cleaned dataset (see output/keystone_clean.csv), verified against the underlying chart before being reported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5%"/>
            <w:shd w:fill="FFFFFF" w:val="clear"/>
            <w:tcMar>
              <w:top w:type="dxa" w:w="100"/>
              <w:left w:type="dxa" w:w="150"/>
              <w:bottom w:type="dxa" w:w="100"/>
              <w:right w:type="dxa" w:w="150"/>
            </w:tcMar>
          </w:tcPr>
          <w:p>
            <w:r>
              <w:rPr>
                <w:color w:val="1A1A1A"/>
                <w:sz w:val="21"/>
                <w:szCs w:val="21"/>
              </w:rPr>
              <w:t xml:space="preserve">Records analyzed</w:t>
            </w:r>
          </w:p>
        </w:tc>
        <w:tc>
          <w:tcPr>
            <w:tcW w:type="pct" w:w="45%"/>
            <w:shd w:fill="EAF0FA" w:val="clear"/>
            <w:tcMar>
              <w:top w:type="dxa" w:w="100"/>
              <w:left w:type="dxa" w:w="150"/>
              <w:bottom w:type="dxa" w:w="100"/>
              <w:right w:type="dxa" w:w="150"/>
            </w:tcMar>
          </w:tcPr>
          <w:p>
            <w:r>
              <w:rPr>
                <w:b/>
                <w:bCs/>
                <w:color w:val="1A1A1A"/>
                <w:sz w:val="21"/>
                <w:szCs w:val="21"/>
              </w:rPr>
              <w:t xml:space="preserve">189 monthly observations</w:t>
            </w:r>
          </w:p>
        </w:tc>
      </w:tr>
      <w:tr>
        <w:tc>
          <w:tcPr>
            <w:tcW w:type="pct" w:w="55%"/>
            <w:shd w:fill="FFFFFF" w:val="clear"/>
            <w:tcMar>
              <w:top w:type="dxa" w:w="100"/>
              <w:left w:type="dxa" w:w="150"/>
              <w:bottom w:type="dxa" w:w="100"/>
              <w:right w:type="dxa" w:w="150"/>
            </w:tcMar>
          </w:tcPr>
          <w:p>
            <w:r>
              <w:rPr>
                <w:color w:val="1A1A1A"/>
                <w:sz w:val="21"/>
                <w:szCs w:val="21"/>
              </w:rPr>
              <w:t xml:space="preserve">Date range</w:t>
            </w:r>
          </w:p>
        </w:tc>
        <w:tc>
          <w:tcPr>
            <w:tcW w:type="pct" w:w="45%"/>
            <w:shd w:fill="EAF0FA" w:val="clear"/>
            <w:tcMar>
              <w:top w:type="dxa" w:w="100"/>
              <w:left w:type="dxa" w:w="150"/>
              <w:bottom w:type="dxa" w:w="100"/>
              <w:right w:type="dxa" w:w="150"/>
            </w:tcMar>
          </w:tcPr>
          <w:p>
            <w:r>
              <w:rPr>
                <w:b/>
                <w:bCs/>
                <w:color w:val="1A1A1A"/>
                <w:sz w:val="21"/>
                <w:szCs w:val="21"/>
              </w:rPr>
              <w:t xml:space="preserve">July 2010 – March 2026</w:t>
            </w:r>
          </w:p>
        </w:tc>
      </w:tr>
      <w:tr>
        <w:tc>
          <w:tcPr>
            <w:tcW w:type="pct" w:w="55%"/>
            <w:shd w:fill="FFFFFF" w:val="clear"/>
            <w:tcMar>
              <w:top w:type="dxa" w:w="100"/>
              <w:left w:type="dxa" w:w="150"/>
              <w:bottom w:type="dxa" w:w="100"/>
              <w:right w:type="dxa" w:w="150"/>
            </w:tcMar>
          </w:tcPr>
          <w:p>
            <w:r>
              <w:rPr>
                <w:color w:val="1A1A1A"/>
                <w:sz w:val="21"/>
                <w:szCs w:val="21"/>
              </w:rPr>
              <w:t xml:space="preserve">Average monthly throughput</w:t>
            </w:r>
          </w:p>
        </w:tc>
        <w:tc>
          <w:tcPr>
            <w:tcW w:type="pct" w:w="45%"/>
            <w:shd w:fill="EAF0FA" w:val="clear"/>
            <w:tcMar>
              <w:top w:type="dxa" w:w="100"/>
              <w:left w:type="dxa" w:w="150"/>
              <w:bottom w:type="dxa" w:w="100"/>
              <w:right w:type="dxa" w:w="150"/>
            </w:tcMar>
          </w:tcPr>
          <w:p>
            <w:r>
              <w:rPr>
                <w:b/>
                <w:bCs/>
                <w:color w:val="1A1A1A"/>
                <w:sz w:val="21"/>
                <w:szCs w:val="21"/>
              </w:rPr>
              <w:t xml:space="preserve">85.8 (thousand m³/d)</w:t>
            </w:r>
          </w:p>
        </w:tc>
      </w:tr>
      <w:tr>
        <w:tc>
          <w:tcPr>
            <w:tcW w:type="pct" w:w="55%"/>
            <w:shd w:fill="FFFFFF" w:val="clear"/>
            <w:tcMar>
              <w:top w:type="dxa" w:w="100"/>
              <w:left w:type="dxa" w:w="150"/>
              <w:bottom w:type="dxa" w:w="100"/>
              <w:right w:type="dxa" w:w="150"/>
            </w:tcMar>
          </w:tcPr>
          <w:p>
            <w:r>
              <w:rPr>
                <w:color w:val="1A1A1A"/>
                <w:sz w:val="21"/>
                <w:szCs w:val="21"/>
              </w:rPr>
              <w:t xml:space="preserve">Maximum monthly throughput</w:t>
            </w:r>
          </w:p>
        </w:tc>
        <w:tc>
          <w:tcPr>
            <w:tcW w:type="pct" w:w="45%"/>
            <w:shd w:fill="EAF0FA" w:val="clear"/>
            <w:tcMar>
              <w:top w:type="dxa" w:w="100"/>
              <w:left w:type="dxa" w:w="150"/>
              <w:bottom w:type="dxa" w:w="100"/>
              <w:right w:type="dxa" w:w="150"/>
            </w:tcMar>
          </w:tcPr>
          <w:p>
            <w:r>
              <w:rPr>
                <w:b/>
                <w:bCs/>
                <w:color w:val="1A1A1A"/>
                <w:sz w:val="21"/>
                <w:szCs w:val="21"/>
              </w:rPr>
              <w:t xml:space="preserve">102.2 (thousand m³/d)</w:t>
            </w:r>
          </w:p>
        </w:tc>
      </w:tr>
      <w:tr>
        <w:tc>
          <w:tcPr>
            <w:tcW w:type="pct" w:w="55%"/>
            <w:shd w:fill="FFFFFF" w:val="clear"/>
            <w:tcMar>
              <w:top w:type="dxa" w:w="100"/>
              <w:left w:type="dxa" w:w="150"/>
              <w:bottom w:type="dxa" w:w="100"/>
              <w:right w:type="dxa" w:w="150"/>
            </w:tcMar>
          </w:tcPr>
          <w:p>
            <w:r>
              <w:rPr>
                <w:color w:val="1A1A1A"/>
                <w:sz w:val="21"/>
                <w:szCs w:val="21"/>
              </w:rPr>
              <w:t xml:space="preserve">Minimum monthly throughput</w:t>
            </w:r>
          </w:p>
        </w:tc>
        <w:tc>
          <w:tcPr>
            <w:tcW w:type="pct" w:w="45%"/>
            <w:shd w:fill="EAF0FA" w:val="clear"/>
            <w:tcMar>
              <w:top w:type="dxa" w:w="100"/>
              <w:left w:type="dxa" w:w="150"/>
              <w:bottom w:type="dxa" w:w="100"/>
              <w:right w:type="dxa" w:w="150"/>
            </w:tcMar>
          </w:tcPr>
          <w:p>
            <w:r>
              <w:rPr>
                <w:b/>
                <w:bCs/>
                <w:color w:val="1A1A1A"/>
                <w:sz w:val="21"/>
                <w:szCs w:val="21"/>
              </w:rPr>
              <w:t xml:space="preserve">15.1 (thousand m³/d)</w:t>
            </w:r>
          </w:p>
        </w:tc>
      </w:tr>
      <w:tr>
        <w:tc>
          <w:tcPr>
            <w:tcW w:type="pct" w:w="55%"/>
            <w:shd w:fill="FFFFFF" w:val="clear"/>
            <w:tcMar>
              <w:top w:type="dxa" w:w="100"/>
              <w:left w:type="dxa" w:w="150"/>
              <w:bottom w:type="dxa" w:w="100"/>
              <w:right w:type="dxa" w:w="150"/>
            </w:tcMar>
          </w:tcPr>
          <w:p>
            <w:r>
              <w:rPr>
                <w:color w:val="1A1A1A"/>
                <w:sz w:val="21"/>
                <w:szCs w:val="21"/>
              </w:rPr>
              <w:t xml:space="preserve">Average utilization</w:t>
            </w:r>
          </w:p>
        </w:tc>
        <w:tc>
          <w:tcPr>
            <w:tcW w:type="pct" w:w="45%"/>
            <w:shd w:fill="EAF0FA" w:val="clear"/>
            <w:tcMar>
              <w:top w:type="dxa" w:w="100"/>
              <w:left w:type="dxa" w:w="150"/>
              <w:bottom w:type="dxa" w:w="100"/>
              <w:right w:type="dxa" w:w="150"/>
            </w:tcMar>
          </w:tcPr>
          <w:p>
            <w:r>
              <w:rPr>
                <w:b/>
                <w:bCs/>
                <w:color w:val="1A1A1A"/>
                <w:sz w:val="21"/>
                <w:szCs w:val="21"/>
              </w:rPr>
              <w:t xml:space="preserve">96.0%</w:t>
            </w:r>
          </w:p>
        </w:tc>
      </w:tr>
      <w:tr>
        <w:tc>
          <w:tcPr>
            <w:tcW w:type="pct" w:w="55%"/>
            <w:shd w:fill="FFFFFF" w:val="clear"/>
            <w:tcMar>
              <w:top w:type="dxa" w:w="100"/>
              <w:left w:type="dxa" w:w="150"/>
              <w:bottom w:type="dxa" w:w="100"/>
              <w:right w:type="dxa" w:w="150"/>
            </w:tcMar>
          </w:tcPr>
          <w:p>
            <w:r>
              <w:rPr>
                <w:color w:val="1A1A1A"/>
                <w:sz w:val="21"/>
                <w:szCs w:val="21"/>
              </w:rPr>
              <w:t xml:space="preserve">Largest month-over-month utilization swing</w:t>
            </w:r>
          </w:p>
        </w:tc>
        <w:tc>
          <w:tcPr>
            <w:tcW w:type="pct" w:w="45%"/>
            <w:shd w:fill="EAF0FA" w:val="clear"/>
            <w:tcMar>
              <w:top w:type="dxa" w:w="100"/>
              <w:left w:type="dxa" w:w="150"/>
              <w:bottom w:type="dxa" w:w="100"/>
              <w:right w:type="dxa" w:w="150"/>
            </w:tcMar>
          </w:tcPr>
          <w:p>
            <w:r>
              <w:rPr>
                <w:b/>
                <w:bCs/>
                <w:color w:val="1A1A1A"/>
                <w:sz w:val="21"/>
                <w:szCs w:val="21"/>
              </w:rPr>
              <w:t xml:space="preserve">47.6 percentage points</w:t>
            </w:r>
          </w:p>
        </w:tc>
      </w:tr>
    </w:tbl>
    <w:p>
      <w:pPr>
        <w:spacing w:after="160" w:line="300"/>
      </w:pPr>
      <w:r>
        <w:rPr>
          <w:color w:val="1A1A1A"/>
          <w:sz w:val="21"/>
          <w:szCs w:val="21"/>
        </w:rPr>
        <w:t xml:space="preserve"/>
      </w:r>
    </w:p>
    <w:p>
      <w:pPr>
        <w:pStyle w:val="Heading1"/>
        <w:pBdr>
          <w:bottom w:val="single" w:color="2E5395" w:sz="8" w:space="4"/>
        </w:pBdr>
        <w:spacing w:after="160" w:before="320"/>
      </w:pPr>
      <w:r>
        <w:rPr>
          <w:b/>
          <w:bCs/>
          <w:color w:val="2E5395"/>
          <w:sz w:val="28"/>
          <w:szCs w:val="28"/>
        </w:rPr>
        <w:t xml:space="preserve">4. Chart: Throughput vs. Rolling Average vs. Capacity</w:t>
      </w:r>
    </w:p>
    <w:p>
      <w:pPr>
        <w:spacing w:after="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05125"/>
                    </a:xfrm>
                    <a:prstGeom prst="rect">
                      <a:avLst/>
                    </a:prstGeom>
                  </pic:spPr>
                </pic:pic>
              </a:graphicData>
            </a:graphic>
          </wp:inline>
        </w:drawing>
      </w:r>
    </w:p>
    <w:p>
      <w:pPr>
        <w:spacing w:after="260" w:line="300"/>
      </w:pPr>
      <w:r>
        <w:rPr>
          <w:i/>
          <w:iCs/>
          <w:color w:val="1A1A1A"/>
          <w:sz w:val="21"/>
          <w:szCs w:val="21"/>
        </w:rPr>
        <w:t xml:space="preserve">Figure 1: Monthly throughput (blue), 3-month rolling average (orange), and available capacity (green, dashed) from July 2010 to March 2026.</w:t>
      </w:r>
    </w:p>
    <w:p>
      <w:pPr>
        <w:pStyle w:val="Heading1"/>
        <w:pBdr>
          <w:bottom w:val="single" w:color="2E5395" w:sz="8" w:space="4"/>
        </w:pBdr>
        <w:spacing w:after="160" w:before="320"/>
      </w:pPr>
      <w:r>
        <w:rPr>
          <w:b/>
          <w:bCs/>
          <w:color w:val="2E5395"/>
          <w:sz w:val="28"/>
          <w:szCs w:val="28"/>
        </w:rPr>
        <w:t xml:space="preserve">5. Findings</w:t>
      </w:r>
    </w:p>
    <w:p>
      <w:pPr>
        <w:pStyle w:val="Heading2"/>
        <w:spacing w:after="100" w:before="220"/>
      </w:pPr>
      <w:r>
        <w:rPr>
          <w:b/>
          <w:bCs/>
          <w:color w:val="1A1A1A"/>
          <w:sz w:val="23"/>
          <w:szCs w:val="23"/>
        </w:rPr>
        <w:t xml:space="preserve">5.1 Early-life ramp-up (2010–2012)</w:t>
      </w:r>
    </w:p>
    <w:p>
      <w:pPr>
        <w:spacing w:after="160" w:line="300"/>
      </w:pPr>
      <w:r>
        <w:rPr>
          <w:color w:val="1A1A1A"/>
          <w:sz w:val="21"/>
          <w:szCs w:val="21"/>
        </w:rPr>
        <w:t xml:space="preserve">The dataset opens with a steep climb in both throughput and available capacity, consistent with a pipeline system in its early operating life scaling toward design capacity. Throughput rose from roughly 15–20 to the 75–85 range within about eighteen months, tracking closely behind capacity additions over the same period.</w:t>
      </w:r>
    </w:p>
    <w:p>
      <w:pPr>
        <w:pStyle w:val="Heading2"/>
        <w:spacing w:after="100" w:before="220"/>
      </w:pPr>
      <w:r>
        <w:rPr>
          <w:b/>
          <w:bCs/>
          <w:color w:val="1A1A1A"/>
          <w:sz w:val="23"/>
          <w:szCs w:val="23"/>
        </w:rPr>
        <w:t xml:space="preserve">5.2 Sustained, high utilization</w:t>
      </w:r>
    </w:p>
    <w:p>
      <w:pPr>
        <w:spacing w:after="160" w:line="300"/>
      </w:pPr>
      <w:r>
        <w:rPr>
          <w:color w:val="1A1A1A"/>
          <w:sz w:val="21"/>
          <w:szCs w:val="21"/>
        </w:rPr>
        <w:t xml:space="preserve">From 2012 onward, throughput and the rolling average track very close to available capacity, with the gap between the two narrow for most of the dataset. Average utilization across the full 189-month period is 96.0%, indicating that, outside the periodic disruptions described below, the system has operated near its available capacity for most of the last decade — capacity additions over this period appear to have been made largely to accommodate demand already present, rather than built well ahead of it.</w:t>
      </w:r>
    </w:p>
    <w:p>
      <w:pPr>
        <w:pStyle w:val="Heading2"/>
        <w:spacing w:after="100" w:before="220"/>
      </w:pPr>
      <w:r>
        <w:rPr>
          <w:b/>
          <w:bCs/>
          <w:color w:val="1A1A1A"/>
          <w:sz w:val="23"/>
          <w:szCs w:val="23"/>
        </w:rPr>
        <w:t xml:space="preserve">5.3 Recurring short-term volatility</w:t>
      </w:r>
    </w:p>
    <w:p>
      <w:pPr>
        <w:spacing w:after="160" w:line="300"/>
      </w:pPr>
      <w:r>
        <w:rPr>
          <w:color w:val="1A1A1A"/>
          <w:sz w:val="21"/>
          <w:szCs w:val="21"/>
        </w:rPr>
        <w:t xml:space="preserve">The data shows a repeating pattern: sharp, single-month drops in throughput that recover within one to two months, occurring roughly every 18–24 months (visible around 2016, 2018, 2020, 2023, and 2025). The largest month-over-month utilization swing in the dataset is 47.6 percentage points, reflecting how significant these individual disruption events are relative to the system's normal near-full operating range. The rolling average line is deliberately designed to smooth through these events rather than mask them — the raw throughput line still shows each dip clearly, while the rolling average shows that the underlying trend recovers quickly each time.</w:t>
      </w:r>
    </w:p>
    <w:p>
      <w:pPr>
        <w:pStyle w:val="Heading2"/>
        <w:spacing w:after="100" w:before="220"/>
      </w:pPr>
      <w:r>
        <w:rPr>
          <w:b/>
          <w:bCs/>
          <w:color w:val="1A1A1A"/>
          <w:sz w:val="23"/>
          <w:szCs w:val="23"/>
        </w:rPr>
        <w:t xml:space="preserve">5.4 Long-term trend</w:t>
      </w:r>
    </w:p>
    <w:p>
      <w:pPr>
        <w:spacing w:after="160" w:line="300"/>
      </w:pPr>
      <w:r>
        <w:rPr>
          <w:color w:val="1A1A1A"/>
          <w:sz w:val="21"/>
          <w:szCs w:val="21"/>
        </w:rPr>
        <w:t xml:space="preserve">Excluding the early ramp-up period, both throughput and capacity show a gradual upward trend over the full 15-year window, with the rolling average reaching its highest sustained levels (95–100) in the most recent data (2024–2026), tracking closely alongside capacity additions made over the same period.</w:t>
      </w:r>
    </w:p>
    <w:p>
      <w:pPr>
        <w:pStyle w:val="Heading1"/>
        <w:pBdr>
          <w:bottom w:val="single" w:color="2E5395" w:sz="8" w:space="4"/>
        </w:pBdr>
        <w:spacing w:after="160" w:before="320"/>
      </w:pPr>
      <w:r>
        <w:rPr>
          <w:b/>
          <w:bCs/>
          <w:color w:val="2E5395"/>
          <w:sz w:val="28"/>
          <w:szCs w:val="28"/>
        </w:rPr>
        <w:t xml:space="preserve">6. Interpretation for Commercial / Demand Planning</w:t>
      </w:r>
    </w:p>
    <w:p>
      <w:pPr>
        <w:spacing w:after="160" w:line="300"/>
      </w:pPr>
      <w:r>
        <w:rPr>
          <w:color w:val="1A1A1A"/>
          <w:sz w:val="21"/>
          <w:szCs w:val="21"/>
        </w:rPr>
        <w:t xml:space="preserve">Read together, these findings suggest a system operating at consistently high utilization, where capacity has generally been added to keep pace with demand rather than sitting well ahead of it. This has direct planning implications: with average utilization near 96%, there is limited slack to absorb sustained demand growth without either capacity expansion or operational adjustment. At the same time, the recurring short-term disruptions (each resolving within one to two months) show that even a high-utilization system experiences regular, moderate-to-large swings that a forecasting model needs to account for — a 3-month rolling average, as used here, is one straightforward way to distinguish that expected volatility from a genuine shift in the underlying trend.</w:t>
      </w:r>
    </w:p>
    <w:p>
      <w:pPr>
        <w:pStyle w:val="Heading1"/>
        <w:pBdr>
          <w:bottom w:val="single" w:color="2E5395" w:sz="8" w:space="4"/>
        </w:pBdr>
        <w:spacing w:after="160" w:before="320"/>
      </w:pPr>
      <w:r>
        <w:rPr>
          <w:b/>
          <w:bCs/>
          <w:color w:val="2E5395"/>
          <w:sz w:val="28"/>
          <w:szCs w:val="28"/>
        </w:rPr>
        <w:t xml:space="preserve">7. Files in This Analysis</w:t>
      </w:r>
    </w:p>
    <w:p>
      <w:pPr>
        <w:pStyle w:val="ListParagraph"/>
        <w:numPr>
          <w:ilvl w:val="0"/>
          <w:numId w:val="1"/>
        </w:numPr>
        <w:spacing w:after="90" w:line="290"/>
      </w:pPr>
      <w:r>
        <w:rPr>
          <w:color w:val="1A1A1A"/>
          <w:sz w:val="21"/>
          <w:szCs w:val="21"/>
        </w:rPr>
        <w:t xml:space="preserve">analyze.py — full analysis script (download, clean, calculate, visualize)</w:t>
      </w:r>
    </w:p>
    <w:p>
      <w:pPr>
        <w:pStyle w:val="ListParagraph"/>
        <w:numPr>
          <w:ilvl w:val="0"/>
          <w:numId w:val="1"/>
        </w:numPr>
        <w:spacing w:after="90" w:line="290"/>
      </w:pPr>
      <w:r>
        <w:rPr>
          <w:color w:val="1A1A1A"/>
          <w:sz w:val="21"/>
          <w:szCs w:val="21"/>
        </w:rPr>
        <w:t xml:space="preserve">output/keystone_clean.csv — cleaned, monthly-aggregated dataset (generated locally; not included in repository)</w:t>
      </w:r>
    </w:p>
    <w:p>
      <w:pPr>
        <w:pStyle w:val="ListParagraph"/>
        <w:numPr>
          <w:ilvl w:val="0"/>
          <w:numId w:val="1"/>
        </w:numPr>
        <w:spacing w:after="90" w:line="290"/>
      </w:pPr>
      <w:r>
        <w:rPr>
          <w:color w:val="1A1A1A"/>
          <w:sz w:val="21"/>
          <w:szCs w:val="21"/>
        </w:rPr>
        <w:t xml:space="preserve">assets/keystone_throughput_chart.png — chart shown in Figure 1 above</w:t>
      </w:r>
    </w:p>
    <w:p>
      <w:pPr>
        <w:pStyle w:val="ListParagraph"/>
        <w:numPr>
          <w:ilvl w:val="0"/>
          <w:numId w:val="1"/>
        </w:numPr>
        <w:spacing w:after="90" w:line="290"/>
      </w:pPr>
      <w:r>
        <w:rPr>
          <w:color w:val="1A1A1A"/>
          <w:sz w:val="21"/>
          <w:szCs w:val="21"/>
        </w:rPr>
        <w:t xml:space="preserve">README.md — project overview and setup instructions</w:t>
      </w:r>
    </w:p>
    <w:p>
      <w:pPr>
        <w:spacing w:after="40" w:line="300"/>
      </w:pPr>
      <w:r>
        <w:rPr>
          <w:i/>
          <w:iCs/>
          <w:color w:val="1A1A1A"/>
          <w:sz w:val="21"/>
          <w:szCs w:val="21"/>
        </w:rPr>
        <w:t xml:space="preserve">Repository: github.com/mo-yusuf-da/pipeline-throughput-analysis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7cdeacfb8ab4d6f962a3e886eef85c1b5df6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2026-07-03T13:15:05.787Z</dcterms:created>
  <dcterms:modified xsi:type="dcterms:W3CDTF">2026-07-03T13:15:05.787Z</dcterms:modified>
</cp:coreProperties>
</file>

<file path=docProps/custom.xml><?xml version="1.0" encoding="utf-8"?>
<Properties xmlns="http://schemas.openxmlformats.org/officeDocument/2006/custom-properties" xmlns:vt="http://schemas.openxmlformats.org/officeDocument/2006/docPropsVTypes"/>
</file>