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Geostrategy and Economic Analysis - CHAPTER VI QUATER</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of global operational AI compute = USA</w:t>
            </w:r>
          </w:p>
        </w:tc>
        <w:tc>
          <w:tcPr>
            <w:tcW w:type="dxa" w:w="3249"/>
          </w:tcPr>
          <w:p>
            <w:pPr>
              <w:jc w:val="center"/>
            </w:pPr>
            <w:r/>
            <w:r>
              <w:rPr>
                <w:rFonts w:ascii="Calibri" w:hAnsi="Calibri"/>
                <w:b/>
                <w:i w:val="0"/>
                <w:color w:val="1A2744"/>
                <w:sz w:val="22"/>
              </w:rPr>
              <w:t>1.59x EU/US energy cost (PPP-adjusted)</w:t>
            </w:r>
          </w:p>
        </w:tc>
        <w:tc>
          <w:tcPr>
            <w:tcW w:type="dxa" w:w="3249"/>
          </w:tcPr>
          <w:p>
            <w:pPr>
              <w:jc w:val="center"/>
            </w:pPr>
            <w:r/>
            <w:r>
              <w:rPr>
                <w:rFonts w:ascii="Calibri" w:hAnsi="Calibri"/>
                <w:b/>
                <w:i w:val="0"/>
                <w:color w:val="1A2744"/>
                <w:sz w:val="22"/>
              </w:rPr>
              <w:t>3.46:1 US/EU CACI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CHAPTER VI QUATER</w:t>
      </w:r>
    </w:p>
    <w:p>
      <w:pPr>
        <w:spacing w:after="240"/>
        <w:jc w:val="center"/>
      </w:pPr>
      <w:r>
        <w:rPr>
          <w:rFonts w:ascii="Calibri" w:hAnsi="Calibri"/>
          <w:b/>
          <w:i w:val="0"/>
          <w:color w:val="1A2744"/>
          <w:sz w:val="36"/>
        </w:rPr>
        <w:t>Consequences for Africa</w:t>
      </w:r>
    </w:p>
    <w:p>
      <w:pPr>
        <w:spacing w:after="200" w:line="300" w:lineRule="auto"/>
      </w:pPr>
      <w:r>
        <w:rPr>
          <w:rFonts w:ascii="Calibri" w:hAnsi="Calibri"/>
          <w:b w:val="0"/>
          <w:i/>
          <w:color w:val="555555"/>
          <w:sz w:val="22"/>
        </w:rPr>
        <w:t>Africa represents the next frontier of the AI economy. While the region currently has the lowest compute density in the world, its demographic potential and renewable energy assets make it a strategic terrain for the next decade. This chapter analyzes the impact of US protectionism on the African 'Compute Leapfrog', the infrastructure competition between the US and China, and the risk of a new digital divide.</w:t>
      </w:r>
    </w:p>
    <w:p>
      <w:pPr>
        <w:spacing w:before="280" w:after="120"/>
      </w:pPr>
      <w:r>
        <w:rPr>
          <w:rFonts w:ascii="Calibri" w:hAnsi="Calibri"/>
          <w:b/>
          <w:i w:val="0"/>
          <w:color w:val="1A2744"/>
          <w:sz w:val="32"/>
        </w:rPr>
        <w:t>6quater.1 The African 'Compute Leapfrog' challenge</w:t>
      </w:r>
    </w:p>
    <w:p>
      <w:pPr>
        <w:jc w:val="center"/>
      </w:pPr>
      <w:r>
        <w:drawing>
          <wp:inline xmlns:a="http://schemas.openxmlformats.org/drawingml/2006/main" xmlns:pic="http://schemas.openxmlformats.org/drawingml/2006/picture">
            <wp:extent cx="5486400" cy="3514283"/>
            <wp:docPr id="1" name="Picture 1"/>
            <wp:cNvGraphicFramePr>
              <a:graphicFrameLocks noChangeAspect="1"/>
            </wp:cNvGraphicFramePr>
            <a:graphic>
              <a:graphicData uri="http://schemas.openxmlformats.org/drawingml/2006/picture">
                <pic:pic>
                  <pic:nvPicPr>
                    <pic:cNvPr id="0" name="Fig_6quat.1_Africa_Deficit_EN.png"/>
                    <pic:cNvPicPr/>
                  </pic:nvPicPr>
                  <pic:blipFill>
                    <a:blip r:embed="rId9"/>
                    <a:stretch>
                      <a:fillRect/>
                    </a:stretch>
                  </pic:blipFill>
                  <pic:spPr>
                    <a:xfrm>
                      <a:off x="0" y="0"/>
                      <a:ext cx="5486400" cy="3514283"/>
                    </a:xfrm>
                    <a:prstGeom prst="rect"/>
                  </pic:spPr>
                </pic:pic>
              </a:graphicData>
            </a:graphic>
          </wp:inline>
        </w:drawing>
      </w:r>
    </w:p>
    <w:p/>
    <w:p>
      <w:pPr>
        <w:spacing w:before="160" w:after="120"/>
      </w:pPr>
      <w:r>
        <w:rPr>
          <w:rFonts w:ascii="Calibri" w:hAnsi="Calibri"/>
          <w:b/>
          <w:i w:val="0"/>
          <w:color w:val="1A2744"/>
          <w:sz w:val="26"/>
        </w:rPr>
        <w:t>6quater.1.1 Infrastructure deficit and potential</w:t>
      </w:r>
    </w:p>
    <w:p>
      <w:pPr>
        <w:spacing w:after="120" w:line="300" w:lineRule="auto"/>
      </w:pPr>
      <w:r>
        <w:rPr>
          <w:rFonts w:ascii="Calibri" w:hAnsi="Calibri"/>
          <w:b w:val="0"/>
          <w:i w:val="0"/>
          <w:color w:val="202020"/>
          <w:sz w:val="22"/>
        </w:rPr>
        <w:t>Africa represents less than 1% of global colocation data center capacity in 2025.[1] However, the demand for local compute is exploding, driven by the digitization of financial services (M-Pesa, Flutterwave) and the need for model localization (African languages, specific socio-economic contexts). South Africa (Cape Town, Johannesburg), Nigeria (Lagos), and Kenya (Nairobi) are the primary hubs.</w:t>
      </w:r>
    </w:p>
    <w:p>
      <w:pPr>
        <w:spacing w:after="120" w:line="300" w:lineRule="auto"/>
      </w:pPr>
      <w:r>
        <w:rPr>
          <w:rFonts w:ascii="Calibri" w:hAnsi="Calibri"/>
          <w:b w:val="0"/>
          <w:i w:val="0"/>
          <w:color w:val="202020"/>
          <w:sz w:val="22"/>
        </w:rPr>
        <w:t>American AI protectionism (Tier 2 status for the entire continent) creates an entry barrier: African startups and governments have access to the US cloud, but building local sovereign infrastructure is hampered by GPU import caps and the high cost of capital. This reinforces a 'Cloud Dependency' that captures value toward US hyperscalers.</w:t>
      </w:r>
    </w:p>
    <w:p>
      <w:pPr>
        <w:jc w:val="center"/>
      </w:pPr>
      <w:r>
        <w:drawing>
          <wp:inline xmlns:a="http://schemas.openxmlformats.org/drawingml/2006/main" xmlns:pic="http://schemas.openxmlformats.org/drawingml/2006/picture">
            <wp:extent cx="5486400" cy="3514283"/>
            <wp:docPr id="2" name="Picture 2"/>
            <wp:cNvGraphicFramePr>
              <a:graphicFrameLocks noChangeAspect="1"/>
            </wp:cNvGraphicFramePr>
            <a:graphic>
              <a:graphicData uri="http://schemas.openxmlformats.org/drawingml/2006/picture">
                <pic:pic>
                  <pic:nvPicPr>
                    <pic:cNvPr id="0" name="Fig_6quat.1_Africa_Deficit_EN.png"/>
                    <pic:cNvPicPr/>
                  </pic:nvPicPr>
                  <pic:blipFill>
                    <a:blip r:embed="rId9"/>
                    <a:stretch>
                      <a:fillRect/>
                    </a:stretch>
                  </pic:blipFill>
                  <pic:spPr>
                    <a:xfrm>
                      <a:off x="0" y="0"/>
                      <a:ext cx="5486400" cy="3514283"/>
                    </a:xfrm>
                    <a:prstGeom prst="rect"/>
                  </pic:spPr>
                </pic:pic>
              </a:graphicData>
            </a:graphic>
          </wp:inline>
        </w:drawing>
      </w:r>
    </w:p>
    <w:p/>
    <w:p>
      <w:pPr>
        <w:spacing w:before="160" w:after="120"/>
      </w:pPr>
      <w:r>
        <w:rPr>
          <w:rFonts w:ascii="Calibri" w:hAnsi="Calibri"/>
          <w:b/>
          <w:i w:val="0"/>
          <w:color w:val="1A2744"/>
          <w:sz w:val="26"/>
        </w:rPr>
        <w:t>6quater.1.2 Renewable energy: Africa's comparative advantage</w:t>
      </w:r>
    </w:p>
    <w:p>
      <w:pPr>
        <w:spacing w:after="120" w:line="300" w:lineRule="auto"/>
      </w:pPr>
      <w:r>
        <w:rPr>
          <w:rFonts w:ascii="Calibri" w:hAnsi="Calibri"/>
          <w:b w:val="0"/>
          <w:i w:val="0"/>
          <w:color w:val="202020"/>
          <w:sz w:val="22"/>
        </w:rPr>
        <w:t>Like Brazil, Africa possesses massive renewable energy potential (solar in the Sahel, hydroelectric in Central Africa, wind in the Maghreb). Data center projects like the 'Green Africa Compute' initiative seek to use this energy to host sustainable AI infrastructure. However, the lack of transmission grids and the instability of the business climate remain major obstacles to attracting the necessary multi-billion dollar investments.</w:t>
      </w:r>
    </w:p>
    <w:p>
      <w:pPr>
        <w:jc w:val="center"/>
      </w:pPr>
      <w:r>
        <w:drawing>
          <wp:inline xmlns:a="http://schemas.openxmlformats.org/drawingml/2006/main" xmlns:pic="http://schemas.openxmlformats.org/drawingml/2006/picture">
            <wp:extent cx="5486400" cy="3514283"/>
            <wp:docPr id="3" name="Picture 3"/>
            <wp:cNvGraphicFramePr>
              <a:graphicFrameLocks noChangeAspect="1"/>
            </wp:cNvGraphicFramePr>
            <a:graphic>
              <a:graphicData uri="http://schemas.openxmlformats.org/drawingml/2006/picture">
                <pic:pic>
                  <pic:nvPicPr>
                    <pic:cNvPr id="0" name="Fig_6quat.1_Africa_Deficit_EN.png"/>
                    <pic:cNvPicPr/>
                  </pic:nvPicPr>
                  <pic:blipFill>
                    <a:blip r:embed="rId9"/>
                    <a:stretch>
                      <a:fillRect/>
                    </a:stretch>
                  </pic:blipFill>
                  <pic:spPr>
                    <a:xfrm>
                      <a:off x="0" y="0"/>
                      <a:ext cx="5486400" cy="3514283"/>
                    </a:xfrm>
                    <a:prstGeom prst="rect"/>
                  </pic:spPr>
                </pic:pic>
              </a:graphicData>
            </a:graphic>
          </wp:inline>
        </w:drawing>
      </w:r>
    </w:p>
    <w:p/>
    <w:p>
      <w:pPr>
        <w:spacing w:before="280" w:after="120"/>
      </w:pPr>
      <w:r>
        <w:rPr>
          <w:rFonts w:ascii="Calibri" w:hAnsi="Calibri"/>
          <w:b/>
          <w:i w:val="0"/>
          <w:color w:val="1A2744"/>
          <w:sz w:val="32"/>
        </w:rPr>
        <w:t>6quater.2 US-China Rivalry in Africa</w:t>
      </w:r>
    </w:p>
    <w:p>
      <w:pPr>
        <w:jc w:val="center"/>
      </w:pPr>
      <w:r>
        <w:drawing>
          <wp:inline xmlns:a="http://schemas.openxmlformats.org/drawingml/2006/main" xmlns:pic="http://schemas.openxmlformats.org/drawingml/2006/picture">
            <wp:extent cx="5486400" cy="3539023"/>
            <wp:docPr id="4" name="Picture 4"/>
            <wp:cNvGraphicFramePr>
              <a:graphicFrameLocks noChangeAspect="1"/>
            </wp:cNvGraphicFramePr>
            <a:graphic>
              <a:graphicData uri="http://schemas.openxmlformats.org/drawingml/2006/picture">
                <pic:pic>
                  <pic:nvPicPr>
                    <pic:cNvPr id="0" name="Fig_6quat.2_US_China_Africa_EN.png"/>
                    <pic:cNvPicPr/>
                  </pic:nvPicPr>
                  <pic:blipFill>
                    <a:blip r:embed="rId10"/>
                    <a:stretch>
                      <a:fillRect/>
                    </a:stretch>
                  </pic:blipFill>
                  <pic:spPr>
                    <a:xfrm>
                      <a:off x="0" y="0"/>
                      <a:ext cx="5486400" cy="3539023"/>
                    </a:xfrm>
                    <a:prstGeom prst="rect"/>
                  </pic:spPr>
                </pic:pic>
              </a:graphicData>
            </a:graphic>
          </wp:inline>
        </w:drawing>
      </w:r>
    </w:p>
    <w:p/>
    <w:p>
      <w:pPr>
        <w:spacing w:before="160" w:after="120"/>
      </w:pPr>
      <w:r>
        <w:rPr>
          <w:rFonts w:ascii="Calibri" w:hAnsi="Calibri"/>
          <w:b/>
          <w:i w:val="0"/>
          <w:color w:val="1A2744"/>
          <w:sz w:val="26"/>
        </w:rPr>
        <w:t>6quater.2.1 China's 'Digital Silk Road'</w:t>
      </w:r>
    </w:p>
    <w:p>
      <w:pPr>
        <w:spacing w:after="120" w:line="300" w:lineRule="auto"/>
      </w:pPr>
      <w:r>
        <w:rPr>
          <w:rFonts w:ascii="Calibri" w:hAnsi="Calibri"/>
          <w:b w:val="0"/>
          <w:i w:val="0"/>
          <w:color w:val="202020"/>
          <w:sz w:val="22"/>
        </w:rPr>
        <w:t>China is the primary provider of telecommunications infrastructure in Africa (Huawei, ZTE). Through the 'Digital Silk Road', Beijing offers integrated packages including connectivity, data centers, and AI solutions. In April 2026, Huawei is the leader in private cloud infrastructure in more than 20 African countries.[2] For many governments, the Chinese offer is more attractive because it is less restrictive than the American Tier 2 status and often accompanied by preferential financing.</w:t>
      </w:r>
    </w:p>
    <w:p>
      <w:pPr>
        <w:jc w:val="center"/>
      </w:pPr>
      <w:r>
        <w:drawing>
          <wp:inline xmlns:a="http://schemas.openxmlformats.org/drawingml/2006/main" xmlns:pic="http://schemas.openxmlformats.org/drawingml/2006/picture">
            <wp:extent cx="5486400" cy="3539023"/>
            <wp:docPr id="5" name="Picture 5"/>
            <wp:cNvGraphicFramePr>
              <a:graphicFrameLocks noChangeAspect="1"/>
            </wp:cNvGraphicFramePr>
            <a:graphic>
              <a:graphicData uri="http://schemas.openxmlformats.org/drawingml/2006/picture">
                <pic:pic>
                  <pic:nvPicPr>
                    <pic:cNvPr id="0" name="Fig_6quat.2_US_China_Africa_EN.png"/>
                    <pic:cNvPicPr/>
                  </pic:nvPicPr>
                  <pic:blipFill>
                    <a:blip r:embed="rId10"/>
                    <a:stretch>
                      <a:fillRect/>
                    </a:stretch>
                  </pic:blipFill>
                  <pic:spPr>
                    <a:xfrm>
                      <a:off x="0" y="0"/>
                      <a:ext cx="5486400" cy="3539023"/>
                    </a:xfrm>
                    <a:prstGeom prst="rect"/>
                  </pic:spPr>
                </pic:pic>
              </a:graphicData>
            </a:graphic>
          </wp:inline>
        </w:drawing>
      </w:r>
    </w:p>
    <w:p/>
    <w:p>
      <w:pPr>
        <w:spacing w:before="160" w:after="120"/>
      </w:pPr>
      <w:r>
        <w:rPr>
          <w:rFonts w:ascii="Calibri" w:hAnsi="Calibri"/>
          <w:b/>
          <w:i w:val="0"/>
          <w:color w:val="1A2744"/>
          <w:sz w:val="26"/>
        </w:rPr>
        <w:t>6quater.2.2 The US response: the 'Digital Africa' initiative</w:t>
      </w:r>
    </w:p>
    <w:p>
      <w:pPr>
        <w:spacing w:after="120" w:line="300" w:lineRule="auto"/>
      </w:pPr>
      <w:r>
        <w:rPr>
          <w:rFonts w:ascii="Calibri" w:hAnsi="Calibri"/>
          <w:b w:val="0"/>
          <w:i w:val="0"/>
          <w:color w:val="202020"/>
          <w:sz w:val="22"/>
        </w:rPr>
        <w:t>The United States seeks to counter Chinese influence through the 'Digital Africa' initiative (part of the PGI), promoting American standards of data governance and security. Microsoft and Google have announced 'AI Centers of Excellence' in Nairobi and Accra.[3] However, US protectionism, by limiting hardware access, paradoxically pushes African actors to accept Chinese hardware, even if they use American software/models.</w:t>
      </w:r>
    </w:p>
    <w:p>
      <w:pPr>
        <w:jc w:val="center"/>
      </w:pPr>
      <w:r>
        <w:drawing>
          <wp:inline xmlns:a="http://schemas.openxmlformats.org/drawingml/2006/main" xmlns:pic="http://schemas.openxmlformats.org/drawingml/2006/picture">
            <wp:extent cx="5486400" cy="3539023"/>
            <wp:docPr id="6" name="Picture 6"/>
            <wp:cNvGraphicFramePr>
              <a:graphicFrameLocks noChangeAspect="1"/>
            </wp:cNvGraphicFramePr>
            <a:graphic>
              <a:graphicData uri="http://schemas.openxmlformats.org/drawingml/2006/picture">
                <pic:pic>
                  <pic:nvPicPr>
                    <pic:cNvPr id="0" name="Fig_6quat.2_US_China_Africa_EN.png"/>
                    <pic:cNvPicPr/>
                  </pic:nvPicPr>
                  <pic:blipFill>
                    <a:blip r:embed="rId10"/>
                    <a:stretch>
                      <a:fillRect/>
                    </a:stretch>
                  </pic:blipFill>
                  <pic:spPr>
                    <a:xfrm>
                      <a:off x="0" y="0"/>
                      <a:ext cx="5486400" cy="3539023"/>
                    </a:xfrm>
                    <a:prstGeom prst="rect"/>
                  </pic:spPr>
                </pic:pic>
              </a:graphicData>
            </a:graphic>
          </wp:inline>
        </w:drawing>
      </w:r>
    </w:p>
    <w:p/>
    <w:p>
      <w:pPr>
        <w:spacing w:before="280" w:after="120"/>
      </w:pPr>
      <w:r>
        <w:rPr>
          <w:rFonts w:ascii="Calibri" w:hAnsi="Calibri"/>
          <w:b/>
          <w:i w:val="0"/>
          <w:color w:val="1A2744"/>
          <w:sz w:val="32"/>
        </w:rPr>
        <w:t>6quater.3 Synthesis: toward an 'Agentic' or 'Passive' Africa?</w:t>
      </w:r>
    </w:p>
    <w:p>
      <w:pPr>
        <w:spacing w:after="120" w:line="300" w:lineRule="auto"/>
      </w:pPr>
      <w:r>
        <w:rPr>
          <w:rFonts w:ascii="Calibri" w:hAnsi="Calibri"/>
          <w:b w:val="0"/>
          <w:i w:val="0"/>
          <w:color w:val="202020"/>
          <w:sz w:val="22"/>
        </w:rPr>
        <w:t>The strategic challenge for Africa is to avoid a 'Passive AI' scenario, where the continent remains a simple consumer of American or Chinese models and a provider of training data (task labeling). An 'Agentic AI' scenario requires the development of local compute hubs, the training of local talent (L(r) factor), and the creation of a 'Sovereign African Cloud' to protect data and culture. US protectionism makes this trajectory more difficult but could catalyze regional cooperation within the African Union.</w:t>
      </w:r>
    </w:p>
    <w:p>
      <w:pPr>
        <w:spacing w:after="40"/>
      </w:pPr>
      <w:r>
        <w:rPr>
          <w:rFonts w:ascii="Calibri" w:hAnsi="Calibri"/>
          <w:b/>
          <w:i w:val="0"/>
          <w:color w:val="1A2744"/>
          <w:sz w:val="20"/>
        </w:rPr>
        <w:t>Table 19. Emerging AI hubs in Africa (April 2026).</w:t>
      </w:r>
    </w:p>
    <w:p>
      <w:pPr>
        <w:spacing w:after="80"/>
      </w:pPr>
      <w:r>
        <w:rPr>
          <w:rFonts w:ascii="Calibri" w:hAnsi="Calibri"/>
          <w:b w:val="0"/>
          <w:i/>
          <w:color w:val="555555"/>
          <w:sz w:val="18"/>
        </w:rPr>
        <w:t>Source: Author's compilation from African Digital Economy Report.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Country</w:t>
            </w:r>
          </w:p>
        </w:tc>
        <w:tc>
          <w:tcPr>
            <w:tcW w:type="dxa" w:w="1949"/>
          </w:tcPr>
          <w:p>
            <w:r/>
            <w:r>
              <w:rPr>
                <w:rFonts w:ascii="Calibri" w:hAnsi="Calibri"/>
                <w:b/>
                <w:i w:val="0"/>
                <w:color w:val="1A2744"/>
                <w:sz w:val="20"/>
              </w:rPr>
              <w:t>Primary Hub</w:t>
            </w:r>
          </w:p>
        </w:tc>
        <w:tc>
          <w:tcPr>
            <w:tcW w:type="dxa" w:w="1949"/>
          </w:tcPr>
          <w:p>
            <w:r/>
            <w:r>
              <w:rPr>
                <w:rFonts w:ascii="Calibri" w:hAnsi="Calibri"/>
                <w:b/>
                <w:i w:val="0"/>
                <w:color w:val="1A2744"/>
                <w:sz w:val="20"/>
              </w:rPr>
              <w:t>Major Actors</w:t>
            </w:r>
          </w:p>
        </w:tc>
        <w:tc>
          <w:tcPr>
            <w:tcW w:type="dxa" w:w="1949"/>
          </w:tcPr>
          <w:p>
            <w:r/>
            <w:r>
              <w:rPr>
                <w:rFonts w:ascii="Calibri" w:hAnsi="Calibri"/>
                <w:b/>
                <w:i w:val="0"/>
                <w:color w:val="1A2744"/>
                <w:sz w:val="20"/>
              </w:rPr>
              <w:t>Compute Asset</w:t>
            </w:r>
          </w:p>
        </w:tc>
        <w:tc>
          <w:tcPr>
            <w:tcW w:type="dxa" w:w="1949"/>
          </w:tcPr>
          <w:p>
            <w:r/>
            <w:r>
              <w:rPr>
                <w:rFonts w:ascii="Calibri" w:hAnsi="Calibri"/>
                <w:b/>
                <w:i w:val="0"/>
                <w:color w:val="1A2744"/>
                <w:sz w:val="20"/>
              </w:rPr>
              <w:t>Main Risk</w:t>
            </w:r>
          </w:p>
        </w:tc>
      </w:tr>
      <w:tr>
        <w:tc>
          <w:tcPr>
            <w:tcW w:type="dxa" w:w="1949"/>
          </w:tcPr>
          <w:p>
            <w:r/>
            <w:r>
              <w:rPr>
                <w:rFonts w:ascii="Calibri" w:hAnsi="Calibri"/>
                <w:b w:val="0"/>
                <w:i w:val="0"/>
                <w:color w:val="202020"/>
                <w:sz w:val="20"/>
              </w:rPr>
              <w:t>South Africa</w:t>
            </w:r>
          </w:p>
        </w:tc>
        <w:tc>
          <w:tcPr>
            <w:tcW w:type="dxa" w:w="1949"/>
          </w:tcPr>
          <w:p>
            <w:r/>
            <w:r>
              <w:rPr>
                <w:rFonts w:ascii="Calibri" w:hAnsi="Calibri"/>
                <w:b w:val="0"/>
                <w:i w:val="0"/>
                <w:color w:val="202020"/>
                <w:sz w:val="20"/>
              </w:rPr>
              <w:t>Cape Town</w:t>
            </w:r>
          </w:p>
        </w:tc>
        <w:tc>
          <w:tcPr>
            <w:tcW w:type="dxa" w:w="1949"/>
          </w:tcPr>
          <w:p>
            <w:r/>
            <w:r>
              <w:rPr>
                <w:rFonts w:ascii="Calibri" w:hAnsi="Calibri"/>
                <w:b w:val="0"/>
                <w:i w:val="0"/>
                <w:color w:val="202020"/>
                <w:sz w:val="20"/>
              </w:rPr>
              <w:t>AWS, Microsoft, Teraco</w:t>
            </w:r>
          </w:p>
        </w:tc>
        <w:tc>
          <w:tcPr>
            <w:tcW w:type="dxa" w:w="1949"/>
          </w:tcPr>
          <w:p>
            <w:r/>
            <w:r>
              <w:rPr>
                <w:rFonts w:ascii="Calibri" w:hAnsi="Calibri"/>
                <w:b w:val="0"/>
                <w:i w:val="0"/>
                <w:color w:val="202020"/>
                <w:sz w:val="20"/>
              </w:rPr>
              <w:t>Advanced electrical grid (but unstable)</w:t>
            </w:r>
          </w:p>
        </w:tc>
        <w:tc>
          <w:tcPr>
            <w:tcW w:type="dxa" w:w="1949"/>
          </w:tcPr>
          <w:p>
            <w:r/>
            <w:r>
              <w:rPr>
                <w:rFonts w:ascii="Calibri" w:hAnsi="Calibri"/>
                <w:b w:val="0"/>
                <w:i w:val="0"/>
                <w:color w:val="202020"/>
                <w:sz w:val="20"/>
              </w:rPr>
              <w:t>Brain drain to Europe/US</w:t>
            </w:r>
          </w:p>
        </w:tc>
      </w:tr>
      <w:tr>
        <w:tc>
          <w:tcPr>
            <w:tcW w:type="dxa" w:w="1949"/>
          </w:tcPr>
          <w:p>
            <w:r/>
            <w:r>
              <w:rPr>
                <w:rFonts w:ascii="Calibri" w:hAnsi="Calibri"/>
                <w:b w:val="0"/>
                <w:i w:val="0"/>
                <w:color w:val="202020"/>
                <w:sz w:val="20"/>
              </w:rPr>
              <w:t>Nigeria</w:t>
            </w:r>
          </w:p>
        </w:tc>
        <w:tc>
          <w:tcPr>
            <w:tcW w:type="dxa" w:w="1949"/>
          </w:tcPr>
          <w:p>
            <w:r/>
            <w:r>
              <w:rPr>
                <w:rFonts w:ascii="Calibri" w:hAnsi="Calibri"/>
                <w:b w:val="0"/>
                <w:i w:val="0"/>
                <w:color w:val="202020"/>
                <w:sz w:val="20"/>
              </w:rPr>
              <w:t>Lagos</w:t>
            </w:r>
          </w:p>
        </w:tc>
        <w:tc>
          <w:tcPr>
            <w:tcW w:type="dxa" w:w="1949"/>
          </w:tcPr>
          <w:p>
            <w:r/>
            <w:r>
              <w:rPr>
                <w:rFonts w:ascii="Calibri" w:hAnsi="Calibri"/>
                <w:b w:val="0"/>
                <w:i w:val="0"/>
                <w:color w:val="202020"/>
                <w:sz w:val="20"/>
              </w:rPr>
              <w:t>MainOne, Medallion, Google</w:t>
            </w:r>
          </w:p>
        </w:tc>
        <w:tc>
          <w:tcPr>
            <w:tcW w:type="dxa" w:w="1949"/>
          </w:tcPr>
          <w:p>
            <w:r/>
            <w:r>
              <w:rPr>
                <w:rFonts w:ascii="Calibri" w:hAnsi="Calibri"/>
                <w:b w:val="0"/>
                <w:i w:val="0"/>
                <w:color w:val="202020"/>
                <w:sz w:val="20"/>
              </w:rPr>
              <w:t>Massive market + young talent</w:t>
            </w:r>
          </w:p>
        </w:tc>
        <w:tc>
          <w:tcPr>
            <w:tcW w:type="dxa" w:w="1949"/>
          </w:tcPr>
          <w:p>
            <w:r/>
            <w:r>
              <w:rPr>
                <w:rFonts w:ascii="Calibri" w:hAnsi="Calibri"/>
                <w:b w:val="0"/>
                <w:i w:val="0"/>
                <w:color w:val="202020"/>
                <w:sz w:val="20"/>
              </w:rPr>
              <w:t>Energy cost + currency volatility</w:t>
            </w:r>
          </w:p>
        </w:tc>
      </w:tr>
      <w:tr>
        <w:tc>
          <w:tcPr>
            <w:tcW w:type="dxa" w:w="1949"/>
          </w:tcPr>
          <w:p>
            <w:r/>
            <w:r>
              <w:rPr>
                <w:rFonts w:ascii="Calibri" w:hAnsi="Calibri"/>
                <w:b w:val="0"/>
                <w:i w:val="0"/>
                <w:color w:val="202020"/>
                <w:sz w:val="20"/>
              </w:rPr>
              <w:t>Kenya</w:t>
            </w:r>
          </w:p>
        </w:tc>
        <w:tc>
          <w:tcPr>
            <w:tcW w:type="dxa" w:w="1949"/>
          </w:tcPr>
          <w:p>
            <w:r/>
            <w:r>
              <w:rPr>
                <w:rFonts w:ascii="Calibri" w:hAnsi="Calibri"/>
                <w:b w:val="0"/>
                <w:i w:val="0"/>
                <w:color w:val="202020"/>
                <w:sz w:val="20"/>
              </w:rPr>
              <w:t>Nairobi</w:t>
            </w:r>
          </w:p>
        </w:tc>
        <w:tc>
          <w:tcPr>
            <w:tcW w:type="dxa" w:w="1949"/>
          </w:tcPr>
          <w:p>
            <w:r/>
            <w:r>
              <w:rPr>
                <w:rFonts w:ascii="Calibri" w:hAnsi="Calibri"/>
                <w:b w:val="0"/>
                <w:i w:val="0"/>
                <w:color w:val="202020"/>
                <w:sz w:val="20"/>
              </w:rPr>
              <w:t>Microsoft, Google, Safaricom</w:t>
            </w:r>
          </w:p>
        </w:tc>
        <w:tc>
          <w:tcPr>
            <w:tcW w:type="dxa" w:w="1949"/>
          </w:tcPr>
          <w:p>
            <w:r/>
            <w:r>
              <w:rPr>
                <w:rFonts w:ascii="Calibri" w:hAnsi="Calibri"/>
                <w:b w:val="0"/>
                <w:i w:val="0"/>
                <w:color w:val="202020"/>
                <w:sz w:val="20"/>
              </w:rPr>
              <w:t>Connectivity + mobile fintech leader</w:t>
            </w:r>
          </w:p>
        </w:tc>
        <w:tc>
          <w:tcPr>
            <w:tcW w:type="dxa" w:w="1949"/>
          </w:tcPr>
          <w:p>
            <w:r/>
            <w:r>
              <w:rPr>
                <w:rFonts w:ascii="Calibri" w:hAnsi="Calibri"/>
                <w:b w:val="0"/>
                <w:i w:val="0"/>
                <w:color w:val="202020"/>
                <w:sz w:val="20"/>
              </w:rPr>
              <w:t>Tier 2 import caps</w:t>
            </w:r>
          </w:p>
        </w:tc>
      </w:tr>
      <w:tr>
        <w:tc>
          <w:tcPr>
            <w:tcW w:type="dxa" w:w="1949"/>
          </w:tcPr>
          <w:p>
            <w:r/>
            <w:r>
              <w:rPr>
                <w:rFonts w:ascii="Calibri" w:hAnsi="Calibri"/>
                <w:b w:val="0"/>
                <w:i w:val="0"/>
                <w:color w:val="202020"/>
                <w:sz w:val="20"/>
              </w:rPr>
              <w:t>Egypt</w:t>
            </w:r>
          </w:p>
        </w:tc>
        <w:tc>
          <w:tcPr>
            <w:tcW w:type="dxa" w:w="1949"/>
          </w:tcPr>
          <w:p>
            <w:r/>
            <w:r>
              <w:rPr>
                <w:rFonts w:ascii="Calibri" w:hAnsi="Calibri"/>
                <w:b w:val="0"/>
                <w:i w:val="0"/>
                <w:color w:val="202020"/>
                <w:sz w:val="20"/>
              </w:rPr>
              <w:t>Cairo</w:t>
            </w:r>
          </w:p>
        </w:tc>
        <w:tc>
          <w:tcPr>
            <w:tcW w:type="dxa" w:w="1949"/>
          </w:tcPr>
          <w:p>
            <w:r/>
            <w:r>
              <w:rPr>
                <w:rFonts w:ascii="Calibri" w:hAnsi="Calibri"/>
                <w:b w:val="0"/>
                <w:i w:val="0"/>
                <w:color w:val="202020"/>
                <w:sz w:val="20"/>
              </w:rPr>
              <w:t>Orange, Telecom Egypt</w:t>
            </w:r>
          </w:p>
        </w:tc>
        <w:tc>
          <w:tcPr>
            <w:tcW w:type="dxa" w:w="1949"/>
          </w:tcPr>
          <w:p>
            <w:r/>
            <w:r>
              <w:rPr>
                <w:rFonts w:ascii="Calibri" w:hAnsi="Calibri"/>
                <w:b w:val="0"/>
                <w:i w:val="0"/>
                <w:color w:val="202020"/>
                <w:sz w:val="20"/>
              </w:rPr>
              <w:t>Strategic location (cables) + solar</w:t>
            </w:r>
          </w:p>
        </w:tc>
        <w:tc>
          <w:tcPr>
            <w:tcW w:type="dxa" w:w="1949"/>
          </w:tcPr>
          <w:p>
            <w:r/>
            <w:r>
              <w:rPr>
                <w:rFonts w:ascii="Calibri" w:hAnsi="Calibri"/>
                <w:b w:val="0"/>
                <w:i w:val="0"/>
                <w:color w:val="202020"/>
                <w:sz w:val="20"/>
              </w:rPr>
              <w:t>Regulatory complexity</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Xalam Analytics (2025), 'The State of African Data Centers'.</w:t>
      </w:r>
    </w:p>
    <w:p>
      <w:pPr>
        <w:spacing w:after="80" w:line="276" w:lineRule="auto"/>
      </w:pPr>
      <w:r>
        <w:rPr>
          <w:rFonts w:ascii="Calibri" w:hAnsi="Calibri"/>
          <w:b/>
          <w:i w:val="0"/>
          <w:color w:val="B8922F"/>
          <w:sz w:val="18"/>
        </w:rPr>
        <w:t xml:space="preserve">2. </w:t>
      </w:r>
      <w:r>
        <w:rPr>
          <w:rFonts w:ascii="Calibri" w:hAnsi="Calibri"/>
          <w:b w:val="0"/>
          <w:i w:val="0"/>
          <w:color w:val="555555"/>
          <w:sz w:val="18"/>
        </w:rPr>
        <w:t>International Institute for Strategic Studies (IISS, 2025), 'China's Digital Silk Road in Africa'.</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USAID (2025), 'Digital Africa Initiative Progress Report'.</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pPr>
        <w:spacing w:after="0"/>
        <w:jc w:val="center"/>
      </w:pPr>
      <w:r>
        <w:rPr>
          <w:rFonts w:ascii="Calibri" w:hAnsi="Calibri"/>
          <w:b w:val="0"/>
          <w:i/>
          <w:color w:val="555555"/>
          <w:sz w:val="16"/>
        </w:rPr>
        <w:t>AI for Americans First - Fabrice Pizzi - Chapter VI quater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