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w:t>
      </w:r>
    </w:p>
    <w:p>
      <w:pPr>
        <w:spacing w:after="360"/>
        <w:jc w:val="center"/>
      </w:pPr>
      <w:r>
        <w:rPr>
          <w:rFonts w:ascii="Calibri" w:hAnsi="Calibri"/>
          <w:b/>
          <w:i w:val="0"/>
          <w:color w:val="1A2744"/>
          <w:sz w:val="36"/>
        </w:rPr>
        <w:t>Introduction et cadrage theorique</w:t>
      </w:r>
    </w:p>
    <w:p>
      <w:pPr>
        <w:spacing w:before="280" w:after="120"/>
      </w:pPr>
      <w:r>
        <w:rPr>
          <w:rFonts w:ascii="Calibri" w:hAnsi="Calibri"/>
          <w:b/>
          <w:i w:val="0"/>
          <w:color w:val="1A2744"/>
          <w:sz w:val="32"/>
        </w:rPr>
        <w:t>1.1 Question de recherche</w:t>
      </w:r>
    </w:p>
    <w:p>
      <w:pPr>
        <w:spacing w:after="120" w:line="300" w:lineRule="auto"/>
      </w:pPr>
      <w:r>
        <w:rPr>
          <w:rFonts w:ascii="Calibri" w:hAnsi="Calibri"/>
          <w:b w:val="0"/>
          <w:i w:val="0"/>
          <w:color w:val="202020"/>
          <w:sz w:val="22"/>
        </w:rPr>
        <w:t>L'intelligence artificielle reconfigure les fondations de la competitivite economique mondiale. Depuis le lancement de ChatGPT en novembre 2022 et l'acceleration spectaculaire des investissements dans les modeles de fondation, l'IA generative s'est imposee comme un facteur transformateur transversal de l'economie, affectant simultanement la finance, l'industrie, la sante, les transports et les services. Or cette transformation repose sur un substrat materiel precis : une capacite de calcul considerable, alimentee par des semi-conducteurs de pointe et une energie electrique abondante. La maitrise de ce triptyque - compute, puces, energie - est devenue un enjeu geostrategique de premier ordre.</w:t>
      </w:r>
    </w:p>
    <w:p>
      <w:pPr>
        <w:spacing w:after="120" w:line="300" w:lineRule="auto"/>
      </w:pPr>
      <w:r>
        <w:rPr>
          <w:rFonts w:ascii="Calibri" w:hAnsi="Calibri"/>
          <w:b w:val="0"/>
          <w:i w:val="0"/>
          <w:color w:val="202020"/>
          <w:sz w:val="22"/>
        </w:rPr>
        <w:t>Dans ce contexte, les Etats-Unis ont progressivement erige un regime de controle sur l'acces aux technologies IA de frontiere. Des octobre 2022, le Bureau of Industry and Security (BIS) du Department of Commerce a impose des restrictions a l'exportation des GPU avances vers la Chine. En janvier 2025, l'administration Biden a etendu ces controles a plus de 120 pays via l'AI Diffusion Rule, creant un systeme de segmentation par paliers conditionnant l'acces aux puces IA les plus puissantes au degre d'alignement geopolitique avec Washington. L'administration Trump, entree en fonction en janvier 2025, a remplace ce cadre par une approche plus explicitement competitive, culminant en juillet 2025 avec la publication du America's AI Action Plan, puis en janvier 2026 avec l'imposition de tarifs de 25 pour cent sur certains semi-conducteurs IA avances (Nvidia H200, AMD MI325X) au titre de la Section 232.[1]</w:t>
      </w:r>
    </w:p>
    <w:p>
      <w:pPr>
        <w:spacing w:after="120" w:line="300" w:lineRule="auto"/>
      </w:pPr>
      <w:r>
        <w:rPr>
          <w:rFonts w:ascii="Calibri" w:hAnsi="Calibri"/>
          <w:b w:val="0"/>
          <w:i w:val="0"/>
          <w:color w:val="202020"/>
          <w:sz w:val="22"/>
        </w:rPr>
        <w:t>Ces mesures, officiellement motivees par des imperatifs de securite nationale, produisent de facto un avantage competitif structurel pour les entreprises americaines : elles beneficient d'un acces illimite au compute de frontiere, tandis que les acteurs d'autres regions - y compris les allies europeens - voient leurs capacites plafonnees, rencheries ou conditionnees. Nous assistons ainsi a l'emergence d'un nouveau type de protectionnisme technologique, ou la taxe n'est pas seulement tarifaire mais egalement reglementaire, logistique et strategique.</w:t>
      </w:r>
    </w:p>
    <w:p>
      <w:pPr>
        <w:spacing w:after="120" w:line="300" w:lineRule="auto"/>
      </w:pPr>
      <w:r>
        <w:rPr>
          <w:rFonts w:ascii="Calibri" w:hAnsi="Calibri"/>
          <w:b w:val="0"/>
          <w:i w:val="0"/>
          <w:color w:val="202020"/>
          <w:sz w:val="22"/>
        </w:rPr>
        <w:t>Cette etude pose la question suivante : dans quelle mesure le protectionnisme technologique americain sur l'IA - controles a l'exportation, tarifs, priorisation du compute domestique - cree-t-il une divergence structurelle de competitivite entre les Etats-Unis et l'Europe, et quelles en sont les consequences mesurables pour la France a l'horizon 2030 ?</w:t>
      </w:r>
    </w:p>
    <w:p>
      <w:pPr>
        <w:spacing w:after="120" w:line="300" w:lineRule="auto"/>
      </w:pPr>
      <w:r>
        <w:rPr>
          <w:rFonts w:ascii="Calibri" w:hAnsi="Calibri"/>
          <w:b w:val="0"/>
          <w:i w:val="0"/>
          <w:color w:val="202020"/>
          <w:sz w:val="22"/>
        </w:rPr>
        <w:t>Cette question de recherche se decompose en trois sous-questions articulant les dimensions empirique, prospective et normative de l'analyse :</w:t>
      </w:r>
    </w:p>
    <w:p>
      <w:pPr>
        <w:spacing w:after="120" w:line="300" w:lineRule="auto"/>
      </w:pPr>
      <w:r>
        <w:rPr>
          <w:rFonts w:ascii="Calibri" w:hAnsi="Calibri"/>
          <w:b w:val="0"/>
          <w:i w:val="0"/>
          <w:color w:val="202020"/>
          <w:sz w:val="22"/>
        </w:rPr>
        <w:t>(a) Quel est l'ecart actuel de capacite de calcul IA (compute gap) entre les Etats-Unis et l'Union europeenne, et comment cet ecart evolue-t-il selon differents scenarios de politique commerciale et technologique americaine ?</w:t>
      </w:r>
    </w:p>
    <w:p>
      <w:pPr>
        <w:spacing w:after="120" w:line="300" w:lineRule="auto"/>
      </w:pPr>
      <w:r>
        <w:rPr>
          <w:rFonts w:ascii="Calibri" w:hAnsi="Calibri"/>
          <w:b w:val="0"/>
          <w:i w:val="0"/>
          <w:color w:val="202020"/>
          <w:sz w:val="22"/>
        </w:rPr>
        <w:t>(b) Comment l'asymetrie d'acces au compute se traduit-elle en productivite sectorielle, en couts d'entrainement des modeles et en parts de marche dans les services IA ?</w:t>
      </w:r>
    </w:p>
    <w:p>
      <w:pPr>
        <w:spacing w:after="120" w:line="300" w:lineRule="auto"/>
      </w:pPr>
      <w:r>
        <w:rPr>
          <w:rFonts w:ascii="Calibri" w:hAnsi="Calibri"/>
          <w:b w:val="0"/>
          <w:i w:val="0"/>
          <w:color w:val="202020"/>
          <w:sz w:val="22"/>
        </w:rPr>
        <w:t>(c) Les contraintes energetiques europeennes et la montee de la robotique IA amplifient-elles la divergence, et la France peut-elle mobiliser son avantage nucleaire pour mitiger ce desavantage structurel ?</w:t>
      </w:r>
    </w:p>
    <w:p>
      <w:pPr>
        <w:spacing w:after="120" w:line="300" w:lineRule="auto"/>
      </w:pPr>
      <w:r>
        <w:rPr>
          <w:rFonts w:ascii="Calibri" w:hAnsi="Calibri"/>
          <w:b w:val="0"/>
          <w:i w:val="0"/>
          <w:color w:val="202020"/>
          <w:sz w:val="22"/>
        </w:rPr>
        <w:t>L'originalite de cette etude reside dans son approche integree. La litterature existante traite separement les controles a l'exportation (Carnegie Endowment, CSIS, Hudson Institute), les projections energetiques des centres de donnees (AIE), la dynamique du marche des semi-conducteurs (McKinsey, SIA, Deloitte), la souverainete du compute (Hawkins, Lehdonvirta et Wu, 2025) et les barrieres concurrentielles liees a l'IA (Bruegel, OCDE). Aucun travail ne propose la trajectoire causale complete que nous cherchons a etablir ici : protectionnisme americain puis restriction du compute europeen puis divergence de productivite puis dependance strategique, avec l'energie et la robotique comme facteurs amplificateurs.</w:t>
      </w:r>
    </w:p>
    <w:p>
      <w:pPr>
        <w:spacing w:before="280" w:after="120"/>
      </w:pPr>
      <w:r>
        <w:rPr>
          <w:rFonts w:ascii="Calibri" w:hAnsi="Calibri"/>
          <w:b/>
          <w:i w:val="0"/>
          <w:color w:val="1A2744"/>
          <w:sz w:val="32"/>
        </w:rPr>
        <w:t>1.2 Definitions operationnelles</w:t>
      </w:r>
    </w:p>
    <w:p>
      <w:pPr>
        <w:spacing w:after="120" w:line="300" w:lineRule="auto"/>
      </w:pPr>
      <w:r>
        <w:rPr>
          <w:rFonts w:ascii="Calibri" w:hAnsi="Calibri"/>
          <w:b w:val="0"/>
          <w:i w:val="0"/>
          <w:color w:val="202020"/>
          <w:sz w:val="22"/>
        </w:rPr>
        <w:t>L'analyse deployee dans cette etude repose sur un ensemble de concepts qui requierent une definition rigoureuse, leur usage variant selon les contextes disciplinaires.</w:t>
      </w:r>
    </w:p>
    <w:p>
      <w:pPr>
        <w:spacing w:after="120" w:line="300" w:lineRule="auto"/>
      </w:pPr>
      <w:r>
        <w:rPr>
          <w:rFonts w:ascii="Calibri" w:hAnsi="Calibri"/>
          <w:b w:val="0"/>
          <w:i w:val="0"/>
          <w:color w:val="202020"/>
          <w:sz w:val="22"/>
        </w:rPr>
        <w:t>Compute de frontiere. Nous definissons le compute de frontiere comme la capacite de calcul installee sous forme d'accelerateurs IA - GPU (Nvidia A100, H100, H200, B200), ASIC (Google TPU) ou circuits specialises - deployes dans des centres de donnees a l'echelle industrielle. Cette capacite se mesure en FLOPs (operations en virgule flottante par seconde) agreges au niveau national ou regional, en H100-equivalents (la metrique utilisee par le jeu de donnees Epoch AI), ou en GW de charge IT. Le compute de frontiere constitue l'intrant fondamental du developpement et du deploiement de l'IA de frontiere : sans lui, il est impossible d'entrainer des modeles de fondation competitifs ou d'operer des services d'inference a grande echelle.</w:t>
      </w:r>
    </w:p>
    <w:p>
      <w:pPr>
        <w:spacing w:after="120" w:line="300" w:lineRule="auto"/>
      </w:pPr>
      <w:r>
        <w:rPr>
          <w:rFonts w:ascii="Calibri" w:hAnsi="Calibri"/>
          <w:b w:val="0"/>
          <w:i w:val="0"/>
          <w:color w:val="202020"/>
          <w:sz w:val="22"/>
        </w:rPr>
        <w:t>Protectionnisme technologique IA. Le protectionnisme technologique IA designe l'ensemble des mesures etatiques - controles a l'exportation, tarifs, quotas, licences d'exportation, priorisation logistique, restrictions sur les poids de modeles et les API - qui creent une asymetrie d'acces au compute, aux modeles et aux services IA entre regions geographiques. Ce concept etend la notion classique de protectionnisme commercial en integrant la dimension immaterielle (logiciels, modeles, services cloud) et la dimension infrastructurelle (energie, capacites de production de puces). A la difference des barrieres tarifaires traditionnelles, le protectionnisme technologique IA peut operer par des canaux non tarifaires - par exemple en priorisant les livraisons de GPU aux entreprises domestiques en contexte de penurie mondiale.</w:t>
      </w:r>
    </w:p>
    <w:p>
      <w:pPr>
        <w:spacing w:after="120" w:line="300" w:lineRule="auto"/>
      </w:pPr>
      <w:r>
        <w:rPr>
          <w:rFonts w:ascii="Calibri" w:hAnsi="Calibri"/>
          <w:b w:val="0"/>
          <w:i w:val="0"/>
          <w:color w:val="202020"/>
          <w:sz w:val="22"/>
        </w:rPr>
        <w:t>Compute gap. Le compute gap mesure le ratio de capacite de calcul IA effectivement disponible entre deux regions. Nous le definissons comme le ratio entre les FLOPs IA installes et accessibles (ou H100-equivalents) pour les acteurs economiques de la region A et ceux de la region B, normalise par la population active ou le PIB. Un compute gap de x15 entre les Etats-Unis et l'UE signifie que, par unite de PIB, les acteurs americains disposent de quinze fois plus de puissance de calcul IA que leurs homologues europeens. Ce ratio constitue un indicateur synthetique de l'avantage structurel en IA.</w:t>
      </w:r>
    </w:p>
    <w:p>
      <w:pPr>
        <w:spacing w:after="120" w:line="300" w:lineRule="auto"/>
      </w:pPr>
      <w:r>
        <w:rPr>
          <w:rFonts w:ascii="Calibri" w:hAnsi="Calibri"/>
          <w:b w:val="0"/>
          <w:i w:val="0"/>
          <w:color w:val="202020"/>
          <w:sz w:val="22"/>
        </w:rPr>
        <w:t>Souverainete du compute. Nous adoptons la definition proposee par Hawkins, Lehdonvirta et Wu (2025), qui decomposent la souverainete du compute en trois niveaux : (1) la quantite de compute IA physiquement presente sur le territoire national, (2) la nationalite des entreprises proprietaires des centres de donnees, et (3) la nationalite des fournisseurs d'accelerateurs dont les puces alimentent ces centres.[2] Un pays peut disposer d'une capacite de calcul significative sur son sol tout en etant dependant d'operateurs et de fournisseurs etrangers, ce qui limite sa souverainete reelle. Ce concept est essentiel pour comprendre pourquoi la presence de centres AWS ou Azure en Europe ne constitue pas, en soi, une forme de souverainete europeenne sur le compute.</w:t>
      </w:r>
    </w:p>
    <w:p>
      <w:pPr>
        <w:spacing w:after="120" w:line="300" w:lineRule="auto"/>
      </w:pPr>
      <w:r>
        <w:rPr>
          <w:rFonts w:ascii="Calibri" w:hAnsi="Calibri"/>
          <w:b w:val="0"/>
          <w:i w:val="0"/>
          <w:color w:val="202020"/>
          <w:sz w:val="22"/>
        </w:rPr>
        <w:t>Vendor lock-in geopolitique. Nous proposons le concept de vendor lock-in geopolitique pour designer la dependance structurelle d'un ecosysteme economique a des fournisseurs technologiques etrangers dont l'acces peut etre restreint, rencheri ou conditionne par decision politique d'un gouvernement tiers. Ce concept etend la notion classique de vendor lock-in informatique (couts de migration entre fournisseurs cloud, par exemple) en y ajoutant une dimension geopolitique : le risque que l'acces a une infrastructure critique soit utilise comme levier de negociation entre Etats. L'episode Starlink-Ukraine de mars 2025, ou le controle americain d'un systeme de communication a ete percu comme un instrument de pression, illustre de facon saisissante ce type de risque.[3]</w:t>
      </w:r>
    </w:p>
    <w:p>
      <w:pPr>
        <w:spacing w:after="120" w:line="300" w:lineRule="auto"/>
      </w:pPr>
      <w:r>
        <w:rPr>
          <w:rFonts w:ascii="Calibri" w:hAnsi="Calibri"/>
          <w:b w:val="0"/>
          <w:i w:val="0"/>
          <w:color w:val="202020"/>
          <w:sz w:val="22"/>
        </w:rPr>
        <w:t>Compute-Adjusted Competitiveness Index (CACI). Nous construisons, comme indicateur original central de cette etude, un Compute-Adjusted Competitiveness Index combinant en un composite geometrique pondere les quatre dimensions identifiees ci-dessus. Dans sa formulation absolue, dite Power Mode, l'indicateur s'ecrit CACI = F^0,40 x L^0,20 x R^0,15 / E^0,25, ou F est le compute IA installe (H100-equivalents, total ou souverain), L est la main-d'oeuvre pertinente (millions de travailleurs qualifies en IA), R est un indice d'acces geopolitique (0 a 1) et E est le prix moyen de l'electricite industrielle (USD par MWh). Les quatre exposants (40, 20, 15, 25) somment a un et refletent l'importance relative attribuee au compute, au travail, a l'acces geopolitique et au cout de l'energie. Une seconde formulation, dite Intensity Mode, divise le resultat par le PIB pour obtenir une densite de competitivite par unite de richesse nationale. La derivation methodologique complete est presentee au chapitre II et l'indicateur est mis a jour en temps reel sur le tableau de bord public.[a]</w:t>
      </w:r>
    </w:p>
    <w:p>
      <w:pPr>
        <w:spacing w:after="120" w:line="300" w:lineRule="auto"/>
      </w:pPr>
      <w:r>
        <w:rPr>
          <w:rFonts w:ascii="Calibri" w:hAnsi="Calibri"/>
          <w:b w:val="0"/>
          <w:i w:val="0"/>
          <w:color w:val="202020"/>
          <w:sz w:val="22"/>
        </w:rPr>
        <w:t>Deux variantes de l'indicateur sont utilisees en parallele. Le CACI physique integre tout le compute physiquement present sur le territoire (F_total), independamment de la propriete. Le CACI souverain restreint F au compute possede et opere par des acteurs domestiques (F_dom), capturant ainsi l'autonomie souveraine effective. L'ecart entre les deux variantes mesure la dependance structurelle d'une region aux hyperscalers etrangers. Pour l'Union europeenne, cet ecart constitue la mesure quantitative la plus directe de la vulnerabilite strategique que cette etude cherche a caracteriser.</w:t>
      </w:r>
    </w:p>
    <w:p>
      <w:pPr>
        <w:spacing w:before="280" w:after="120"/>
      </w:pPr>
      <w:r>
        <w:rPr>
          <w:rFonts w:ascii="Calibri" w:hAnsi="Calibri"/>
          <w:b/>
          <w:i w:val="0"/>
          <w:color w:val="1A2744"/>
          <w:sz w:val="32"/>
        </w:rPr>
        <w:t>1.3 Cadre theorique</w:t>
      </w:r>
    </w:p>
    <w:p>
      <w:pPr>
        <w:spacing w:after="120" w:line="300" w:lineRule="auto"/>
      </w:pPr>
      <w:r>
        <w:rPr>
          <w:rFonts w:ascii="Calibri" w:hAnsi="Calibri"/>
          <w:b w:val="0"/>
          <w:i w:val="0"/>
          <w:color w:val="202020"/>
          <w:sz w:val="22"/>
        </w:rPr>
        <w:t>Notre analyse s'enracine dans quatre courants theoriques complementaires, qui fournissent les outils conceptuels necessaires pour articuler les dimensions technologique, economique et geopolitique du phenomene etudie.</w:t>
      </w:r>
    </w:p>
    <w:p>
      <w:pPr>
        <w:spacing w:before="160" w:after="120"/>
      </w:pPr>
      <w:r>
        <w:rPr>
          <w:rFonts w:ascii="Calibri" w:hAnsi="Calibri"/>
          <w:b/>
          <w:i w:val="0"/>
          <w:color w:val="1A2744"/>
          <w:sz w:val="26"/>
        </w:rPr>
        <w:t>1.3.1 L'IA comme General Purpose Technology</w:t>
      </w:r>
    </w:p>
    <w:p>
      <w:pPr>
        <w:spacing w:after="120" w:line="300" w:lineRule="auto"/>
      </w:pPr>
      <w:r>
        <w:rPr>
          <w:rFonts w:ascii="Calibri" w:hAnsi="Calibri"/>
          <w:b w:val="0"/>
          <w:i w:val="0"/>
          <w:color w:val="202020"/>
          <w:sz w:val="22"/>
        </w:rPr>
        <w:t>Le premier ancrage theorique est la theorie des General Purpose Technologies (GPT) formalisee par Bresnahan et Trajtenberg (1995). Une GPT est une technologie caracterisee par trois proprietes : sa pervasivite (elle est utilisee comme intrant dans de nombreux secteurs en aval), son potentiel inherent d'amelioration technique, et ses complementarites d'innovation (la productivite R&amp;D dans les secteurs utilisateurs croit en consequence de l'amelioration de la GPT).[4] Le modele predit que les GPT generent des rendements d'echelle croissants et que leur diffusion dans l'economie est source de gains de productivite generalises. Toutefois, Bresnahan et Trajtenberg soulignent egalement qu'une economie decentralisee peut peiner a exploiter pleinement le potentiel d'une GPT, les transactions de marche entre le producteur de GPT et ses utilisateurs pouvant conduire a une innovation insuffisante et tardive.</w:t>
      </w:r>
    </w:p>
    <w:p>
      <w:pPr>
        <w:spacing w:after="120" w:line="300" w:lineRule="auto"/>
      </w:pPr>
      <w:r>
        <w:rPr>
          <w:rFonts w:ascii="Calibri" w:hAnsi="Calibri"/>
          <w:b w:val="0"/>
          <w:i w:val="0"/>
          <w:color w:val="202020"/>
          <w:sz w:val="22"/>
        </w:rPr>
        <w:t>Brynjolfsson, Rock et Syverson (2019) ont applique ce cadre a l'IA contemporaine, demontrant que l'IA, et en particulier le machine learning, satisfait les trois criteres de Bresnahan et Trajtenberg pour etre qualifiee de GPT.[5] Leur modele de productivity J-curve explique pourquoi les gains de productivite lies a une GPT peuvent etre initialement invisibles dans les statistiques : les entreprises doivent d'abord investir massivement dans des actifs intangibles (reorganisation, formation, reingenierie des processus) avant d'en recolter les benefices.</w:t>
      </w:r>
    </w:p>
    <w:p>
      <w:pPr>
        <w:spacing w:after="120" w:line="300" w:lineRule="auto"/>
      </w:pPr>
      <w:r>
        <w:rPr>
          <w:rFonts w:ascii="Calibri" w:hAnsi="Calibri"/>
          <w:b w:val="0"/>
          <w:i w:val="0"/>
          <w:color w:val="202020"/>
          <w:sz w:val="22"/>
        </w:rPr>
        <w:t>Ce cadre est fondamental pour notre analyse car il implique que l'acces precoce et massif au compute IA - c'est-a-dire la capacite a investir dans la GPT a grande echelle des les premieres phases de deploiement - genere des avantages cumulatifs difficilement reversibles. Les complementarites d'innovation creent une dynamique de path dependence : les acteurs qui accedent tot a un compute abondant developpent des modeles superieurs, captent des donnees d'usage, generent des revenus qu'ils reinvestissent dans le compute, et creusent ainsi un ecart qui s'auto-renforce dans le temps. Toute politique restreignant l'acces au compute pour une region donnee a donc des consequences non lineaires : elle ne fait pas que retarder l'adoption, elle la compromet structurellement.</w:t>
      </w:r>
    </w:p>
    <w:p>
      <w:pPr>
        <w:spacing w:before="160" w:after="120"/>
      </w:pPr>
      <w:r>
        <w:rPr>
          <w:rFonts w:ascii="Calibri" w:hAnsi="Calibri"/>
          <w:b/>
          <w:i w:val="0"/>
          <w:color w:val="1A2744"/>
          <w:sz w:val="26"/>
        </w:rPr>
        <w:t>1.3.2 Interdependance armee et controle des reseaux mondiaux</w:t>
      </w:r>
    </w:p>
    <w:p>
      <w:pPr>
        <w:spacing w:after="120" w:line="300" w:lineRule="auto"/>
      </w:pPr>
      <w:r>
        <w:rPr>
          <w:rFonts w:ascii="Calibri" w:hAnsi="Calibri"/>
          <w:b w:val="0"/>
          <w:i w:val="0"/>
          <w:color w:val="202020"/>
          <w:sz w:val="22"/>
        </w:rPr>
        <w:t>Le deuxieme ancrage theorique est la theorie de la weaponized interdependence developpee par Farrell et Newman (2019). Ces auteurs demontrent que les reseaux economiques mondiaux, loin de creer des relations symetriques d'interdependance mutuelle comme le postulait la theorie liberale classique, tendent a produire des structures asymetriques dans lesquelles certains noeuds (hubs) deviennent bien plus connectes que d'autres. Les Etats exercant une juridiction politique sur ces noeuds centraux peuvent les instrumentaliser a des fins coercitives, via deux mecanismes : l'effet panopticon (collecte d'informations strategiques) et l'effet chokepoint (capacite de couper ou de restreindre les flux).[6]</w:t>
      </w:r>
    </w:p>
    <w:p>
      <w:pPr>
        <w:spacing w:after="120" w:line="300" w:lineRule="auto"/>
      </w:pPr>
      <w:r>
        <w:rPr>
          <w:rFonts w:ascii="Calibri" w:hAnsi="Calibri"/>
          <w:b w:val="0"/>
          <w:i w:val="0"/>
          <w:color w:val="202020"/>
          <w:sz w:val="22"/>
        </w:rPr>
        <w:t>L'application a la chaine de valeur IA est remarquablement pertinente. Les Etats-Unis controlent plusieurs chokepoints critiques : la conception des accelerateurs IA (Nvidia detient plus de 80 pour cent du marche GPU pour centres de donnees), l'infrastructure cloud (AWS, Azure et Google Cloud representent environ 70 pour cent du marche mondial) et les modeles de fondation les plus avances (OpenAI, Anthropic, Google DeepMind). Le controle de ces chokepoints permet au gouvernement americain de moduler l'acces mondial au compute IA comme un levier geopolitique, exactement comme le systeme SWIFT a ete utilise comme levier dans le domaine financier. Farrell et Newman ont eux-memes reconnu, dans une mise a jour publiee dans Foreign Affairs en decembre 2025, que les semi-conducteurs et l'IA etaient devenus un terrain d'application majeur pour leur theorie, l'administration Trump ayant explicitement utilise les controles a l'exportation sur les puces IA comme monnaie d'echange dans les negociations avec la Chine.[7]</w:t>
      </w:r>
    </w:p>
    <w:p>
      <w:pPr>
        <w:spacing w:before="160" w:after="120"/>
      </w:pPr>
      <w:r>
        <w:rPr>
          <w:rFonts w:ascii="Calibri" w:hAnsi="Calibri"/>
          <w:b/>
          <w:i w:val="0"/>
          <w:color w:val="1A2744"/>
          <w:sz w:val="26"/>
        </w:rPr>
        <w:t>1.3.3 Economie de la concentration et rentes d'innovation</w:t>
      </w:r>
    </w:p>
    <w:p>
      <w:pPr>
        <w:spacing w:after="120" w:line="300" w:lineRule="auto"/>
      </w:pPr>
      <w:r>
        <w:rPr>
          <w:rFonts w:ascii="Calibri" w:hAnsi="Calibri"/>
          <w:b w:val="0"/>
          <w:i w:val="0"/>
          <w:color w:val="202020"/>
          <w:sz w:val="22"/>
        </w:rPr>
        <w:t>Le troisieme ancrage theorique mobilise la litterature sur la concentration des marches numeriques et les barrieres a l'entree dans l'ecosysteme IA. Martens (2024), dans un policy brief pour Bruegel, demontre que les couts d'entrainement des modeles de fondation croissent exponentiellement, constituant une barriere a l'entree insurmontable pour la plupart des acteurs.[8] Il estime qu'une ferme de calcul de l'ordre du trillion de dollars est concevable a moyen terme, un seuil d'investissement totalement hors de portee du financement public et de la grande majorite des entreprises. Seules les GAMMAN (Google, Apple, Meta, Microsoft, Amazon, Nvidia) disposent des ressources pour y acceder.</w:t>
      </w:r>
    </w:p>
    <w:p>
      <w:pPr>
        <w:spacing w:after="120" w:line="300" w:lineRule="auto"/>
      </w:pPr>
      <w:r>
        <w:rPr>
          <w:rFonts w:ascii="Calibri" w:hAnsi="Calibri"/>
          <w:b w:val="0"/>
          <w:i w:val="0"/>
          <w:color w:val="202020"/>
          <w:sz w:val="22"/>
        </w:rPr>
        <w:t>L'OCDE (2025) confirme cette analyse dans son rapport sur la concurrence dans l'infrastructure IA, identifiant des barrieres a l'entree a plusieurs niveaux de la chaine d'approvisionnement : exigences capitalistiques extremement elevees, economies d'echelle massives, couts de switching entre fournisseurs et absence de standards d'interoperabilite.[9] La Federal Reserve Board (octobre 2025), dans une analyse comparative de la competitivite IA dans les economies avancees, montre que les Etats-Unis concentrent plus de 75 pour cent de l'investissement mondial en venture capital dans l'IA generative, et que l'Europe accuse un retard significatif non seulement en investissement mais aussi en adoption d'entreprise, les couts energetiques eleves constituant un frein supplementaire.[10]</w:t>
      </w:r>
    </w:p>
    <w:p>
      <w:pPr>
        <w:spacing w:after="120" w:line="300" w:lineRule="auto"/>
      </w:pPr>
      <w:r>
        <w:rPr>
          <w:rFonts w:ascii="Calibri" w:hAnsi="Calibri"/>
          <w:b w:val="0"/>
          <w:i w:val="0"/>
          <w:color w:val="202020"/>
          <w:sz w:val="22"/>
        </w:rPr>
        <w:t>Cette dynamique de concentration a une consequence directe pour notre analyse : le protectionnisme technologique americain ne se contente pas de limiter l'acces europeen au compute, il renforce la position des acteurs dominants qui sont precisement ceux qui beneficient de l'exemption domestique. C'est un mecanisme de double avantage : reduction des contraintes pour les entreprises americaines, augmentation des contraintes pour leurs concurrentes.</w:t>
      </w:r>
    </w:p>
    <w:p>
      <w:pPr>
        <w:spacing w:before="160" w:after="120"/>
      </w:pPr>
      <w:r>
        <w:rPr>
          <w:rFonts w:ascii="Calibri" w:hAnsi="Calibri"/>
          <w:b/>
          <w:i w:val="0"/>
          <w:color w:val="1A2744"/>
          <w:sz w:val="26"/>
        </w:rPr>
        <w:t>1.3.4 Souverainete numerique et autonomie strategique europeenne</w:t>
      </w:r>
    </w:p>
    <w:p>
      <w:pPr>
        <w:spacing w:after="120" w:line="300" w:lineRule="auto"/>
      </w:pPr>
      <w:r>
        <w:rPr>
          <w:rFonts w:ascii="Calibri" w:hAnsi="Calibri"/>
          <w:b w:val="0"/>
          <w:i w:val="0"/>
          <w:color w:val="202020"/>
          <w:sz w:val="22"/>
        </w:rPr>
        <w:t>Le quatrieme ancrage theorique mobilise le courant europeen de la souverainete numerique, analyse notamment par Mugge (2024) dans le Journal of European Public Policy. Mugge identifie trois tensions fondamentales dans l'ambition de souverainete IA europeenne : la souverainete oppose-t-elle l'UE aux autres puissances IA, ou les citoyens aux grandes plateformes ? Vise-t-elle la competitivite economique ou la protection des droits ? Et qui en beneficie reellement - les champions europeens ou l'ecosysteme entier ?[11] Ces tensions sont precisement celles que le protectionnisme americain exacerbe : en comprimant l'espace de souverainete technologique europeen, il force l'UE a arbitrer entre ces objectifs contradictoires dans un contexte d'urgence.</w:t>
      </w:r>
    </w:p>
    <w:p>
      <w:pPr>
        <w:spacing w:after="120" w:line="300" w:lineRule="auto"/>
      </w:pPr>
      <w:r>
        <w:rPr>
          <w:rFonts w:ascii="Calibri" w:hAnsi="Calibri"/>
          <w:b w:val="0"/>
          <w:i w:val="0"/>
          <w:color w:val="202020"/>
          <w:sz w:val="22"/>
        </w:rPr>
        <w:t>Hawkins, Lehdonvirta et Wu (2025) apportent une contribution empirique decisive en mesurant la souverainete du compute a travers l'infrastructure des neuf principaux fournisseurs cloud mondiaux, qui representent environ 70 pour cent du marche mondial. Leurs resultats revelent que le degre de souverainete varie considerablement selon le niveau d'analyse (territorial, corporate ou hardware), et que la plupart des pays europeens presentent un deficit de souverainete sur au moins deux de ces trois niveaux.[12] McKinsey (decembre 2025) estime l'opportunite IA souveraine europeenne a 480 milliards d'euros par an a l'horizon 2030, conditionnelle a un scenario de souverainete technologique forte combine a une adoption IA elevee.[13]</w:t>
      </w:r>
    </w:p>
    <w:p>
      <w:pPr>
        <w:spacing w:before="280" w:after="120"/>
      </w:pPr>
      <w:r>
        <w:rPr>
          <w:rFonts w:ascii="Calibri" w:hAnsi="Calibri"/>
          <w:b/>
          <w:i w:val="0"/>
          <w:color w:val="1A2744"/>
          <w:sz w:val="32"/>
        </w:rPr>
        <w:t>1.4 Revue de litterature ciblee et identification du gap</w:t>
      </w:r>
    </w:p>
    <w:p>
      <w:pPr>
        <w:spacing w:after="120" w:line="300" w:lineRule="auto"/>
      </w:pPr>
      <w:r>
        <w:rPr>
          <w:rFonts w:ascii="Calibri" w:hAnsi="Calibri"/>
          <w:b w:val="0"/>
          <w:i w:val="0"/>
          <w:color w:val="202020"/>
          <w:sz w:val="22"/>
        </w:rPr>
        <w:t>L'etat de la litterature en fevrier 2026 revele un champ de recherche en formation rapide, mais qui demeure tres fragmente. Nous identifions cinq corpus principaux, chacun couvrant une dimension de notre question de recherche.</w:t>
      </w:r>
    </w:p>
    <w:p>
      <w:pPr>
        <w:spacing w:after="120" w:line="300" w:lineRule="auto"/>
      </w:pPr>
      <w:r>
        <w:rPr>
          <w:rFonts w:ascii="Calibri" w:hAnsi="Calibri"/>
          <w:b w:val="0"/>
          <w:i w:val="0"/>
          <w:color w:val="202020"/>
          <w:sz w:val="22"/>
        </w:rPr>
        <w:t>Corpus 1 : Controles a l'exportation et geopolitique IA. Le Carnegie Endowment for International Peace fournit l'analyse la plus detaillee de la politique americaine de controle a l'exportation IA. Winter-Levy et Phillips-Robins (mai 2025) ont decrit l'AI Diffusion Rule de Biden comme un compromis entre trois objectifs - controle, promotion et levier geopolitique - et analyse les options de remplacement sous Trump.[14] Le CSIS, le Hudson Institute et Pillsbury Law ont documente les mecanismes legaux et les developpements recents, notamment les tarifs Section 232 de janvier 2026. Contrary Research (novembre 2025) propose une analyse particulierement riche du dilemme temporel sous-jacent : si l'AGI est a cinq ans, les controles a l'exportation renforcent la domination americaine ; si elle est a dix ans ou plus, ils accelerent l'autonomisation technologique chinoise.[15]</w:t>
      </w:r>
    </w:p>
    <w:p>
      <w:pPr>
        <w:spacing w:after="120" w:line="300" w:lineRule="auto"/>
      </w:pPr>
      <w:r>
        <w:rPr>
          <w:rFonts w:ascii="Calibri" w:hAnsi="Calibri"/>
          <w:b w:val="0"/>
          <w:i w:val="0"/>
          <w:color w:val="202020"/>
          <w:sz w:val="22"/>
        </w:rPr>
        <w:t>Corpus 2 : Energie et infrastructure des centres de donnees. Le rapport special Energy and AI de l'AIE (avril 2025) constitue la reference mondiale en matiere de projections energetiques pour les centres de donnees. Il etablit que la consommation electrique mondiale des centres de donnees atteindra 945 TWh en 2030 dans le scenario central, contre 415 TWh en 2024, l'IA etant le principal moteur de cette croissance.[16] Aux Etats-Unis, les centres de donnees consommeront plus d'electricite que toute l'industrie energo-intensive combinee a l'horizon 2030. En Europe, la croissance sera de plus 45 TWh (plus 70 pour cent), avec un risque de retard sur environ 20 pour cent des projets lie aux contraintes du reseau electrique. L'AIE-4E a publie en parallele une revue critique des modeles d'estimation, soulignant l'ampleur des incertitudes (les projections 2030 varient d'un facteur 40 selon les etudes).[17]</w:t>
      </w:r>
    </w:p>
    <w:p>
      <w:pPr>
        <w:spacing w:after="120" w:line="300" w:lineRule="auto"/>
      </w:pPr>
      <w:r>
        <w:rPr>
          <w:rFonts w:ascii="Calibri" w:hAnsi="Calibri"/>
          <w:b w:val="0"/>
          <w:i w:val="0"/>
          <w:color w:val="202020"/>
          <w:sz w:val="22"/>
        </w:rPr>
        <w:t>Corpus 3 : Marche des semi-conducteurs. McKinsey (janvier 2026) a revise significativement a la hausse ses estimations de la taille du marche des semi-conducteurs en integrant les concepteurs captifs (Apple, Amazon, Tesla) et les operateurs fabless dont la valeur n'apparait pas dans les statistiques traditionnelles. Leur estimation centrale passe de 775 milliards USD en 2024 a 1 600 milliards USD en 2030, soit un TCAM de 13 pour cent.[18] La SIA rapporte des ventes record de 627,6 milliards USD en 2024, tandis que Deloitte (fevrier 2026) anticipe que les puces IA generatives representeront a elles seules pres de la moitie du chiffre d'affaires du secteur en 2026.[19]</w:t>
      </w:r>
    </w:p>
    <w:p>
      <w:pPr>
        <w:spacing w:after="120" w:line="300" w:lineRule="auto"/>
      </w:pPr>
      <w:r>
        <w:rPr>
          <w:rFonts w:ascii="Calibri" w:hAnsi="Calibri"/>
          <w:b w:val="0"/>
          <w:i w:val="0"/>
          <w:color w:val="202020"/>
          <w:sz w:val="22"/>
        </w:rPr>
        <w:t>Corpus 4 : Souverainete et competitivite IA europeennes. Plusieurs publications recentes documentent le deficit europeen. Le Parlement europeen (2025) constate que seules 11 pour cent des petites entreprises europeennes utilisent l'IA, contre 58 pour cent des petites entreprises americaines.[20] Accenture (novembre 2025) rapporte que 62 pour cent des organisations europeennes recherchent des solutions souveraines face a l'incertitude geopolitique, mais seulement 19 pour cent y voient un avantage competitif. La majorite (48 pour cent) est motivee par des obligations de conformite reglementaire, suggerant une approche defensive plutot que strategique.[21] Le rapport Draghi (septembre 2024) sur la competitivite europeenne avait deja identifie le deficit d'investissement numerique comme un facteur structurel du declin europeen.</w:t>
      </w:r>
    </w:p>
    <w:p>
      <w:pPr>
        <w:spacing w:after="120" w:line="300" w:lineRule="auto"/>
      </w:pPr>
      <w:r>
        <w:rPr>
          <w:rFonts w:ascii="Calibri" w:hAnsi="Calibri"/>
          <w:b w:val="0"/>
          <w:i w:val="0"/>
          <w:color w:val="202020"/>
          <w:sz w:val="22"/>
        </w:rPr>
        <w:t>Corpus 5 : Barrieres concurrentielles et concentration. Bruegel, l'OCDE et la Federal Reserve Board convergent sur le constat d'une concentration croissante de l'ecosysteme IA autour d'un petit nombre d'acteurs. Le rapport CERRE (juin 2025) sur la politique de concurrence pour le cloud et l'IA identifie des barrieres a la migration, des pratiques de cloud credits susceptibles de creer du lock-in, et une dependance croissante des petits developpeurs IA aux hyperscalers pour l'acces au compute accelere.[22] La collaboration structurelle entre startups IA et Big Tech, illustree par l'accord Mistral-Microsoft, temoigne de cette dependance.</w:t>
      </w:r>
    </w:p>
    <w:p>
      <w:pPr>
        <w:spacing w:after="120" w:line="300" w:lineRule="auto"/>
      </w:pPr>
      <w:r>
        <w:rPr>
          <w:rFonts w:ascii="Calibri" w:hAnsi="Calibri"/>
          <w:b w:val="0"/>
          <w:i w:val="0"/>
          <w:color w:val="202020"/>
          <w:sz w:val="22"/>
        </w:rPr>
        <w:t>Le gap que cette etude entend combler. L'examen de ces cinq corpus revele un espace analytique non couvert : aucune etude ne propose une trajectoire integree liant le protectionnisme technologique americain a la divergence de competitivite UE via le triptyque compute-energie-semi-conducteurs. Les travaux existants traitent chaque dimension isolement - controles a l'exportation sans energie, energie sans semi-conducteurs, semi-conducteurs sans productivite. Par ailleurs, l'angle specifique de la robotique IA comme amplificateur de la demande energetique est quasiment absent de la litterature. C'est precisement ce gap que notre etude entend combler, en proposant un cadre analytique unifie et un indicateur original - le Compute-Adjusted Competitiveness Index (CACI) - permettant la mesure et la projection de cette divergence. L'indicateur et le jeu de donnees sous-jacent sont accessibles publiquement et mis a jour en temps reel sur le tableau de bord du projet.[a]</w:t>
      </w:r>
    </w:p>
    <w:p>
      <w:pPr>
        <w:spacing w:before="280" w:after="120"/>
      </w:pPr>
      <w:r>
        <w:rPr>
          <w:rFonts w:ascii="Calibri" w:hAnsi="Calibri"/>
          <w:b/>
          <w:i w:val="0"/>
          <w:color w:val="1A2744"/>
          <w:sz w:val="32"/>
        </w:rPr>
        <w:t>1.5 Structure du rapport</w:t>
      </w:r>
    </w:p>
    <w:p>
      <w:pPr>
        <w:spacing w:after="120" w:line="300" w:lineRule="auto"/>
      </w:pPr>
      <w:r>
        <w:rPr>
          <w:rFonts w:ascii="Calibri" w:hAnsi="Calibri"/>
          <w:b w:val="0"/>
          <w:i w:val="0"/>
          <w:color w:val="202020"/>
          <w:sz w:val="22"/>
        </w:rPr>
        <w:t>Le rapport est organise en huit chapitres. Apres cette introduction, le chapitre II presente la methodologie, detaillant l'approche multi-scenarios, les sources de donnees, la construction du CACI et les limites methodologiques. Le chapitre III etablit le diagnostic empirique 2020-2026, couvrant les trajectoires energetiques, le marche des semi-conducteurs, le compute installe et la chronologie des controles a l'exportation. Le chapitre IV analyse les mecanismes de l'avantage competitif americain. Le chapitre V presente quatre scenarios 2026-2030 structures autour de deux axes d'incertitude. Le chapitre VI detaille les consequences pour la France et l'Europe, differenciees par type d'acteur et par secteur. Le chapitre VII formule des recommandations strategiques a trois horizons temporels. Le chapitre VIII conclut en synthetisant les apports de l'etude et en identifiant des pistes de recherche futures.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3.46:1 between USA and EU (aggregated) is computed on the live dataset as of April 2026.</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