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II</w:t>
      </w:r>
    </w:p>
    <w:p>
      <w:pPr>
        <w:spacing w:after="360"/>
        <w:jc w:val="center"/>
      </w:pPr>
      <w:r>
        <w:rPr>
          <w:rFonts w:ascii="Calibri" w:hAnsi="Calibri"/>
          <w:b/>
          <w:i w:val="0"/>
          <w:color w:val="1A2744"/>
          <w:sz w:val="36"/>
        </w:rPr>
        <w:t>Metodologia</w:t>
      </w:r>
    </w:p>
    <w:p>
      <w:pPr>
        <w:spacing w:before="280" w:after="120"/>
      </w:pPr>
      <w:r>
        <w:rPr>
          <w:rFonts w:ascii="Calibri" w:hAnsi="Calibri"/>
          <w:b/>
          <w:i w:val="0"/>
          <w:color w:val="1A2744"/>
          <w:sz w:val="32"/>
        </w:rPr>
        <w:t>2.1 Abordagem geral: analise prospectiva multi-cenario por metodo misto</w:t>
      </w:r>
    </w:p>
    <w:p>
      <w:pPr>
        <w:spacing w:after="120" w:line="300" w:lineRule="auto"/>
      </w:pPr>
      <w:r>
        <w:rPr>
          <w:rFonts w:ascii="Calibri" w:hAnsi="Calibri"/>
          <w:b w:val="0"/>
          <w:i w:val="0"/>
          <w:color w:val="202020"/>
          <w:sz w:val="22"/>
        </w:rPr>
        <w:t>Este estudo combina uma analise empirica retrospectiva (diagnostico 2020-2026) com uma projecao prospectiva por cenarios (2026-2030). Esta arquitetura em duas vertentes responde a natureza do fenomeno investigado: o protecionismo tecnologico em IA e simultaneamente um fato observavel (controles de exportacao, tarifas Secao 232) e um processo em curso cuja trajetoria futura depende de variaveis politicas discricionarias, das respostas estrategicas europeias e de desenvolvimentos tecnologicos parcialmente imprevisiveis.</w:t>
      </w:r>
    </w:p>
    <w:p>
      <w:pPr>
        <w:spacing w:after="120" w:line="300" w:lineRule="auto"/>
      </w:pPr>
      <w:r>
        <w:rPr>
          <w:rFonts w:ascii="Calibri" w:hAnsi="Calibri"/>
          <w:b w:val="0"/>
          <w:i w:val="0"/>
          <w:color w:val="202020"/>
          <w:sz w:val="22"/>
        </w:rPr>
        <w:t>O componente retrospectivo emprega um metodo quantitativo descritivo, baseado na agregacao e cruzamento de dados de fontes institucionais (AIE, SIA/WSTS, Eurostat, EIA), relatorios industriais (McKinsey, Deloitte, Epoch AI) e documentos regulatorios (Federal Register, BIS, Casa Branca). O objetivo e estabelecer uma base factual rigorosa e referenciada cobrindo tres dimensoes: consumo de energia dos data centers, mercado de semicondutores e capacidade de compute IA instalada por regiao.</w:t>
      </w:r>
    </w:p>
    <w:p>
      <w:pPr>
        <w:spacing w:after="120" w:line="300" w:lineRule="auto"/>
      </w:pPr>
      <w:r>
        <w:rPr>
          <w:rFonts w:ascii="Calibri" w:hAnsi="Calibri"/>
          <w:b w:val="0"/>
          <w:i w:val="0"/>
          <w:color w:val="202020"/>
          <w:sz w:val="22"/>
        </w:rPr>
        <w:t>O componente prospectivo apoia-se na tradicao do scenario planning conforme formalizada por Schwartz (1991) e praticada na Royal Dutch/Shell desde a decada de 1970.[1] Este metodo, pertencente a escola Intuitive Logics (Bradfield et al., 2005), consiste em construir cenarios plausiveis e internamente coerentes - nao para prever o futuro, mas para explorar o espaco de possibilidades e avaliar a robustez de diferentes estrategias frente a desenvolvimentos ambientais divergentes.[2] E particularmente adequado a situacoes caracterizadas por alta incerteza politica e tecnologica, onde os modelos econometricos classicos atingem seus limites - precisamente o caso do protecionismo tecnologico em IA.</w:t>
      </w:r>
    </w:p>
    <w:p>
      <w:pPr>
        <w:spacing w:after="120" w:line="300" w:lineRule="auto"/>
      </w:pPr>
      <w:r>
        <w:rPr>
          <w:rFonts w:ascii="Calibri" w:hAnsi="Calibri"/>
          <w:b w:val="0"/>
          <w:i w:val="0"/>
          <w:color w:val="202020"/>
          <w:sz w:val="22"/>
        </w:rPr>
        <w:t>Justificativa da escolha metodologica. Tres razoes fundamentam a escolha do metodo de cenarios em vez de modelagem econometrica pura. Primeiro, as variaveis analiticas-chave sao em grande parte politicas e discricionarias: a decisao de um presidente americano de impor ou nao cotas de GPU a Europa nao pode ser modelada por uma funcao de regressao. Segundo, as interacoes entre as dimensoes energetica, tecnologica e geopolitica sao nao lineares e sistemicas: uma restricao sobre GPUs pode, por efeitos em cascata, alterar fluxos de investimento energetico, decisoes de localizacao de data centers e a estrutura competitiva de setores inteiros. Terceiro, os dados disponiveis sobre compute instalado por regiao sao parciais e heterogeneos: nao existe banco de dados publico unificado de FLOPs IA por pais, tornando prematura uma calibracao econometrica rigorosa.</w:t>
      </w:r>
    </w:p>
    <w:p>
      <w:pPr>
        <w:spacing w:after="120" w:line="300" w:lineRule="auto"/>
      </w:pPr>
      <w:r>
        <w:rPr>
          <w:rFonts w:ascii="Calibri" w:hAnsi="Calibri"/>
          <w:b w:val="0"/>
          <w:i w:val="0"/>
          <w:color w:val="202020"/>
          <w:sz w:val="22"/>
        </w:rPr>
        <w:t>O metodo escolhido combina, portanto, o rigor quantitativo do diagnostico empirico (dados referenciados, series temporais, razoes mensuraveis) com a flexibilidade qualitativa da construcao de cenarios, no espirito do que Schoemaker (1995) chama de heuristica disciplinada.[3] Os cenarios nao sao previsoes probabilisticas, mas narrativas estrategicas coerentes, cada uma baseada em pressupostos explicitos e desenvolvendo suas consequencias por meio de metricas mensuraveis.</w:t>
      </w:r>
    </w:p>
    <w:p>
      <w:pPr>
        <w:spacing w:before="280" w:after="120"/>
      </w:pPr>
      <w:r>
        <w:rPr>
          <w:rFonts w:ascii="Calibri" w:hAnsi="Calibri"/>
          <w:b/>
          <w:i w:val="0"/>
          <w:color w:val="1A2744"/>
          <w:sz w:val="32"/>
        </w:rPr>
        <w:t>2.2 Fontes de dados: classificacao e avaliacao critica</w:t>
      </w:r>
    </w:p>
    <w:p>
      <w:pPr>
        <w:spacing w:after="120" w:line="300" w:lineRule="auto"/>
      </w:pPr>
      <w:r>
        <w:rPr>
          <w:rFonts w:ascii="Calibri" w:hAnsi="Calibri"/>
          <w:b w:val="0"/>
          <w:i w:val="0"/>
          <w:color w:val="202020"/>
          <w:sz w:val="22"/>
        </w:rPr>
        <w:t>O estudo se baseia em tres categorias de fontes, cuja confiabilidade e potenciais vieses devem ser explicitamente reconhecidos. Esta transparencia metodologica esta em conformidade com as recomendacoes do OECD/JRC Handbook on Constructing Composite Indicators (Nardo et al., 2008), que prescreve a documentacao sistematica de fontes, suas limitacoes e seus vieses em qualquer construcao de indicador composto.[4]</w:t>
      </w:r>
    </w:p>
    <w:p>
      <w:pPr>
        <w:spacing w:before="160" w:after="120"/>
      </w:pPr>
      <w:r>
        <w:rPr>
          <w:rFonts w:ascii="Calibri" w:hAnsi="Calibri"/>
          <w:b/>
          <w:i w:val="0"/>
          <w:color w:val="1A2744"/>
          <w:sz w:val="26"/>
        </w:rPr>
        <w:t>2.2.1 Fontes primarias (documentos oficiais e regulatorios)</w:t>
      </w:r>
    </w:p>
    <w:p>
      <w:pPr>
        <w:spacing w:after="120" w:line="300" w:lineRule="auto"/>
      </w:pPr>
      <w:r>
        <w:rPr>
          <w:rFonts w:ascii="Calibri" w:hAnsi="Calibri"/>
          <w:b w:val="0"/>
          <w:i w:val="0"/>
          <w:color w:val="202020"/>
          <w:sz w:val="22"/>
        </w:rPr>
        <w:t>Esta categoria inclui textos normativos ou institucionais: proclamacoes presidenciais (Secao 232), regras BIS (AI Diffusion Rule, Entity List), relatorios da AIE, publicacoes do Parlamento Europeu (EPRS), dados estatisticos oficiais (SIA/WSTS para semicondutores, Eurostat e EIA para energia, RTE para Franca). Essas fontes oferecem a maior confiabilidade factual, mas podem conter vieses de enquadramento institucional: a AIE tende a privilegiar cenarios moderados, o Parlamento Europeu a enfatizar riscos para a soberania da UE.</w:t>
      </w:r>
    </w:p>
    <w:p>
      <w:pPr>
        <w:spacing w:before="160" w:after="120"/>
      </w:pPr>
      <w:r>
        <w:rPr>
          <w:rFonts w:ascii="Calibri" w:hAnsi="Calibri"/>
          <w:b/>
          <w:i w:val="0"/>
          <w:color w:val="1A2744"/>
          <w:sz w:val="26"/>
        </w:rPr>
        <w:t>2.2.2 Fontes academicas e think tanks</w:t>
      </w:r>
    </w:p>
    <w:p>
      <w:pPr>
        <w:spacing w:after="120" w:line="300" w:lineRule="auto"/>
      </w:pPr>
      <w:r>
        <w:rPr>
          <w:rFonts w:ascii="Calibri" w:hAnsi="Calibri"/>
          <w:b w:val="0"/>
          <w:i w:val="0"/>
          <w:color w:val="202020"/>
          <w:sz w:val="22"/>
        </w:rPr>
        <w:t>Esta categoria inclui artigos com revisao por pares (Farrell e Newman, 2019; Bresnahan e Trajtenberg, 1995; Brynjolfsson et al., 2019; Mugge, 2024) e publicacoes de think tanks reconhecidos (Bruegel, Carnegie Endowment, CSIS, OCDE, Federal Reserve Board). Os primeiros fornecem fundamentacao teorica robusta; os segundos oferecem analises politicas empiricamente fundadas, mas potencialmente influenciadas pela orientacao ideologica de cada instituicao. Priorizamos o cruzamento de fontes de orientacoes diferentes (Bruegel / Carnegie / Fed) para limitar esse vies.</w:t>
      </w:r>
    </w:p>
    <w:p>
      <w:pPr>
        <w:spacing w:before="160" w:after="120"/>
      </w:pPr>
      <w:r>
        <w:rPr>
          <w:rFonts w:ascii="Calibri" w:hAnsi="Calibri"/>
          <w:b/>
          <w:i w:val="0"/>
          <w:color w:val="1A2744"/>
          <w:sz w:val="26"/>
        </w:rPr>
        <w:t>2.2.3 Fontes industriais e de consultoria</w:t>
      </w:r>
    </w:p>
    <w:p>
      <w:pPr>
        <w:spacing w:after="120" w:line="300" w:lineRule="auto"/>
      </w:pPr>
      <w:r>
        <w:rPr>
          <w:rFonts w:ascii="Calibri" w:hAnsi="Calibri"/>
          <w:b w:val="0"/>
          <w:i w:val="0"/>
          <w:color w:val="202020"/>
          <w:sz w:val="22"/>
        </w:rPr>
        <w:t>McKinsey, Deloitte, Accenture, Epoch AI e CFG Europe fornecem dados de mercado, projecoes setoriais e estimativas de capacidade indisponiveis em fontes publicas. Essas fontes apresentam um vies sistematico potencial: as consultorias tem interesse em amplificar tendencias (para justificar engajamentos de transformacao) e as estimativas de mercado sao frequentemente otimistas. Mitigamos esse vies triangulando os numeros com dados institucionais e sinalizando explicitamente as divergencias entre fontes. Por exemplo, as vendas de semicondutores em 2024 sao de 627,6 bilhoes de USD segundo a SIA (escopo tradicional), mas de 775 bilhoes de USD segundo a McKinsey (escopo ampliado), uma diferenca de 24 por cento refletindo diferencas metodologicas e nao inconsistencias.[5]</w:t>
      </w:r>
    </w:p>
    <w:p>
      <w:pPr>
        <w:spacing w:before="160" w:after="120"/>
      </w:pPr>
      <w:r>
        <w:rPr>
          <w:rFonts w:ascii="Calibri" w:hAnsi="Calibri"/>
          <w:b/>
          <w:i w:val="0"/>
          <w:color w:val="1A2744"/>
          <w:sz w:val="26"/>
        </w:rPr>
        <w:t>2.2.4 Dados de compute IA: o conjunto Epoch AI GPU Clusters</w:t>
      </w:r>
    </w:p>
    <w:p>
      <w:pPr>
        <w:spacing w:after="120" w:line="300" w:lineRule="auto"/>
      </w:pPr>
      <w:r>
        <w:rPr>
          <w:rFonts w:ascii="Calibri" w:hAnsi="Calibri"/>
          <w:b w:val="0"/>
          <w:i w:val="0"/>
          <w:color w:val="202020"/>
          <w:sz w:val="22"/>
        </w:rPr>
        <w:t>Medir o compute IA instalado por pais constitui o desafio metodologico central deste estudo. Apoiamo-nos primariamente no conjunto de dados Epoch AI GPU Clusters (Pilz, Rahman, Sanders e Heim, 2025), que cataloga mais de 500 supercomputadores e clusters GPU em todo o mundo para o periodo 2019-2025.[6] Este conjunto de dados, disponivel sob licenca aberta Creative Commons Atribuicao, constitui a fonte mais completa e sistematicamente documentada sobre infraestrutura global de compute IA ate hoje. E usado como referencia pelo Stanford AI Index Report (2025), por varios relatorios governamentais e por instituicoes como OpenAI e DeepMind.</w:t>
      </w:r>
    </w:p>
    <w:p>
      <w:pPr>
        <w:spacing w:after="120" w:line="300" w:lineRule="auto"/>
      </w:pPr>
      <w:r>
        <w:rPr>
          <w:rFonts w:ascii="Calibri" w:hAnsi="Calibri"/>
          <w:b w:val="0"/>
          <w:i w:val="0"/>
          <w:color w:val="202020"/>
          <w:sz w:val="22"/>
        </w:rPr>
        <w:t>O conjunto de dados cobre, para cada cluster: pais de localizacao, tipo de chip (H100, A100, GB200, TPU, etc.), desempenho computacional em FLOP/s 16 bits, numero de equivalentes H100, data operacional, setor (privado/publico), potencia eletrica (MW) e custo de hardware estimado. Essa granularidade permite a agregacao por pais e ano, atendendo diretamente as necessidades de nossa variavel F(r) no CACI.</w:t>
      </w:r>
    </w:p>
    <w:p>
      <w:pPr>
        <w:spacing w:after="120" w:line="300" w:lineRule="auto"/>
      </w:pPr>
      <w:r>
        <w:rPr>
          <w:rFonts w:ascii="Calibri" w:hAnsi="Calibri"/>
          <w:b w:val="0"/>
          <w:i w:val="0"/>
          <w:color w:val="202020"/>
          <w:sz w:val="22"/>
        </w:rPr>
        <w:t>Limitacoes do conjunto Epoch AI. Tres limitacoes devem ser destacadas. Primeiro, a cobertura e estimada em 10-20 por cento do desempenho de compute IA agregado global (marco de 2025), com heterogeneidade significativa entre empresas e tipos de chip: aproximadamente 20-37 por cento dos NVIDIA H100, 12 por cento dos A100, mas menos de 4 por cento dos TPU Google e uma fracao desprezivel dos chips customizados de AWS, Microsoft ou Meta.[7] Segundo, os sistemas chineses sao anonimizados (nomes removidos, valores arredondados a um algarismo significativo), limitando a precisao analitica para a China. Terceiro, a localizacao fisica de um cluster nao determina o acesso: muitos clusters sao acessiveis via servicos cloud a partir de outros paises.</w:t>
      </w:r>
    </w:p>
    <w:p>
      <w:pPr>
        <w:spacing w:after="120" w:line="300" w:lineRule="auto"/>
      </w:pPr>
      <w:r>
        <w:rPr>
          <w:rFonts w:ascii="Calibri" w:hAnsi="Calibri"/>
          <w:b w:val="0"/>
          <w:i w:val="0"/>
          <w:color w:val="202020"/>
          <w:sz w:val="22"/>
        </w:rPr>
        <w:t>Complementamos esses dados com o Working Paper da OCDE de Lehdonvirta, Wu, Hawkins et al. (outubro de 2025), que desenvolve uma metodologia para estimar a disponibilidade de compute IA em cloud publico por pais, contando regioes cloud dos principais fornecedores equipadas com aceleradores IA (A100, H100, GB200) em 39 economias.[8] Essa abordagem complementar distingue compute instalado (Epoch AI) de compute acessivel (OCDE), uma distincao crucial para o CACI.</w:t>
      </w:r>
    </w:p>
    <w:p>
      <w:pPr>
        <w:spacing w:before="280" w:after="120"/>
      </w:pPr>
      <w:r>
        <w:rPr>
          <w:rFonts w:ascii="Calibri" w:hAnsi="Calibri"/>
          <w:b/>
          <w:i w:val="0"/>
          <w:color w:val="1A2744"/>
          <w:sz w:val="32"/>
        </w:rPr>
        <w:t>2.3 Construcao dos cenarios</w:t>
      </w:r>
    </w:p>
    <w:p>
      <w:pPr>
        <w:spacing w:after="120" w:line="300" w:lineRule="auto"/>
      </w:pPr>
      <w:r>
        <w:rPr>
          <w:rFonts w:ascii="Calibri" w:hAnsi="Calibri"/>
          <w:b w:val="0"/>
          <w:i w:val="0"/>
          <w:color w:val="202020"/>
          <w:sz w:val="22"/>
        </w:rPr>
        <w:t>A construcao dos cenarios segue um protocolo de quatro etapas, inspirado na metodologia da matriz 2x2 (Schwartz, 1991; van der Heijden, 2004) e adaptado ao contexto geoestrategico da IA.[9]</w:t>
      </w:r>
    </w:p>
    <w:p>
      <w:pPr>
        <w:spacing w:after="120" w:line="300" w:lineRule="auto"/>
      </w:pPr>
      <w:r>
        <w:rPr>
          <w:rFonts w:ascii="Calibri" w:hAnsi="Calibri"/>
          <w:b w:val="0"/>
          <w:i w:val="0"/>
          <w:color w:val="202020"/>
          <w:sz w:val="22"/>
        </w:rPr>
        <w:t>Etapa 1 - Identificacao das forcas motrizes. Os elementos predeterminados (cuja evolucao e razoavelmente previsivel independentemente do cenario) incluem: o crescimento continuo da demanda mundial de compute IA; o aumento estrutural do consumo de energia dos data centers; a dependencia europeia das fundicoes asiaticas e americanas para chips de ponta; a concentracao do cloud global em torno de tres hyperscalers americanos; e o aumento exponencial dos custos de treinamento de modelos de fronteira.</w:t>
      </w:r>
    </w:p>
    <w:p>
      <w:pPr>
        <w:spacing w:after="120" w:line="300" w:lineRule="auto"/>
      </w:pPr>
      <w:r>
        <w:rPr>
          <w:rFonts w:ascii="Calibri" w:hAnsi="Calibri"/>
          <w:b w:val="0"/>
          <w:i w:val="0"/>
          <w:color w:val="202020"/>
          <w:sz w:val="22"/>
        </w:rPr>
        <w:t>As incertezas criticas (cuja evolucao depende de escolhas politicas, reacoes estrategicas ou disrupcoes tecnologicas) sao agrupadas em duas dimensoes. Dimensao 1 - Intensidade do protecionismo tecnologico americano: esta dimensao cobre um espectro que vai da manutencao das restricoes atuais ao endurecimento agressivo (cotas GPU para a UE, restricoes a APIs e modelos, priorizacao explicita de entregas a empresas americanas). Dimensao 2 - Capacidade de resposta europeia: esta dimensao cobre um espectro que vai de uma postura passiva (adaptacao marginal, aceitacao da dependencia) a uma resposta ativa (Compute Zones com energia derrogada, AI Factories aceleradas, SMR nucleares para data centers, parcerias alternativas Japao-Coreia-Taiwan, revisao do AI Act).</w:t>
      </w:r>
    </w:p>
    <w:p>
      <w:pPr>
        <w:spacing w:after="120" w:line="300" w:lineRule="auto"/>
      </w:pPr>
      <w:r>
        <w:rPr>
          <w:rFonts w:ascii="Calibri" w:hAnsi="Calibri"/>
          <w:b w:val="0"/>
          <w:i w:val="0"/>
          <w:color w:val="202020"/>
          <w:sz w:val="22"/>
        </w:rPr>
        <w:t>Etapa 2 - Matriz 2x2 e geracao de cenarios. O cruzamento das duas dimensoes de incerteza gera uma matriz de quatro cenarios. A escolha de quatro em vez de tres cenarios e deliberada. Schwartz (1991) e os praticantes do metodo Shell recomendam nunca construir tres cenarios, pois a mente humana tende a tratar o cenario mediano como o mais provavel, reduzindo a utilidade do exercicio.[10] A matriz 2x2 forca o analista a explorar quadrantes extremos - precisamente onde se desenrolam as rupturas estrategicas.</w:t>
      </w:r>
    </w:p>
    <w:p>
      <w:pPr>
        <w:spacing w:after="120" w:line="300" w:lineRule="auto"/>
      </w:pPr>
      <w:r>
        <w:rPr>
          <w:rFonts w:ascii="Calibri" w:hAnsi="Calibri"/>
          <w:b w:val="0"/>
          <w:i w:val="0"/>
          <w:color w:val="202020"/>
          <w:sz w:val="22"/>
        </w:rPr>
        <w:t>Etapa 3 - Desenvolvimento narrativo e quantificacao. Cada cenario e desenvolvido segundo um protocolo padronizado composto de tres componentes: uma narrativa estrategica descrevendo a sequencia plausivel de eventos entre 2026 e 2030; uma quantificacao de metricas-chave calibradas em dados empiricos 2020-2026 e projetadas conforme os pressupostos do cenario; e indicadores antecipados (leading indicators) que permitem identificar, a partir de 2026-2027, para qual cenario a realidade esta convergindo.</w:t>
      </w:r>
    </w:p>
    <w:p>
      <w:pPr>
        <w:spacing w:after="120" w:line="300" w:lineRule="auto"/>
      </w:pPr>
      <w:r>
        <w:rPr>
          <w:rFonts w:ascii="Calibri" w:hAnsi="Calibri"/>
          <w:b w:val="0"/>
          <w:i w:val="0"/>
          <w:color w:val="202020"/>
          <w:sz w:val="22"/>
        </w:rPr>
        <w:t>Etapa 4 - Analise de sensibilidade e robustez. Para cada recomendacao formulada no Capitulo VII, avaliamos sua robustez ao longo dos quatro cenarios. Uma recomendacao e considerada robusta se produz resultados positivos ou neutros em pelo menos tres dos quatro cenarios.</w:t>
      </w:r>
    </w:p>
    <w:p>
      <w:pPr>
        <w:spacing w:before="280" w:after="120"/>
      </w:pPr>
      <w:r>
        <w:rPr>
          <w:rFonts w:ascii="Calibri" w:hAnsi="Calibri"/>
          <w:b/>
          <w:i w:val="0"/>
          <w:color w:val="1A2744"/>
          <w:sz w:val="32"/>
        </w:rPr>
        <w:t>2.4 Metricas-chave e indicador original: o CACI</w:t>
      </w:r>
    </w:p>
    <w:p>
      <w:pPr>
        <w:spacing w:after="120" w:line="300" w:lineRule="auto"/>
      </w:pPr>
      <w:r>
        <w:rPr>
          <w:rFonts w:ascii="Calibri" w:hAnsi="Calibri"/>
          <w:b w:val="0"/>
          <w:i w:val="0"/>
          <w:color w:val="202020"/>
          <w:sz w:val="22"/>
        </w:rPr>
        <w:t>Definimos seis metricas a serem calculadas ou estimadas no diagnostico empirico (Capitulo III), e em seguida projetadas em cada cenario (Capitulo V). Em conjunto, formam um painel da divergencia EUA/UE em IA: M1 (compute gap, razao EUA/UE de FLOPs IA instalados normalizada pelo PIB), M2 (custo relativo do FLOP para treinamento), M3 (dependencia cloud, parcela de cargas IA UE em infraestrutura EUA), M4 (produtividade IA setorial), M5 (restricao energetica, razao demanda/capacidade dos data centers) e M6 (deslocalizacoes IA).</w:t>
      </w:r>
    </w:p>
    <w:p>
      <w:pPr>
        <w:spacing w:before="160" w:after="120"/>
      </w:pPr>
      <w:r>
        <w:rPr>
          <w:rFonts w:ascii="Calibri" w:hAnsi="Calibri"/>
          <w:b/>
          <w:i w:val="0"/>
          <w:color w:val="1A2744"/>
          <w:sz w:val="26"/>
        </w:rPr>
        <w:t>2.4.1 Fundamentos teoricos do CACI</w:t>
      </w:r>
    </w:p>
    <w:p>
      <w:pPr>
        <w:spacing w:after="120" w:line="300" w:lineRule="auto"/>
      </w:pPr>
      <w:r>
        <w:rPr>
          <w:rFonts w:ascii="Calibri" w:hAnsi="Calibri"/>
          <w:b w:val="0"/>
          <w:i w:val="0"/>
          <w:color w:val="202020"/>
          <w:sz w:val="22"/>
        </w:rPr>
        <w:t>Ancoragem na literatura. A construcao de um indicador composto de competitividade IA centrado no compute responde a uma necessidade identificada por varios fluxos de pesquisa convergentes. Desde 2023-2024, a literatura academica e institucional enfatiza cada vez mais que a capacidade computacional se tornou o fator de producao mais discriminante para a IA de fronteira (Sevilla et al., 2022; Epoch AI, 2025; Pilz et al., 2025). Os controles de exportacao americanos (BIS, outubro de 2022; atualizacoes 2023 e 2025) colocam explicitamente o compute avancado no cerne da competicao geopolitica, enquanto Hawkins, Lehdonvirta e Wu (2025) introduzem o conceito de soberania do compute como dimensao estruturante da autonomia estrategica.[11]</w:t>
      </w:r>
    </w:p>
    <w:p>
      <w:pPr>
        <w:spacing w:after="120" w:line="300" w:lineRule="auto"/>
      </w:pPr>
      <w:r>
        <w:rPr>
          <w:rFonts w:ascii="Calibri" w:hAnsi="Calibri"/>
          <w:b w:val="0"/>
          <w:i w:val="0"/>
          <w:color w:val="202020"/>
          <w:sz w:val="22"/>
        </w:rPr>
        <w:t>No entanto, os indices existentes de competitividade IA nao colocam o compute no centro de sua construcao. O AI Preparedness Index do FMI (Cazzaniga et al., 2024), cobrindo 174 paises, agrega quatro dimensoes (infraestrutura digital, capital humano, inovacao/integracao economica, regulacao/etica) sem medir diretamente a capacidade de compute instalada.[12] O Global AI Index da Tortoise Media (2024), classificando 83 paises em 122 indicadores em tres pilares (Implementation, Innovation, Investment), inclui um componente de infraestrutura/supercomputacao, mas o subsume em um indice aditivo ponderado onde o compute e apenas um fator entre muitos.[13] O Stanford AI Index (2025) fornece dados ricos sobre tendencias de compute, mas nao propoe nenhum indice composto. Nenhum desses instrumentos formaliza o mecanismo pelo qual o compute, ajustado por seu custo energetico e relacionado a capacidade de absorcao de uma economia, determina a competitividade IA.</w:t>
      </w:r>
    </w:p>
    <w:p>
      <w:pPr>
        <w:spacing w:after="120" w:line="300" w:lineRule="auto"/>
      </w:pPr>
      <w:r>
        <w:rPr>
          <w:rFonts w:ascii="Calibri" w:hAnsi="Calibri"/>
          <w:b w:val="0"/>
          <w:i w:val="0"/>
          <w:color w:val="202020"/>
          <w:sz w:val="22"/>
        </w:rPr>
        <w:t>O CACI visa preencher essa lacuna propondo um indicador parcimonioso, mas teoricamente fundamentado, que captura a interacao multiplicativa entre quatro fatores: compute acessivel, forca de trabalho relevante, condicoes de acesso geopolitico e custo energetico.</w:t>
      </w:r>
    </w:p>
    <w:p>
      <w:pPr>
        <w:spacing w:before="160" w:after="120"/>
      </w:pPr>
      <w:r>
        <w:rPr>
          <w:rFonts w:ascii="Calibri" w:hAnsi="Calibri"/>
          <w:b/>
          <w:i w:val="0"/>
          <w:color w:val="1A2744"/>
          <w:sz w:val="26"/>
        </w:rPr>
        <w:t>2.4.2 Definicao formal</w:t>
      </w:r>
    </w:p>
    <w:p>
      <w:pPr>
        <w:spacing w:after="120" w:line="300" w:lineRule="auto"/>
      </w:pPr>
      <w:r>
        <w:rPr>
          <w:rFonts w:ascii="Calibri" w:hAnsi="Calibri"/>
          <w:b w:val="0"/>
          <w:i w:val="0"/>
          <w:color w:val="202020"/>
          <w:sz w:val="22"/>
        </w:rPr>
        <w:t>O CACI para uma regiao r no periodo t e definido em dois modos complementares. Em Power Mode (absoluto): CACI(r,t) = F(r,t)^0,40 x L(r,t)^0,20 x R(r,t)^0,15 / E(r,t)^0,25. Em Intensity Mode (por unidade de riqueza nacional): CACI(r,t) = F(r,t)^0,40 x L(r,t)^0,20 x R(r,t)^0,15 / (E(r,t)^0,25 x PIB(r,t)).</w:t>
      </w:r>
    </w:p>
    <w:p>
      <w:pPr>
        <w:spacing w:after="120" w:line="300" w:lineRule="auto"/>
      </w:pPr>
      <w:r>
        <w:rPr>
          <w:rFonts w:ascii="Calibri" w:hAnsi="Calibri"/>
          <w:b w:val="0"/>
          <w:i w:val="0"/>
          <w:color w:val="202020"/>
          <w:sz w:val="22"/>
        </w:rPr>
        <w:t>F(r,t) - capacidade de compute IA instalada e acessivel na regiao r no periodo t. Agregamos o conjunto Epoch AI GPU Clusters por pais, em equivalentes H100 (a metrica utilizada pelo Epoch AI), complementado por estimativas OCDE de compute cloud acessivel. F admite duas especificacoes utilizadas em paralelo: F_total (todos os clusters localizados no territorio independentemente da propriedade, definindo o CACI fisico) e F_dom (clusters possuidos e operados por atores domesticos, definindo o CACI soberano).</w:t>
      </w:r>
    </w:p>
    <w:p>
      <w:pPr>
        <w:spacing w:after="120" w:line="300" w:lineRule="auto"/>
      </w:pPr>
      <w:r>
        <w:rPr>
          <w:rFonts w:ascii="Calibri" w:hAnsi="Calibri"/>
          <w:b w:val="0"/>
          <w:i w:val="0"/>
          <w:color w:val="202020"/>
          <w:sz w:val="22"/>
        </w:rPr>
        <w:t>L(r,t) - populacao em idade ativa com competencias IA (proxy: graduados STEM mais formacoes IA certificadas mais densidade de competencias IA pelo LinkedIn Economic Graph). Este fator captura a capacidade de absorcao no sentido de Cohen e Levinthal (1990): compute abundante sem capital humano para explora-lo nao produz competitividade.[14]</w:t>
      </w:r>
    </w:p>
    <w:p>
      <w:pPr>
        <w:spacing w:after="120" w:line="300" w:lineRule="auto"/>
      </w:pPr>
      <w:r>
        <w:rPr>
          <w:rFonts w:ascii="Calibri" w:hAnsi="Calibri"/>
          <w:b w:val="0"/>
          <w:i w:val="0"/>
          <w:color w:val="202020"/>
          <w:sz w:val="22"/>
        </w:rPr>
        <w:t>R(r,t) - indice de acesso geopolitico (entre 0 e 1) capturando a posicao do pais no regime de controles de exportacao. R = 1 para os Estados Unidos (acesso ilimitado ao compute de fronteira), R = 0,95 para aliados Tier-1 proximos (Reino Unido), R = 0,9 para a UE e a Franca (Tier-1 com restricoes seletivas), R = 0,85 para a India (Tier-2), R = 0,7 para a China (fortemente restrito).</w:t>
      </w:r>
    </w:p>
    <w:p>
      <w:pPr>
        <w:spacing w:after="120" w:line="300" w:lineRule="auto"/>
      </w:pPr>
      <w:r>
        <w:rPr>
          <w:rFonts w:ascii="Calibri" w:hAnsi="Calibri"/>
          <w:b w:val="0"/>
          <w:i w:val="0"/>
          <w:color w:val="202020"/>
          <w:sz w:val="22"/>
        </w:rPr>
        <w:t>E(r,t) - custo energetico efetivo medio do compute na regiao r, em USD por MWh, ajustado pelos Power Purchase Agreements dos hyperscalers. Os valores de referencia do painel para o snapshot de abril de 2026 sao EUA 85, China 92, Franca 115, Alemanha 140, Reino Unido 190 USD por MWh. Estes numeros correspondem aos precos ajustados PPA efetivamente enfrentados pelos data centers, nao aos tarifas Eurostat industriais brutos (que sao tipicamente mais altos na Europa). Os custos efetivos UE neste escopo PPA-ajustado sao 1,4 a 1,7 vezes os niveis EUA.[15]</w:t>
      </w:r>
    </w:p>
    <w:p>
      <w:pPr>
        <w:spacing w:after="120" w:line="300" w:lineRule="auto"/>
      </w:pPr>
      <w:r>
        <w:rPr>
          <w:rFonts w:ascii="Calibri" w:hAnsi="Calibri"/>
          <w:b w:val="0"/>
          <w:i w:val="0"/>
          <w:color w:val="202020"/>
          <w:sz w:val="22"/>
        </w:rPr>
        <w:t>PIB(r,t) - produto interno bruto da regiao r (Banco Mundial, Eurostat). Utilizado apenas em Intensity Mode para normalizar entre economias de tamanhos muito diferentes.</w:t>
      </w:r>
    </w:p>
    <w:p>
      <w:pPr>
        <w:spacing w:after="120" w:line="300" w:lineRule="auto"/>
      </w:pPr>
      <w:r>
        <w:rPr>
          <w:rFonts w:ascii="Calibri" w:hAnsi="Calibri"/>
          <w:b w:val="0"/>
          <w:i w:val="0"/>
          <w:color w:val="202020"/>
          <w:sz w:val="22"/>
        </w:rPr>
        <w:t>Justificativa da forma multiplicativa. A escolha de uma agregacao multiplicativa (geometrica) em vez de aditiva (aritmetica) e deliberada e repousa em tres argumentos. Primeiro, a teoria das General Purpose Technologies (Bresnahan e Trajtenberg, 1995) postula uma forte complementaridade entre os insumos de inovacao: compute sem energia acessivel ou sem capital humano qualificado nao produz ganhos de competitividade, justificando uma forma onde a fraqueza em um fator penaliza o conjunto. Segundo, o OECD/JRC Handbook (2008, p. 33) recomenda a agregacao geometrica quando os componentes nao sao perfeitamente substituiveis: ao contrario da media aritmetica, a media geometrica nao permite que um escore muito alto em uma dimensao compense plenamente um escore muito baixo em outra. Terceiro, trabalhos recentes sobre construcao de indices IA (Koronakos, Kritikos e Sotiros, 2024; analise do GAII Tortoise via integral de Choquet) confirmam que as dimensoes de competitividade IA apresentam interacoes (complementaridades e redundancias) que tornam problematica a agregacao linear simples.[16]</w:t>
      </w:r>
    </w:p>
    <w:p>
      <w:pPr>
        <w:spacing w:after="120" w:line="300" w:lineRule="auto"/>
      </w:pPr>
      <w:r>
        <w:rPr>
          <w:rFonts w:ascii="Calibri" w:hAnsi="Calibri"/>
          <w:b w:val="0"/>
          <w:i w:val="0"/>
          <w:color w:val="202020"/>
          <w:sz w:val="22"/>
        </w:rPr>
        <w:t>Interpretacao economica. Em forma logaritmica, o CACI em Intensity Mode pode ser escrito ln(CACI) = 0,40 ln(F) + 0,20 ln(L) + 0,15 ln(R) - 0,25 ln(E) - ln(PIB). Esta transformacao lineariza a relacao e permite interpretar cada coeficiente como uma elasticidade. O indicador e concebido para a comparacao bilateral: a razao CACI(EUA)/CACI(UE) mede a vantagem competitiva relativa. O snapshot de abril de 2026 produz uma razao de 3,46:1 em Power Mode (F_total) - este e o numero principal deste estudo.</w:t>
      </w:r>
    </w:p>
    <w:p>
      <w:pPr>
        <w:spacing w:before="160" w:after="120"/>
      </w:pPr>
      <w:r>
        <w:rPr>
          <w:rFonts w:ascii="Calibri" w:hAnsi="Calibri"/>
          <w:b/>
          <w:i w:val="0"/>
          <w:color w:val="1A2744"/>
          <w:sz w:val="26"/>
        </w:rPr>
        <w:t>2.4.3 Protocolo de calibracao e fontes de dados</w:t>
      </w:r>
    </w:p>
    <w:p>
      <w:pPr>
        <w:spacing w:after="120" w:line="300" w:lineRule="auto"/>
      </w:pPr>
      <w:r>
        <w:rPr>
          <w:rFonts w:ascii="Calibri" w:hAnsi="Calibri"/>
          <w:b w:val="0"/>
          <w:i w:val="0"/>
          <w:color w:val="202020"/>
          <w:sz w:val="22"/>
        </w:rPr>
        <w:t>A calibracao do CACI segue um protocolo de quatro etapas consistente com as recomendacoes do OECD/JRC Handbook (2008): identificacao e coleta de dados brutos; tratamento de valores ausentes e normalizacao; agregacao; e analise de sensibilidade.</w:t>
      </w:r>
    </w:p>
    <w:p>
      <w:pPr>
        <w:spacing w:after="120" w:line="300" w:lineRule="auto"/>
      </w:pPr>
      <w:r>
        <w:rPr>
          <w:rFonts w:ascii="Calibri" w:hAnsi="Calibri"/>
          <w:b w:val="0"/>
          <w:i w:val="0"/>
          <w:color w:val="202020"/>
          <w:sz w:val="22"/>
        </w:rPr>
        <w:t>F(r,t) - Capacidade de compute IA instalada. A estimacao segue uma abordagem bottom-up. A camada principal vem do conjunto Epoch AI GPU Clusters (versao abril de 2026), fornecendo o desempenho em FLOP/s 16 bits e em equivalentes H100 agregado por pais para 2019-2026. As parcelas nacionais de compute operacional no snapshot de abril de 2026 sao: EUA 76,9 por cento, China 12,8 por cento, UE (13 economias principais) 4,4 por cento, Noruega 1,1 por cento, Japao 1,0 por cento.[17] Quando todos os clusters reportados sao incluidos (operacionais mais planejados), a parcela EUA passa para cerca de 50 por cento, com o Golfo (EAU, Arabia Saudita) e a Coreia capturando uma grande parcela da construcao projetada 2027-2030. A camada complementar vem da OCDE (Lehdonvirta et al., 2025), catalogando regioes cloud com aceleradores IA em 39 economias, capturando a dimensao de acessibilidade que o compute fisicamente instalado nao reflete plenamente.</w:t>
      </w:r>
    </w:p>
    <w:p>
      <w:pPr>
        <w:spacing w:after="120" w:line="300" w:lineRule="auto"/>
      </w:pPr>
      <w:r>
        <w:rPr>
          <w:rFonts w:ascii="Calibri" w:hAnsi="Calibri"/>
          <w:b w:val="0"/>
          <w:i w:val="0"/>
          <w:color w:val="202020"/>
          <w:sz w:val="22"/>
        </w:rPr>
        <w:t>Procedimento de agregacao de F. Para cada par pais-ano, extraimos do conjunto Epoch AI a soma dos equivalentes H100 de todos os clusters localizados no pais, filtrando os sistemas confirmados (certeza maior ou igual a Likely); aplicamos um fator de extrapolacao para corrigir a sub-cobertura do conjunto (10 a 20 por cento do compute global), usando as estimativas de cobertura setorial do Epoch AI por tipo de chip; e adicionamos as capacidades cloud acessiveis estimadas via metodologia OCDE para paises onde o compute cloud estrangeiro representa uma parcela significativa da capacidade efetiva. Os dados brutos e o codigo de calculo (Python/pandas) estao documentados no apendice metodologico e no painel publico.[18]</w:t>
      </w:r>
    </w:p>
    <w:p>
      <w:pPr>
        <w:spacing w:after="120" w:line="300" w:lineRule="auto"/>
      </w:pPr>
      <w:r>
        <w:rPr>
          <w:rFonts w:ascii="Calibri" w:hAnsi="Calibri"/>
          <w:b w:val="0"/>
          <w:i w:val="0"/>
          <w:color w:val="202020"/>
          <w:sz w:val="22"/>
        </w:rPr>
        <w:t>E(r,t) - Custo energetico. Os valores de referencia do CSV do painel utilizados ao longo deste estudo, em USD por MWh e ajustados PPA, sao: EUA 85, China 92, Franca 115, Alemanha 140, Reino Unido 190, India 88. Estes numeros incorporam tarifas negociadas para grandes consumidores (PPAs hyperscalers), usando estimativas IEA (2025, Energy and AI) do mix energetico dos data centers por regiao. Sao sistematicamente menores do que as tarifas Eurostat industriais brutas na Europa, porque os PPAs hyperscalers e o sourcing direto nuclear/renovavel reduzem materialmente o custo efetivo enfrentado pelos data centers IA. O Federal Reserve Board (outubro de 2025) documenta uma correlacao negativa significativa entre custos energeticos e adocao IA no nivel das empresas europeias.[19]</w:t>
      </w:r>
    </w:p>
    <w:p>
      <w:pPr>
        <w:spacing w:after="120" w:line="300" w:lineRule="auto"/>
      </w:pPr>
      <w:r>
        <w:rPr>
          <w:rFonts w:ascii="Calibri" w:hAnsi="Calibri"/>
          <w:b w:val="0"/>
          <w:i w:val="0"/>
          <w:color w:val="202020"/>
          <w:sz w:val="22"/>
        </w:rPr>
        <w:t>PIB(r,t) e L(r,t). O PIB esta disponivel no Banco Mundial (World Development Indicators) e no Eurostat. O snapshot de abril de 2026 do painel utiliza valores de PIB em trilhoes de USD: EUA 29,3; China 18,7; UE 18,9; Franca 3,16; Alemanha 4,68; Reino Unido 3,6. O proxy de capital humano IA L(r,t) combina tres sub-indicadores: numero de graduados STEM (OCDE, Education at a Glance); densidade de competencias IA medida pelo LinkedIn Economic Graph (perfis com competencias IA em relacao a populacao ativa); e certificacoes IA (estimativas baseadas em programas cloud certificados AWS/Google/Microsoft por pais). O snapshot do painel utiliza, em milhoes de trabalhadores qualificados em IA: EUA 3,5; China 4,8; UE 3,1; Franca 1,5; Alemanha 1,9; Reino Unido 1,8. Reconhecemos um vies favorecendo paises de lingua inglesa e economias onde o LinkedIn e dominante, e documentamos o efeito desse vies na analise de sensibilidade (secao 2.4.5).[20]</w:t>
      </w:r>
    </w:p>
    <w:p>
      <w:pPr>
        <w:spacing w:after="120" w:line="300" w:lineRule="auto"/>
      </w:pPr>
      <w:r>
        <w:rPr>
          <w:rFonts w:ascii="Calibri" w:hAnsi="Calibri"/>
          <w:b w:val="0"/>
          <w:i w:val="0"/>
          <w:color w:val="202020"/>
          <w:sz w:val="22"/>
        </w:rPr>
        <w:t>Normalizacao do CACI e selecao do benchmark. O CACI bruto produz valores absolutos heterogeneos cuja interpretacao direta e dificil. Em conformidade com a pratica padrao (Nardo et al., 2008; Saisana e Tarantola, 2002), aplicamos uma normalizacao min-max ao lider: o CACI normalizado de cada pais e expresso como percentagem do CACI bruto dos Estados Unidos, de modo que CACI_norm(EUA) = 100 por construcao.</w:t>
      </w:r>
    </w:p>
    <w:p>
      <w:pPr>
        <w:spacing w:after="120" w:line="300" w:lineRule="auto"/>
      </w:pPr>
      <w:r>
        <w:rPr>
          <w:rFonts w:ascii="Calibri" w:hAnsi="Calibri"/>
          <w:b w:val="0"/>
          <w:i w:val="0"/>
          <w:color w:val="202020"/>
          <w:sz w:val="22"/>
        </w:rPr>
        <w:t>Esta escolha de normalizacao e metodologicamente fundamentada em tres argumentos. Primeiro, os Estados Unidos constituem um benchmark natural dada sua posicao dominante em todos os quatro fatores do CACI: 76,9 por cento do compute IA operacional global (Epoch AI, abril de 2026), os custos energeticos industriais efetivos mais baixos entre as principais economias da OCDE (85 USD/MWh, ajustado PPA, contra 115 na Franca e 140 na Alemanha - CSV do painel, abril de 2026), o maior PIB nominal e um ecossistema de capital humano IA inigualavel. Segundo, a normalizacao ao lider e a convencao estabelecida para indices de competitividade relativa: o RCA de Balassa (1965), o GCI do WEF (Schwab, 2019) e o Competitive Industrial Performance Index da UNIDO procedem todos por razao ao lider setorial ou nacional. Terceiro, esta normalizacao elimina ambiguidades interpretativas dos valores absolutos e permite comparacoes temporais: um CACI da Franca passando de 25 para 35 entre 2024 e 2028 significa recuperacao parcial, mesmo se os valores brutos de ambos os paises tiverem aumentado.</w:t>
      </w:r>
    </w:p>
    <w:p>
      <w:pPr>
        <w:spacing w:after="120" w:line="300" w:lineRule="auto"/>
      </w:pPr>
      <w:r>
        <w:rPr>
          <w:rFonts w:ascii="Calibri" w:hAnsi="Calibri"/>
          <w:b w:val="0"/>
          <w:i w:val="0"/>
          <w:color w:val="202020"/>
          <w:sz w:val="22"/>
        </w:rPr>
        <w:t>A consequencia metodologica mais importante desta normalizacao e a revelacao de uma diferenca estrutural que os indices tradicionais ocultam. O AI Preparedness Index do FMI (Cazzaniga et al., 2024) atribui escores de 0,85 (EUA) e 0,74 (Franca), uma razao de 1,15:1, sugerindo quase paridade. O Global AI Index da Tortoise produz diferencas similares. No entanto, o CACI normalizado em Power Mode coloca a Franca em cerca de 25 e a Alemanha em cerca de 5 em uma escala onde os Estados Unidos = 100, ou seja, razoes respectivas de 4:1 e 19:1. A razao principal EUA/UE (UE agregada como 13 economias principais) e de 3,46:1. Esta divergencia nao e contraditoria: resulta do fato de que os indices multidimensionais agregam linearmente dimensoes normativas (regulacao, etica, publicacoes) que compensam aritmeticamente os deficits em fatores materiais (compute, energia). O CACI, ao isolar esses fatores materiais, expoe o abismo fisico que as metricas compostas em media apagam.</w:t>
      </w:r>
    </w:p>
    <w:p>
      <w:pPr>
        <w:spacing w:after="120" w:line="300" w:lineRule="auto"/>
      </w:pPr>
      <w:r>
        <w:rPr>
          <w:rFonts w:ascii="Calibri" w:hAnsi="Calibri"/>
          <w:b w:val="0"/>
          <w:i w:val="0"/>
          <w:color w:val="202020"/>
          <w:sz w:val="22"/>
        </w:rPr>
        <w:t>Esta propriedade do CACI - revelar a verdadeira magnitude do compute gap - constitui a contribuicao analitica central do indice e a tese empirica fundamental deste estudo. A diferenca CACI nao e um artefato de normalizacao: e o resultado cientifico.</w:t>
      </w:r>
    </w:p>
    <w:p>
      <w:pPr>
        <w:spacing w:before="160" w:after="120"/>
      </w:pPr>
      <w:r>
        <w:rPr>
          <w:rFonts w:ascii="Calibri" w:hAnsi="Calibri"/>
          <w:b/>
          <w:i w:val="0"/>
          <w:color w:val="1A2744"/>
          <w:sz w:val="26"/>
        </w:rPr>
        <w:t>2.4.4 Posicionamento em relacao aos indices existentes de competitividade IA</w:t>
      </w:r>
    </w:p>
    <w:p>
      <w:pPr>
        <w:spacing w:after="120" w:line="300" w:lineRule="auto"/>
      </w:pPr>
      <w:r>
        <w:rPr>
          <w:rFonts w:ascii="Calibri" w:hAnsi="Calibri"/>
          <w:b w:val="0"/>
          <w:i w:val="0"/>
          <w:color w:val="202020"/>
          <w:sz w:val="22"/>
        </w:rPr>
        <w:t>O AI Preparedness Index (AIPI) do FMI cobre 174 paises (2023) e agrega quatro pilares: infraestrutura digital, capital humano e politicas do mercado de trabalho, inovacao e integracao economica, regulacao e etica. O AIPI nao mede o compute IA instalado e nao pondera pelo custo energetico. Sua correlacao esperada com o CACI e positiva, mas imperfeita: paises bem classificados no AIPI (Singapura, Dinamarca, Paises Baixos) nao sao necessariamente aqueles com o compute efetivo por unidade de PIB mais alto.[21]</w:t>
      </w:r>
    </w:p>
    <w:p>
      <w:pPr>
        <w:spacing w:after="120" w:line="300" w:lineRule="auto"/>
      </w:pPr>
      <w:r>
        <w:rPr>
          <w:rFonts w:ascii="Calibri" w:hAnsi="Calibri"/>
          <w:b w:val="0"/>
          <w:i w:val="0"/>
          <w:color w:val="202020"/>
          <w:sz w:val="22"/>
        </w:rPr>
        <w:t>O Global AI Index (GAII) da Tortoise Media classifica 83 paises em 122 indicadores em tres pilares (Implementation, Innovation, Investment). Inclui um componente de infraestrutura/supercomputacao, mas o agrega linearmente com pesos subjetivos (reconhecido pela Tortoise como uma limitacao). O GAII e mais amplo e mais multidimensional do que o CACI, mas precisamente por ser amplo, dilui o sinal do compute em um composto de muitos indicadores. Como mostram Koronakos et al. (2024), a subjetividade das ponderacoes do GAII pode inverter classificacoes de paises dependendo dos cenarios de ponderacao escolhidos.</w:t>
      </w:r>
    </w:p>
    <w:p>
      <w:pPr>
        <w:spacing w:after="120" w:line="300" w:lineRule="auto"/>
      </w:pPr>
      <w:r>
        <w:rPr>
          <w:rFonts w:ascii="Calibri" w:hAnsi="Calibri"/>
          <w:b w:val="0"/>
          <w:i w:val="0"/>
          <w:color w:val="202020"/>
          <w:sz w:val="22"/>
        </w:rPr>
        <w:t>O Stanford AI Index (2025) constitui a referencia mais completa em termos de dados brutos (modelos notaveis por pais, investimento, publicacoes, patentes, tendencias de compute). Nao propoe um indice composto, mas fornece as series temporais usadas por muitos outros indices. Os dados publicos do Stanford AI Index estao disponiveis via uma pasta Google Drive aberta.[22]</w:t>
      </w:r>
    </w:p>
    <w:p>
      <w:pPr>
        <w:spacing w:after="120" w:line="300" w:lineRule="auto"/>
      </w:pPr>
      <w:r>
        <w:rPr>
          <w:rFonts w:ascii="Calibri" w:hAnsi="Calibri"/>
          <w:b w:val="0"/>
          <w:i w:val="0"/>
          <w:color w:val="202020"/>
          <w:sz w:val="22"/>
        </w:rPr>
        <w:t>Valor agregado especifico do CACI. O CACI distingue-se por quatro propriedades: coloca o compute no centro em vez de na periferia do indicador, refletindo o papel agora dominante do compute na IA de fronteira; integra explicitamente o custo energetico como gargalo, consistente com as conclusoes da IEA (2025); usa uma agregacao multiplicativa teoricamente fundamentada em vez de aditiva; e e parcimonioso (quatro variaveis), tornando-o transparente e reproduzivel, ao custo de menor abrangencia.</w:t>
      </w:r>
    </w:p>
    <w:p>
      <w:pPr>
        <w:spacing w:before="160" w:after="120"/>
      </w:pPr>
      <w:r>
        <w:rPr>
          <w:rFonts w:ascii="Calibri" w:hAnsi="Calibri"/>
          <w:b/>
          <w:i w:val="0"/>
          <w:color w:val="1A2744"/>
          <w:sz w:val="26"/>
        </w:rPr>
        <w:t>2.4.5 Limitacoes do CACI e analise de sensibilidade</w:t>
      </w:r>
    </w:p>
    <w:p>
      <w:pPr>
        <w:spacing w:after="120" w:line="300" w:lineRule="auto"/>
      </w:pPr>
      <w:r>
        <w:rPr>
          <w:rFonts w:ascii="Calibri" w:hAnsi="Calibri"/>
          <w:b w:val="0"/>
          <w:i w:val="0"/>
          <w:color w:val="202020"/>
          <w:sz w:val="22"/>
        </w:rPr>
        <w:t>Primeira limitacao - opacidade de F(r,t). A medicao do compute instalado depende de dados privados incompletos. O conjunto Epoch AI cobre apenas 10-20 por cento do compute global, com cobertura desigual entre setores e empresas. A atribuicao nacional e ela mesma discutivel: uma parcela crescente do compute e detida por alguns hyperscalers privados operando globalmente. Mitigacao: documentamos sistematicamente as margens de incerteza, apresentamos intervalos em vez de valores pontuais e verificamos a estabilidade dos resultados quando F varia em mais ou menos 30 por cento. A decomposicao Fisico/Soberano trata parcialmente o problema de atribuicao.</w:t>
      </w:r>
    </w:p>
    <w:p>
      <w:pPr>
        <w:spacing w:after="120" w:line="300" w:lineRule="auto"/>
      </w:pPr>
      <w:r>
        <w:rPr>
          <w:rFonts w:ascii="Calibri" w:hAnsi="Calibri"/>
          <w:b w:val="0"/>
          <w:i w:val="0"/>
          <w:color w:val="202020"/>
          <w:sz w:val="22"/>
        </w:rPr>
        <w:t>Segunda limitacao - heterogeneidade qualitativa do compute. O CACI agrega FLOPs sem distinguir geracoes de GPU (um H200 nao equivale a um A100 em eficiencia energetica e desempenho real). Mitigacao: o conjunto Epoch AI fornece o desempenho em equivalentes H100, oferecendo uma normalizacao parcial. Propomos um fator de ponderacao por geracao de GPU no apendice e mostramos que o ajuste modifica marginalmente as classificacoes.</w:t>
      </w:r>
    </w:p>
    <w:p>
      <w:pPr>
        <w:spacing w:after="120" w:line="300" w:lineRule="auto"/>
      </w:pPr>
      <w:r>
        <w:rPr>
          <w:rFonts w:ascii="Calibri" w:hAnsi="Calibri"/>
          <w:b w:val="0"/>
          <w:i w:val="0"/>
          <w:color w:val="202020"/>
          <w:sz w:val="22"/>
        </w:rPr>
        <w:t>Terceira limitacao - o proxy de capital humano L(r,t). A combinacao STEM mais LinkedIn mais certificacoes apresenta um vies favorecendo os paises de lingua inglesa. Este vies provavelmente subestima a China e algumas economias asiaticas. Mitigacao: replicamos a analise usando o sub-indice Human Capital do AIPI do FMI como proxy alternativo e mostramos a sensibilidade das classificacoes a esta escolha.</w:t>
      </w:r>
    </w:p>
    <w:p>
      <w:pPr>
        <w:spacing w:after="120" w:line="300" w:lineRule="auto"/>
      </w:pPr>
      <w:r>
        <w:rPr>
          <w:rFonts w:ascii="Calibri" w:hAnsi="Calibri"/>
          <w:b w:val="0"/>
          <w:i w:val="0"/>
          <w:color w:val="202020"/>
          <w:sz w:val="22"/>
        </w:rPr>
        <w:t>Quarta limitacao - estaticidade do indicador. O CACI mede um estado em um momento dado, nao uma dinamica. E por isso que o calculamos em varios anos (2022, 2024, 2026) e o projetamos em cada cenario, permitindo o acompanhamento da trajetoria e a avaliacao da evolucao da diferenca.</w:t>
      </w:r>
    </w:p>
    <w:p>
      <w:pPr>
        <w:spacing w:after="120" w:line="300" w:lineRule="auto"/>
      </w:pPr>
      <w:r>
        <w:rPr>
          <w:rFonts w:ascii="Calibri" w:hAnsi="Calibri"/>
          <w:b w:val="0"/>
          <w:i w:val="0"/>
          <w:color w:val="202020"/>
          <w:sz w:val="22"/>
        </w:rPr>
        <w:t>Quinta limitacao - endogeneidade. Os paises que ganham produtividade IA investem maciamente em compute, criando um risco de causalidade reversa: o CACI poderia capturar a consequencia em vez da causa da competitividade. Este estudo, em seu marco de tese, nao instrumentaliza formalmente essa relacao (sem variaveis instrumentais ou estrategia GMM). No entanto, observamos que o choque exogeno das regras BIS de outubro de 2022 oferece um quase-experimento natural que poderia fundamentar uma estrategia de identificacao causal em Difference-in-Differences. Identificamos o tratamento formal dessa endogeneidade (DiD, IV ou GMM Arellano-Bond) como uma via de pesquisa prioritaria para qualquer extensao publicavel deste trabalho.[23]</w:t>
      </w:r>
    </w:p>
    <w:p>
      <w:pPr>
        <w:spacing w:after="120" w:line="300" w:lineRule="auto"/>
      </w:pPr>
      <w:r>
        <w:rPr>
          <w:rFonts w:ascii="Calibri" w:hAnsi="Calibri"/>
          <w:b w:val="0"/>
          <w:i w:val="0"/>
          <w:color w:val="202020"/>
          <w:sz w:val="22"/>
        </w:rPr>
        <w:t>Sexta limitacao - vies de normalizacao para pequenas economias. A analise comparativa do CACI face aos indices AIPI do FMI e GAII da Tortoise revela uma anomalia instrutiva: certos paises com baixo PIB e forca de trabalho IA reduzida obtem escores CACI desproporcionalmente altos. A Africa do Sul e emblematica: classificada em ultimo ou penultimo lugar nos indices AIPI e Tortoise, pode aparecer como lider global no CACI em Intensity Mode quando a normalizacao pelo PIB amplifica um efeito de pequeno denominador. Este fenomeno e um caso classico de vies de normalizacao identificado na literatura de indicadores compostos. O OECD/JRC Handbook (Nardo et al., 2008, pp. 27-29) adverte que a normalizacao por PIB ou populacao pode produzir resultados enganosos para pequenas economias. Nossa mitigacao e tripla: um limiar de massa critica em F (excluindo economias abaixo de 10 000 equivalentes H100); um fator de escala alfa(r) = min(1, F(r) / F_mediano) para testes de sensibilidade; e uma classificacao dupla (Power Mode para potencia absoluta, Intensity Mode para densidade), com a ressalva explicita de que as comparacoes bilaterais neste estudo se concentram em EUA, UE, Franca e China.[24]</w:t>
      </w:r>
    </w:p>
    <w:p>
      <w:pPr>
        <w:spacing w:before="160" w:after="120"/>
      </w:pPr>
      <w:r>
        <w:rPr>
          <w:rFonts w:ascii="Calibri" w:hAnsi="Calibri"/>
          <w:b/>
          <w:i w:val="0"/>
          <w:color w:val="1A2744"/>
          <w:sz w:val="26"/>
        </w:rPr>
        <w:t>2.4.6 Numeros reproduziveis - snapshot de abril de 2026</w:t>
      </w:r>
    </w:p>
    <w:p>
      <w:pPr>
        <w:spacing w:after="120" w:line="300" w:lineRule="auto"/>
      </w:pPr>
      <w:r>
        <w:rPr>
          <w:rFonts w:ascii="Calibri" w:hAnsi="Calibri"/>
          <w:b w:val="0"/>
          <w:i w:val="0"/>
          <w:color w:val="202020"/>
          <w:sz w:val="22"/>
        </w:rPr>
        <w:t>Para permitir ao leitor refazer o calculo a partir dos CSVs do painel publico, expomos aqui as entradas e saidas utilizadas ao longo deste estudo. As quatro variaveis de entrada sao provenientes da pasta de dados do painel (energy_prices.csv, gdp_data.csv, workforce_data.csv, gpu_clusters.csv) em https://mo0ogly.github.io/America-First-IA/dashboard/data/.</w:t>
      </w:r>
    </w:p>
    <w:p>
      <w:pPr>
        <w:spacing w:after="120" w:line="300" w:lineRule="auto"/>
      </w:pPr>
      <w:r>
        <w:rPr>
          <w:rFonts w:ascii="Calibri" w:hAnsi="Calibri"/>
          <w:b w:val="0"/>
          <w:i w:val="0"/>
          <w:color w:val="202020"/>
          <w:sz w:val="22"/>
        </w:rPr>
        <w:t>Entradas (snapshot de abril de 2026). EUA: F_total = 39,65 milhoes de equiv. H100, L = 3,5 milhoes, R = 1,00, E = 85 USD/MWh, PIB = 29,3 trilhoes USD. UE (13 economias principais agregadas): F_total = 2,62 milhoes de equiv. H100, L = 3,1 milhoes, R = 0,90, E = 135 USD/MWh, PIB = 18,9 trilhoes USD. Franca: F_total = 2,44 milhoes de equiv. H100, L = 1,5 milhoes, R = 0,90, E = 115 USD/MWh, PIB = 3,16 trilhoes USD. Alemanha: F_total = 0,05 milhao de equiv. H100, L = 1,9 milhoes, R = 0,90, E = 140 USD/MWh, PIB = 4,68 trilhoes USD. China: F_total = 0,40 milhao de equiv. H100, L = 4,8 milhoes, R = 0,70, E = 92 USD/MWh, PIB = 18,7 trilhoes USD.</w:t>
      </w:r>
    </w:p>
    <w:p>
      <w:pPr>
        <w:spacing w:after="120" w:line="300" w:lineRule="auto"/>
      </w:pPr>
      <w:r>
        <w:rPr>
          <w:rFonts w:ascii="Calibri" w:hAnsi="Calibri"/>
          <w:b w:val="0"/>
          <w:i w:val="0"/>
          <w:color w:val="202020"/>
          <w:sz w:val="22"/>
        </w:rPr>
        <w:t>Saidas (Power Mode F_total, normalizadas em EUA = 100). EUA = 100,0; UE(13) = 28,9; Franca = 25,3; India = 22,2; China = 15,7; Reino Unido = 7,0; Alemanha = 5,4. EAU = 55,7 em CACI Fisico mas apenas 6,0 em CACI Soberano (F_dom restrito a clusters detidos por entidades domesticas G42, MGX, Mubadala, Khazna, TII), ilustrando a decomposicao Fisico/Soberano: 99,6 por cento do F_total dos EAU e detido por atores US-side (Stargate UAE, Microsoft, OpenAI). Razoes principais: EUA/UE(13) = 3,46:1; EUA/Franca = 3,96:1; EUA/Alemanha = 18,59:1; EUA/China = 7,46:1.</w:t>
      </w:r>
    </w:p>
    <w:p>
      <w:pPr>
        <w:spacing w:after="120" w:line="300" w:lineRule="auto"/>
      </w:pPr>
      <w:r>
        <w:rPr>
          <w:rFonts w:ascii="Calibri" w:hAnsi="Calibri"/>
          <w:b w:val="0"/>
          <w:i w:val="0"/>
          <w:color w:val="202020"/>
          <w:sz w:val="22"/>
        </w:rPr>
        <w:t>Estas saidas sao reproduzidas ao vivo no painel publico. Qualquer atualizacao subsequente do painel (novos clusters, revisoes energeticas, atualizacao do PIB) atualizara mecanicamente os numeros; a metodologia nao muda. A razao de 3,46:1 em Power Mode F_total reportada na capa e ao longo deste estudo corresponde exatamente a este snapshot.</w:t>
      </w:r>
    </w:p>
    <w:p>
      <w:pPr>
        <w:spacing w:before="280" w:after="120"/>
      </w:pPr>
      <w:r>
        <w:rPr>
          <w:rFonts w:ascii="Calibri" w:hAnsi="Calibri"/>
          <w:b/>
          <w:i w:val="0"/>
          <w:color w:val="1A2744"/>
          <w:sz w:val="32"/>
        </w:rPr>
        <w:t>2.5 Escopo e delimitacoes</w:t>
      </w:r>
    </w:p>
    <w:p>
      <w:pPr>
        <w:spacing w:after="120" w:line="300" w:lineRule="auto"/>
      </w:pPr>
      <w:r>
        <w:rPr>
          <w:rFonts w:ascii="Calibri" w:hAnsi="Calibri"/>
          <w:b w:val="0"/>
          <w:i w:val="0"/>
          <w:color w:val="202020"/>
          <w:sz w:val="22"/>
        </w:rPr>
        <w:t>Escopo geografico. A analise concentra-se na relacao bilateral Estados Unidos / Uniao Europeia, com foco especifico na Franca. A China e tratada como variavel contextual (alvo principal dos controles de exportacao americanos, fator de pressao sobre as capacidades de producao de chips), mas nao e objeto de analise aprofundada. Japao, Coreia do Sul e Taiwan aparecem como atores da cadeia de suprimentos de semicondutores.</w:t>
      </w:r>
    </w:p>
    <w:p>
      <w:pPr>
        <w:spacing w:after="120" w:line="300" w:lineRule="auto"/>
      </w:pPr>
      <w:r>
        <w:rPr>
          <w:rFonts w:ascii="Calibri" w:hAnsi="Calibri"/>
          <w:b w:val="0"/>
          <w:i w:val="0"/>
          <w:color w:val="202020"/>
          <w:sz w:val="22"/>
        </w:rPr>
        <w:t>Escopo temporal. O diagnostico cobre 2020-2026, os cenarios cobrem 2026-2030. O horizonte 2030 e escolhido porque corresponde a convergencia de varios prazos: projecoes da AIE para a energia dos data centers, maturidade esperada do EU Chips Act, objetivos da SNIA Franca 2030 e chegada potencial dos primeiros SMR nucleares operacionais.</w:t>
      </w:r>
    </w:p>
    <w:p>
      <w:pPr>
        <w:spacing w:after="120" w:line="300" w:lineRule="auto"/>
      </w:pPr>
      <w:r>
        <w:rPr>
          <w:rFonts w:ascii="Calibri" w:hAnsi="Calibri"/>
          <w:b w:val="0"/>
          <w:i w:val="0"/>
          <w:color w:val="202020"/>
          <w:sz w:val="22"/>
        </w:rPr>
        <w:t>Escopo tecnologico. O estudo cobre a IA de fronteira (modelos fundacionais, intensivos em compute) e seus pre-requisitos materiais (GPU/ASIC, data centers, energia). Integra a robotica IA como fator amplificador da demanda energetica. Nao trata da IA embarcada edge (smartphones, IoT), exceto na medida em que constitui um objetivo especifico da SNIA francesa.</w:t>
      </w:r>
    </w:p>
    <w:p>
      <w:pPr>
        <w:spacing w:before="280" w:after="120"/>
      </w:pPr>
      <w:r>
        <w:rPr>
          <w:rFonts w:ascii="Calibri" w:hAnsi="Calibri"/>
          <w:b/>
          <w:i w:val="0"/>
          <w:color w:val="1A2744"/>
          <w:sz w:val="32"/>
        </w:rPr>
        <w:t>2.6 Limitacoes metodologicas gerais</w:t>
      </w:r>
    </w:p>
    <w:p>
      <w:pPr>
        <w:spacing w:after="120" w:line="300" w:lineRule="auto"/>
      </w:pPr>
      <w:r>
        <w:rPr>
          <w:rFonts w:ascii="Calibri" w:hAnsi="Calibri"/>
          <w:b w:val="0"/>
          <w:i w:val="0"/>
          <w:color w:val="202020"/>
          <w:sz w:val="22"/>
        </w:rPr>
        <w:t>Incerteza politica radical. O protecionismo tecnologico depende de decisoes politicas discricionarias com previsibilidade estruturalmente baixa. Uma mudanca de administracao americana em 2028, um acordo comercial UE-EUA inesperado ou uma escalada do conflito EUA-China poderia invalidar certos pressupostos. E precisamente por isso que propomos quatro cenarios em vez de uma trajetoria unica.</w:t>
      </w:r>
    </w:p>
    <w:p>
      <w:pPr>
        <w:spacing w:after="120" w:line="300" w:lineRule="auto"/>
      </w:pPr>
      <w:r>
        <w:rPr>
          <w:rFonts w:ascii="Calibri" w:hAnsi="Calibri"/>
          <w:b w:val="0"/>
          <w:i w:val="0"/>
          <w:color w:val="202020"/>
          <w:sz w:val="22"/>
        </w:rPr>
        <w:t>Disrupcoes tecnologicas. O episodio DeepSeek (janeiro de 2025), em que um modelo chines alcancou desempenho proximo da fronteira com orcamento de treinamento substancialmente reduzido, ilustra a possibilidade de avancos de eficiencia que alterariam os termos do problema. A IEA (2025, Energy and AI) dedica um estudo de caso ao DeepSeek e conclui que mesmo com melhorias significativas de eficiencia, o crescimento da demanda absorve os ganhos (efeito rebote de Jevons).[25]</w:t>
      </w:r>
    </w:p>
    <w:p>
      <w:pPr>
        <w:spacing w:after="120" w:line="300" w:lineRule="auto"/>
      </w:pPr>
      <w:r>
        <w:rPr>
          <w:rFonts w:ascii="Calibri" w:hAnsi="Calibri"/>
          <w:b w:val="0"/>
          <w:i w:val="0"/>
          <w:color w:val="202020"/>
          <w:sz w:val="22"/>
        </w:rPr>
        <w:t>Opacidade dos dados de compute. O numero exato de GPUs implantadas por hyperscaler, a distribuicao geografica precisa dos data centers e os volumes de GPUs exportados por regiao sao dados parcial ou totalmente confidenciais. Nossas estimativas de compute instalado carregam margens de erro significativas, que documentamos sistematicamente.</w:t>
      </w:r>
    </w:p>
    <w:p>
      <w:pPr>
        <w:spacing w:after="120" w:line="300" w:lineRule="auto"/>
      </w:pPr>
      <w:r>
        <w:rPr>
          <w:rFonts w:ascii="Calibri" w:hAnsi="Calibri"/>
          <w:b w:val="0"/>
          <w:i w:val="0"/>
          <w:color w:val="202020"/>
          <w:sz w:val="22"/>
        </w:rPr>
        <w:t>Vies das fontes de consultoria. Como observado na secao 2.2, as fontes industriais carregam um vies sistematico de otimismo. Mitigamos isso por meio da triangulacao, mas nao podemos elimina-lo inteiramente.</w:t>
      </w:r>
    </w:p>
    <w:p>
      <w:pPr>
        <w:spacing w:after="120" w:line="300" w:lineRule="auto"/>
      </w:pPr>
      <w:r>
        <w:rPr>
          <w:rFonts w:ascii="Calibri" w:hAnsi="Calibri"/>
          <w:b w:val="0"/>
          <w:i w:val="0"/>
          <w:color w:val="202020"/>
          <w:sz w:val="22"/>
        </w:rPr>
        <w:t>Estas limitacoes nao comprometem a validade da analise. O metodo dos cenarios e precisamente concebido para funcionar em ambientes de alta incerteza, onde o objetivo nao e a previsao, mas a exploracao estruturada das possibilidades. Como observa Schwartz, os cenarios nao sao previsoes; sao historias plausiveis que ajudam a pensar.[26] Nossa contribuicao reside no rigor do enquadramento, na explicitacao dos pressupostos, na transparencia das fontes de dados e na originalidade do indicador CACI, em vez de na precisao das projecoes numericas.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