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76,9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3,46:1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2026 - 76,9 por cento de parcela de compute operacional, 1,59x de custo energetico ajustado-PPA e uma razao CACI Power Mode de 3,46:1 -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