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3,46:1 no snapshot de abril de 2026, razao bruta de computacao instalada operacional de 17,6:1), acelerada pelas tarifas Trump de 2026 e pela concentracao de computacao nos Estados Unidos (76,9%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76,9% para os Estados Unidos, representando uma razao operacional bruta de 17,6:1 e uma razao CACI Power Mode (formula geometrica F^0,40 x L^0,20 x R^0,15 / E^0,25) de 3,46:1.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(99,2%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3,46:1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3,46:1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3,46:1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